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3 — Notebook 04: Revolving Credit Utilization Segmentation</w:t>
      </w:r>
    </w:p>
    <w:p>
      <w:pPr>
        <w:jc w:val="center"/>
      </w:pPr>
      <w:r>
        <w:rPr>
          <w:i/>
          <w:color w:val="595959"/>
          <w:sz w:val="22"/>
        </w:rPr>
        <w:t>Real K-Means clustering, k=8 (data-driven) — independent of PD level, bureau behavior, and repayment conduct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307,511 real applicants; 86,905 (28.3%) have real previous-loan revolving-credit history.</w:t>
      </w:r>
    </w:p>
    <w:p>
      <w:pPr>
        <w:pStyle w:val="ListBullet"/>
      </w:pPr>
      <w:r>
        <w:t>8 real data-driven utilization segments found (silhouette=0.398).</w:t>
      </w:r>
    </w:p>
    <w:p>
      <w:pPr>
        <w:pStyle w:val="ListBullet"/>
      </w:pPr>
      <w:r>
        <w:t>Statistical robustness verdict: STATISTICALLY ROBUST — RECOMMENDED FOR PRODUCTION</w:t>
      </w:r>
    </w:p>
    <w:p>
      <w:pPr>
        <w:pStyle w:val="ListBullet"/>
      </w:pPr>
      <w:r>
        <w:t>Cross-axis independence from Problem 1's Risk Tier: Cramer's V=0.0998. From Problem 2's Bureau Segment: Cramer's V=0.0448. From Problem 3's Repayment Segment: Cramer's V=0.0991.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8 real, data-driven revolving-credit utilization segments found (silhouette=0.398)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Real default rate spans 5.4% to 15.9% across 9 real revolving-credit utilization segments (chi-square p=0, Cramer's V=0.0789, 95% bootstrap CI [0.0746, 0.0835]).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86,905 of 307,511 real applicants (28.3%) clustered; 220,606 real applicants with no previous-loan revolving-credit history reported as their own explicit segment.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Computed end-to-end in 11.6s.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Gives a collections or portfolio-management team a real revolving-credit-usage axis, built from the applicant's own conduct on previous Home Credit credit-card loans, independent of PD level, external bureau behavior, and instalment-loan repayment conduct, to differentiate treatment by.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Re-run after any Notebook 01 re-run (refreshes PD/TARGET/RISK_TIER) or when new real credit-card data becomes available.</w:t>
      </w:r>
    </w:p>
    <w:p/>
    <w:p>
      <w:pPr>
        <w:pStyle w:val="Heading1"/>
      </w:pPr>
      <w:r>
        <w:rPr>
          <w:color w:val="2A78D6"/>
        </w:rPr>
        <w:t>Real Default Rate by Utilization Segment</w:t>
      </w:r>
    </w:p>
    <w:p>
      <w:r>
        <w:t>Real default rate and real population per segment, including applicants with no real previous-loan revolving-credit history as their own explicit segment.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N Applicants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Real Default Rate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Mean Utilization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% Months Any Cash Advance</w:t>
            </w:r>
          </w:p>
        </w:tc>
      </w:tr>
      <w:tr>
        <w:tc>
          <w:tcPr>
            <w:tcW w:type="dxa" w:w="1728"/>
          </w:tcPr>
          <w:p>
            <w:r>
              <w:t>Utilization Segment A</w:t>
            </w:r>
          </w:p>
        </w:tc>
        <w:tc>
          <w:tcPr>
            <w:tcW w:type="dxa" w:w="1728"/>
          </w:tcPr>
          <w:p>
            <w:r>
              <w:t>25,896</w:t>
            </w:r>
          </w:p>
        </w:tc>
        <w:tc>
          <w:tcPr>
            <w:tcW w:type="dxa" w:w="1728"/>
          </w:tcPr>
          <w:p>
            <w:r>
              <w:t>5.42%</w:t>
            </w:r>
          </w:p>
        </w:tc>
        <w:tc>
          <w:tcPr>
            <w:tcW w:type="dxa" w:w="1728"/>
          </w:tcPr>
          <w:p>
            <w:r>
              <w:t>0.3%</w:t>
            </w:r>
          </w:p>
        </w:tc>
        <w:tc>
          <w:tcPr>
            <w:tcW w:type="dxa" w:w="1728"/>
          </w:tcPr>
          <w:p>
            <w:r>
              <w:t>0.3%</w:t>
            </w:r>
          </w:p>
        </w:tc>
      </w:tr>
      <w:tr>
        <w:tc>
          <w:tcPr>
            <w:tcW w:type="dxa" w:w="1728"/>
          </w:tcPr>
          <w:p>
            <w:r>
              <w:t>Utilization Segment B</w:t>
            </w:r>
          </w:p>
        </w:tc>
        <w:tc>
          <w:tcPr>
            <w:tcW w:type="dxa" w:w="1728"/>
          </w:tcPr>
          <w:p>
            <w:r>
              <w:t>2,138</w:t>
            </w:r>
          </w:p>
        </w:tc>
        <w:tc>
          <w:tcPr>
            <w:tcW w:type="dxa" w:w="1728"/>
          </w:tcPr>
          <w:p>
            <w:r>
              <w:t>13.84%</w:t>
            </w:r>
          </w:p>
        </w:tc>
        <w:tc>
          <w:tcPr>
            <w:tcW w:type="dxa" w:w="1728"/>
          </w:tcPr>
          <w:p>
            <w:r>
              <w:t>61.5%</w:t>
            </w:r>
          </w:p>
        </w:tc>
        <w:tc>
          <w:tcPr>
            <w:tcW w:type="dxa" w:w="1728"/>
          </w:tcPr>
          <w:p>
            <w:r>
              <w:t>22.5%</w:t>
            </w:r>
          </w:p>
        </w:tc>
      </w:tr>
      <w:tr>
        <w:tc>
          <w:tcPr>
            <w:tcW w:type="dxa" w:w="1728"/>
          </w:tcPr>
          <w:p>
            <w:r>
              <w:t>Utilization Segment C</w:t>
            </w:r>
          </w:p>
        </w:tc>
        <w:tc>
          <w:tcPr>
            <w:tcW w:type="dxa" w:w="1728"/>
          </w:tcPr>
          <w:p>
            <w:r>
              <w:t>18,018</w:t>
            </w:r>
          </w:p>
        </w:tc>
        <w:tc>
          <w:tcPr>
            <w:tcW w:type="dxa" w:w="1728"/>
          </w:tcPr>
          <w:p>
            <w:r>
              <w:t>6.12%</w:t>
            </w:r>
          </w:p>
        </w:tc>
        <w:tc>
          <w:tcPr>
            <w:tcW w:type="dxa" w:w="1728"/>
          </w:tcPr>
          <w:p>
            <w:r>
              <w:t>31.4%</w:t>
            </w:r>
          </w:p>
        </w:tc>
        <w:tc>
          <w:tcPr>
            <w:tcW w:type="dxa" w:w="1728"/>
          </w:tcPr>
          <w:p>
            <w:r>
              <w:t>7.8%</w:t>
            </w:r>
          </w:p>
        </w:tc>
      </w:tr>
      <w:tr>
        <w:tc>
          <w:tcPr>
            <w:tcW w:type="dxa" w:w="1728"/>
          </w:tcPr>
          <w:p>
            <w:r>
              <w:t>Utilization Segment D</w:t>
            </w:r>
          </w:p>
        </w:tc>
        <w:tc>
          <w:tcPr>
            <w:tcW w:type="dxa" w:w="1728"/>
          </w:tcPr>
          <w:p>
            <w:r>
              <w:t>17,345</w:t>
            </w:r>
          </w:p>
        </w:tc>
        <w:tc>
          <w:tcPr>
            <w:tcW w:type="dxa" w:w="1728"/>
          </w:tcPr>
          <w:p>
            <w:r>
              <w:t>15.94%</w:t>
            </w:r>
          </w:p>
        </w:tc>
        <w:tc>
          <w:tcPr>
            <w:tcW w:type="dxa" w:w="1728"/>
          </w:tcPr>
          <w:p>
            <w:r>
              <w:t>73.5%</w:t>
            </w:r>
          </w:p>
        </w:tc>
        <w:tc>
          <w:tcPr>
            <w:tcW w:type="dxa" w:w="1728"/>
          </w:tcPr>
          <w:p>
            <w:r>
              <w:t>47.4%</w:t>
            </w:r>
          </w:p>
        </w:tc>
      </w:tr>
      <w:tr>
        <w:tc>
          <w:tcPr>
            <w:tcW w:type="dxa" w:w="1728"/>
          </w:tcPr>
          <w:p>
            <w:r>
              <w:t>Utilization Segment E</w:t>
            </w:r>
          </w:p>
        </w:tc>
        <w:tc>
          <w:tcPr>
            <w:tcW w:type="dxa" w:w="1728"/>
          </w:tcPr>
          <w:p>
            <w:r>
              <w:t>2,927</w:t>
            </w:r>
          </w:p>
        </w:tc>
        <w:tc>
          <w:tcPr>
            <w:tcW w:type="dxa" w:w="1728"/>
          </w:tcPr>
          <w:p>
            <w:r>
              <w:t>6.90%</w:t>
            </w:r>
          </w:p>
        </w:tc>
        <w:tc>
          <w:tcPr>
            <w:tcW w:type="dxa" w:w="1728"/>
          </w:tcPr>
          <w:p>
            <w:r>
              <w:t>5.6%</w:t>
            </w:r>
          </w:p>
        </w:tc>
        <w:tc>
          <w:tcPr>
            <w:tcW w:type="dxa" w:w="1728"/>
          </w:tcPr>
          <w:p>
            <w:r>
              <w:t>3.7%</w:t>
            </w:r>
          </w:p>
        </w:tc>
      </w:tr>
      <w:tr>
        <w:tc>
          <w:tcPr>
            <w:tcW w:type="dxa" w:w="1728"/>
          </w:tcPr>
          <w:p>
            <w:r>
              <w:t>Utilization Segment F</w:t>
            </w:r>
          </w:p>
        </w:tc>
        <w:tc>
          <w:tcPr>
            <w:tcW w:type="dxa" w:w="1728"/>
          </w:tcPr>
          <w:p>
            <w:r>
              <w:t>2,272</w:t>
            </w:r>
          </w:p>
        </w:tc>
        <w:tc>
          <w:tcPr>
            <w:tcW w:type="dxa" w:w="1728"/>
          </w:tcPr>
          <w:p>
            <w:r>
              <w:t>8.89%</w:t>
            </w:r>
          </w:p>
        </w:tc>
        <w:tc>
          <w:tcPr>
            <w:tcW w:type="dxa" w:w="1728"/>
          </w:tcPr>
          <w:p>
            <w:r>
              <w:t>23.9%</w:t>
            </w:r>
          </w:p>
        </w:tc>
        <w:tc>
          <w:tcPr>
            <w:tcW w:type="dxa" w:w="1728"/>
          </w:tcPr>
          <w:p>
            <w:r>
              <w:t>23.2%</w:t>
            </w:r>
          </w:p>
        </w:tc>
      </w:tr>
      <w:tr>
        <w:tc>
          <w:tcPr>
            <w:tcW w:type="dxa" w:w="1728"/>
          </w:tcPr>
          <w:p>
            <w:r>
              <w:t>Utilization Segment G</w:t>
            </w:r>
          </w:p>
        </w:tc>
        <w:tc>
          <w:tcPr>
            <w:tcW w:type="dxa" w:w="1728"/>
          </w:tcPr>
          <w:p>
            <w:r>
              <w:t>1,054</w:t>
            </w:r>
          </w:p>
        </w:tc>
        <w:tc>
          <w:tcPr>
            <w:tcW w:type="dxa" w:w="1728"/>
          </w:tcPr>
          <w:p>
            <w:r>
              <w:t>6.83%</w:t>
            </w:r>
          </w:p>
        </w:tc>
        <w:tc>
          <w:tcPr>
            <w:tcW w:type="dxa" w:w="1728"/>
          </w:tcPr>
          <w:p>
            <w:r>
              <w:t>36.6%</w:t>
            </w:r>
          </w:p>
        </w:tc>
        <w:tc>
          <w:tcPr>
            <w:tcW w:type="dxa" w:w="1728"/>
          </w:tcPr>
          <w:p>
            <w:r>
              <w:t>5.0%</w:t>
            </w:r>
          </w:p>
        </w:tc>
      </w:tr>
      <w:tr>
        <w:tc>
          <w:tcPr>
            <w:tcW w:type="dxa" w:w="1728"/>
          </w:tcPr>
          <w:p>
            <w:r>
              <w:t>Utilization Segment H</w:t>
            </w:r>
          </w:p>
        </w:tc>
        <w:tc>
          <w:tcPr>
            <w:tcW w:type="dxa" w:w="1728"/>
          </w:tcPr>
          <w:p>
            <w:r>
              <w:t>17,255</w:t>
            </w:r>
          </w:p>
        </w:tc>
        <w:tc>
          <w:tcPr>
            <w:tcW w:type="dxa" w:w="1728"/>
          </w:tcPr>
          <w:p>
            <w:r>
              <w:t>8.65%</w:t>
            </w:r>
          </w:p>
        </w:tc>
        <w:tc>
          <w:tcPr>
            <w:tcW w:type="dxa" w:w="1728"/>
          </w:tcPr>
          <w:p>
            <w:r>
              <w:t>32.9%</w:t>
            </w:r>
          </w:p>
        </w:tc>
        <w:tc>
          <w:tcPr>
            <w:tcW w:type="dxa" w:w="1728"/>
          </w:tcPr>
          <w:p>
            <w:r>
              <w:t>14.2%</w:t>
            </w:r>
          </w:p>
        </w:tc>
      </w:tr>
      <w:tr>
        <w:tc>
          <w:tcPr>
            <w:tcW w:type="dxa" w:w="1728"/>
          </w:tcPr>
          <w:p>
            <w:r>
              <w:t>No Revolving Credit History</w:t>
            </w:r>
          </w:p>
        </w:tc>
        <w:tc>
          <w:tcPr>
            <w:tcW w:type="dxa" w:w="1728"/>
          </w:tcPr>
          <w:p>
            <w:r>
              <w:t>220,606</w:t>
            </w:r>
          </w:p>
        </w:tc>
        <w:tc>
          <w:tcPr>
            <w:tcW w:type="dxa" w:w="1728"/>
          </w:tcPr>
          <w:p>
            <w:r>
              <w:t>7.84%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4437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4_utilization_segme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3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Real default rate spans 5.4% to 15.9% across 9 real revolving-credit utilization segments (chi-square p=0, Cramer's V=0.0789, 95% bootstrap CI [0.0746, 0.0835]).</w:t>
      </w:r>
    </w:p>
    <w:p>
      <w:r>
        <w:rPr>
          <w:i/>
          <w:color w:val="595959"/>
        </w:rPr>
        <w:t>Cross-check against Problem 1's Risk Tier: Cramer's V=0.0998; against Problem 2's Bureau Segment: Cramer's V=0.0448; against Problem 3's Repayment Segment: Cramer's V=0.0991.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