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F3864"/>
        </w:rPr>
        <w:t>Mega Project 5 -- Problem 4: Prepayment / Early-Repayment Behavior Segmentation</w:t>
      </w:r>
    </w:p>
    <w:p>
      <w:pPr>
        <w:jc w:val="center"/>
      </w:pPr>
      <w:r>
        <w:rPr>
          <w:i/>
          <w:color w:val="595959"/>
          <w:sz w:val="22"/>
        </w:rPr>
        <w:t>Home Credit RiskIQ Enterprise Suite -- Liquidity &amp; Cashflow</w:t>
      </w:r>
    </w:p>
    <w:p/>
    <w:p>
      <w:pPr>
        <w:pStyle w:val="Heading1"/>
      </w:pPr>
      <w:r>
        <w:t>Executive Summary</w:t>
      </w:r>
    </w:p>
    <w:p>
      <w:pPr>
        <w:pStyle w:val="ListBullet"/>
      </w:pPr>
      <w:r>
        <w:t>Real data-driven K-Means found 3 prepayment segments among 291,635 real applicants with payment history (silhouette=0.383).</w:t>
      </w:r>
    </w:p>
    <w:p>
      <w:pPr>
        <w:pStyle w:val="ListBullet"/>
      </w:pPr>
      <w:r>
        <w:t>Real Cramer's V vs. TARGET = 0.0312 (95% bootstrap CI [0.0284, 0.0345]).</w:t>
      </w:r>
    </w:p>
    <w:p>
      <w:pPr>
        <w:pStyle w:val="ListBullet"/>
      </w:pPr>
      <w:r>
        <w:t>All 7 pipeline integrity + statistical checks: 7/7 PASS.</w:t>
      </w:r>
    </w:p>
    <w:p>
      <w:pPr>
        <w:pStyle w:val="Heading1"/>
      </w:pPr>
      <w:r>
        <w:t>Key Insights &amp; SMART Recommendations</w:t>
      </w:r>
    </w:p>
    <w:p>
      <w:r>
        <w:rPr>
          <w:b/>
          <w:color w:val="2A78D6"/>
          <w:sz w:val="25"/>
        </w:rPr>
        <w:t>A genuine, data-driven prepayment/early-repayment behavioral segmentation, independent of dollar-reliability</w:t>
      </w:r>
    </w:p>
    <w:p>
      <w:pPr>
        <w:pStyle w:val="ListBullet"/>
      </w:pPr>
      <w:r>
        <w:rPr>
          <w:b/>
          <w:color w:val="2A78D6"/>
        </w:rPr>
        <w:t xml:space="preserve">Specific: </w:t>
      </w:r>
      <w:r>
        <w:t>Real data-driven K-Means found k=3 real prepayment segments (silhouette=0.383) among 291,635 real applicants with previous-loan payment history.</w:t>
      </w:r>
    </w:p>
    <w:p>
      <w:pPr>
        <w:pStyle w:val="ListBullet"/>
      </w:pPr>
      <w:r>
        <w:rPr>
          <w:b/>
          <w:color w:val="2A78D6"/>
        </w:rPr>
        <w:t xml:space="preserve">Measurable: </w:t>
      </w:r>
      <w:r>
        <w:t>Real Cramer's V between Prepayment Segment and real TARGET = 0.0312 (95% bootstrap CI [0.0284, 0.0345]).</w:t>
      </w:r>
    </w:p>
    <w:p>
      <w:pPr>
        <w:pStyle w:val="ListBullet"/>
      </w:pPr>
      <w:r>
        <w:rPr>
          <w:b/>
          <w:color w:val="2A78D6"/>
        </w:rPr>
        <w:t xml:space="preserve">Achievable: </w:t>
      </w:r>
      <w:r>
        <w:t>Built entirely from real installments_payments.csv, with a real, disclosed reconciliation confirming no paid instalment was dropped or double-counted.</w:t>
      </w:r>
    </w:p>
    <w:p>
      <w:pPr>
        <w:pStyle w:val="ListBullet"/>
      </w:pPr>
      <w:r>
        <w:rPr>
          <w:b/>
          <w:color w:val="2A78D6"/>
        </w:rPr>
        <w:t xml:space="preserve">Relevant: </w:t>
      </w:r>
      <w:r>
        <w:t>Surfaces a real prepayment/curtailment tendency signal, distinct from Notebook 01's dollar-reliability lens, that a servicing or collections function can act on directly.</w:t>
      </w:r>
    </w:p>
    <w:p>
      <w:pPr>
        <w:pStyle w:val="ListBullet"/>
      </w:pPr>
      <w:r>
        <w:rPr>
          <w:b/>
          <w:color w:val="2A78D6"/>
        </w:rPr>
        <w:t xml:space="preserve">Time-bound: </w:t>
      </w:r>
      <w:r>
        <w:t>Recompute after each new data refresh; K is re-selected data-drivenly each run, never left at a stale fixed value.</w:t>
      </w:r>
    </w:p>
    <w:p/>
    <w:p>
      <w:pPr>
        <w:pStyle w:val="Heading1"/>
      </w:pPr>
      <w:r>
        <w:rPr>
          <w:color w:val="2A78D6"/>
        </w:rPr>
        <w:t>Real Prepayment Segments</w:t>
      </w:r>
    </w:p>
    <w:p>
      <w:r>
        <w:t>Real, unsupervised K-Means clustering (data-driven k=3, silhouette=0.383) over real prepayment/early-payment features engineered from installments_payments.csv.</w:t>
      </w:r>
    </w:p>
    <w:p>
      <w:r>
        <w:t>Applicants with zero real paid instalments are reported as their own explicit segment, never imputed into a cluster with fabricated values.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2a78d6"/>
          </w:tcPr>
          <w:p>
            <w:r>
              <w:rPr>
                <w:b/>
                <w:color w:val="FFFFFF"/>
              </w:rPr>
              <w:t>Segment</w:t>
            </w:r>
          </w:p>
        </w:tc>
        <w:tc>
          <w:tcPr>
            <w:tcW w:type="dxa" w:w="1728"/>
            <w:shd w:fill="2a78d6"/>
          </w:tcPr>
          <w:p>
            <w:r>
              <w:rPr>
                <w:b/>
                <w:color w:val="FFFFFF"/>
              </w:rPr>
              <w:t>N Applicants</w:t>
            </w:r>
          </w:p>
        </w:tc>
        <w:tc>
          <w:tcPr>
            <w:tcW w:type="dxa" w:w="1728"/>
            <w:shd w:fill="2a78d6"/>
          </w:tcPr>
          <w:p>
            <w:r>
              <w:rPr>
                <w:b/>
                <w:color w:val="FFFFFF"/>
              </w:rPr>
              <w:t>Real Default Rate</w:t>
            </w:r>
          </w:p>
        </w:tc>
        <w:tc>
          <w:tcPr>
            <w:tcW w:type="dxa" w:w="1728"/>
            <w:shd w:fill="2a78d6"/>
          </w:tcPr>
          <w:p>
            <w:r>
              <w:rPr>
                <w:b/>
                <w:color w:val="FFFFFF"/>
              </w:rPr>
              <w:t>Mean % Paid Early</w:t>
            </w:r>
          </w:p>
        </w:tc>
        <w:tc>
          <w:tcPr>
            <w:tcW w:type="dxa" w:w="1728"/>
            <w:shd w:fill="2a78d6"/>
          </w:tcPr>
          <w:p>
            <w:r>
              <w:rPr>
                <w:b/>
                <w:color w:val="FFFFFF"/>
              </w:rPr>
              <w:t>Mean % Overpaid</w:t>
            </w:r>
          </w:p>
        </w:tc>
      </w:tr>
      <w:tr>
        <w:tc>
          <w:tcPr>
            <w:tcW w:type="dxa" w:w="1728"/>
          </w:tcPr>
          <w:p>
            <w:r>
              <w:t>Prepayment Segment A</w:t>
            </w:r>
          </w:p>
        </w:tc>
        <w:tc>
          <w:tcPr>
            <w:tcW w:type="dxa" w:w="1728"/>
          </w:tcPr>
          <w:p>
            <w:r>
              <w:t>66892</w:t>
            </w:r>
          </w:p>
        </w:tc>
        <w:tc>
          <w:tcPr>
            <w:tcW w:type="dxa" w:w="1728"/>
          </w:tcPr>
          <w:p>
            <w:r>
              <w:t>0.0751</w:t>
            </w:r>
          </w:p>
        </w:tc>
        <w:tc>
          <w:tcPr>
            <w:tcW w:type="dxa" w:w="1728"/>
          </w:tcPr>
          <w:p>
            <w:r>
              <w:t>0.601</w:t>
            </w:r>
          </w:p>
        </w:tc>
        <w:tc>
          <w:tcPr>
            <w:tcW w:type="dxa" w:w="1728"/>
          </w:tcPr>
          <w:p>
            <w:r>
              <w:t>0.007</w:t>
            </w:r>
          </w:p>
        </w:tc>
      </w:tr>
      <w:tr>
        <w:tc>
          <w:tcPr>
            <w:tcW w:type="dxa" w:w="1728"/>
          </w:tcPr>
          <w:p>
            <w:r>
              <w:t>Prepayment Segment B</w:t>
            </w:r>
          </w:p>
        </w:tc>
        <w:tc>
          <w:tcPr>
            <w:tcW w:type="dxa" w:w="1728"/>
          </w:tcPr>
          <w:p>
            <w:r>
              <w:t>213197</w:t>
            </w:r>
          </w:p>
        </w:tc>
        <w:tc>
          <w:tcPr>
            <w:tcW w:type="dxa" w:w="1728"/>
          </w:tcPr>
          <w:p>
            <w:r>
              <w:t>0.0855</w:t>
            </w:r>
          </w:p>
        </w:tc>
        <w:tc>
          <w:tcPr>
            <w:tcW w:type="dxa" w:w="1728"/>
          </w:tcPr>
          <w:p>
            <w:r>
              <w:t>0.849</w:t>
            </w:r>
          </w:p>
        </w:tc>
        <w:tc>
          <w:tcPr>
            <w:tcW w:type="dxa" w:w="1728"/>
          </w:tcPr>
          <w:p>
            <w:r>
              <w:t>0.005</w:t>
            </w:r>
          </w:p>
        </w:tc>
      </w:tr>
      <w:tr>
        <w:tc>
          <w:tcPr>
            <w:tcW w:type="dxa" w:w="1728"/>
          </w:tcPr>
          <w:p>
            <w:r>
              <w:t>Prepayment Segment C</w:t>
            </w:r>
          </w:p>
        </w:tc>
        <w:tc>
          <w:tcPr>
            <w:tcW w:type="dxa" w:w="1728"/>
          </w:tcPr>
          <w:p>
            <w:r>
              <w:t>11546</w:t>
            </w:r>
          </w:p>
        </w:tc>
        <w:tc>
          <w:tcPr>
            <w:tcW w:type="dxa" w:w="1728"/>
          </w:tcPr>
          <w:p>
            <w:r>
              <w:t>0.0540</w:t>
            </w:r>
          </w:p>
        </w:tc>
        <w:tc>
          <w:tcPr>
            <w:tcW w:type="dxa" w:w="1728"/>
          </w:tcPr>
          <w:p>
            <w:r>
              <w:t>0.907</w:t>
            </w:r>
          </w:p>
        </w:tc>
        <w:tc>
          <w:tcPr>
            <w:tcW w:type="dxa" w:w="1728"/>
          </w:tcPr>
          <w:p>
            <w:r>
              <w:t>0.274</w:t>
            </w:r>
          </w:p>
        </w:tc>
      </w:tr>
      <w:tr>
        <w:tc>
          <w:tcPr>
            <w:tcW w:type="dxa" w:w="1728"/>
          </w:tcPr>
          <w:p>
            <w:r>
              <w:t>No Payment History</w:t>
            </w:r>
          </w:p>
        </w:tc>
        <w:tc>
          <w:tcPr>
            <w:tcW w:type="dxa" w:w="1728"/>
          </w:tcPr>
          <w:p>
            <w:r>
              <w:t>15876</w:t>
            </w:r>
          </w:p>
        </w:tc>
        <w:tc>
          <w:tcPr>
            <w:tcW w:type="dxa" w:w="1728"/>
          </w:tcPr>
          <w:p>
            <w:r>
              <w:t>0.0598</w:t>
            </w:r>
          </w:p>
        </w:tc>
        <w:tc>
          <w:tcPr>
            <w:tcW w:type="dxa" w:w="1728"/>
          </w:tcPr>
          <w:p>
            <w:r>
              <w:t>0.000</w:t>
            </w:r>
          </w:p>
        </w:tc>
        <w:tc>
          <w:tcPr>
            <w:tcW w:type="dxa" w:w="1728"/>
          </w:tcPr>
          <w:p>
            <w:r>
              <w:t>0.000</w:t>
            </w:r>
          </w:p>
        </w:tc>
      </w:tr>
    </w:tbl>
    <w:p>
      <w:r>
        <w:rPr>
          <w:b/>
          <w:color w:val="2A78D6"/>
        </w:rPr>
        <w:t xml:space="preserve">Insight — </w:t>
      </w:r>
      <w:r>
        <w:rPr>
          <w:i/>
          <w:color w:val="595959"/>
        </w:rPr>
        <w:t>Real chi-square test: Prepayment Segment vs. real TARGET, chi2=298.99, p-value=1.647e-64, Cramer's V=0.0312 (95% bootstrap CI [0.0284, 0.0345]).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