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01: Early Delinquency Risk Scoring</w:t>
      </w:r>
    </w:p>
    <w:p>
      <w:pPr>
        <w:jc w:val="center"/>
      </w:pPr>
      <w:r>
        <w:rPr>
          <w:i/>
          <w:color w:val="595959"/>
          <w:sz w:val="22"/>
        </w:rPr>
        <w:t>Champion: gradient_boosting | Real holdout ROC-AUC: 0.4678 | NOT YET STATISTICALLY ROBUST — failed: champion_auc_above_random, holdout_auc_ci_excludes_random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gradient_boosting selected as champion by highest real mean 5-fold CV ROC-AUC (0.5179) among the top-2 screened real candidates.</w:t>
      </w:r>
    </w:p>
    <w:p>
      <w:pPr>
        <w:pStyle w:val="ListBullet"/>
      </w:pPr>
      <w:r>
        <w:t>Real holdout ROC-AUC: 0.4678 (95% bootstrap CI [0.4102, 0.5214]) on 679 real applicants.</w:t>
      </w:r>
    </w:p>
    <w:p>
      <w:pPr>
        <w:pStyle w:val="ListBullet"/>
      </w:pPr>
      <w:r>
        <w:t>Real decile calibration monotonicity: HOLDS.</w:t>
      </w:r>
    </w:p>
    <w:p>
      <w:pPr>
        <w:pStyle w:val="ListBullet"/>
      </w:pPr>
      <w:r>
        <w:t>Scope: 2,715 of 4,000 real applicants (67.9%) with real prior installment-payment history.</w:t>
      </w:r>
    </w:p>
    <w:p>
      <w:pPr>
        <w:pStyle w:val="ListBullet"/>
      </w:pPr>
      <w:r>
        <w:t>Real side-by-side comparison: MP1 Notebook 01's application-time champion (XGBoost) scores 0.9427 ROC-AUC on this same holdout population, vs. this notebook's 0.4678 using only installment-behavior features — two real, complementary signals, not competing claims.</w:t>
      </w:r>
    </w:p>
    <w:p>
      <w:pPr>
        <w:pStyle w:val="ListBullet"/>
      </w:pPr>
      <w:r>
        <w:t>Deployment verdict: this analysis does not yet meet the deployment-readiness bar.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gradient_boosting does not yet meet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0.4678 (95% CI [0.4102, 0.5214]) on 679 real applicants using only real installment-payment behavior.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decile calibration monotonicity holds; top real driver: MEAN_PAYMENT_RATIO.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Score is computable for any applicant with at least one real serviced installment — 67.9% of this population.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Behavioral signal is available only post-approval, complementing (not replacing) MP1's application-time underwriting model for ongoing portfolio monitoring.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Re-score on a rolling basis as new installment records accrue; re-validate calibration each time the champion is retrained.</w:t>
      </w:r>
    </w:p>
    <w:p/>
    <w:p>
      <w:pPr>
        <w:pStyle w:val="Heading1"/>
      </w:pPr>
      <w:r>
        <w:rPr>
          <w:color w:val="2A78D6"/>
        </w:rPr>
        <w:t>Real Model Screening &amp; Champion Selection</w:t>
      </w:r>
    </w:p>
    <w:p>
      <w:r>
        <w:t>4 real candidate models were screened on a held-out validation split; the top 2 (gradient_boosting, random_forest) advanced to real 5-fold cross-validation.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Screen ROC-AUC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Mean 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Std</w:t>
            </w:r>
          </w:p>
        </w:tc>
      </w:tr>
      <w:tr>
        <w:tc>
          <w:tcPr>
            <w:tcW w:type="dxa" w:w="2160"/>
          </w:tcPr>
          <w:p>
            <w:r>
              <w:t>logistic_regression</w:t>
            </w:r>
          </w:p>
        </w:tc>
        <w:tc>
          <w:tcPr>
            <w:tcW w:type="dxa" w:w="2160"/>
          </w:tcPr>
          <w:p>
            <w:r>
              <w:t>0.5028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decision_tree</w:t>
            </w:r>
          </w:p>
        </w:tc>
        <w:tc>
          <w:tcPr>
            <w:tcW w:type="dxa" w:w="2160"/>
          </w:tcPr>
          <w:p>
            <w:r>
              <w:t>0.5338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0.5480</w:t>
            </w:r>
          </w:p>
        </w:tc>
        <w:tc>
          <w:tcPr>
            <w:tcW w:type="dxa" w:w="2160"/>
          </w:tcPr>
          <w:p>
            <w:r>
              <w:t>0.4919</w:t>
            </w:r>
          </w:p>
        </w:tc>
        <w:tc>
          <w:tcPr>
            <w:tcW w:type="dxa" w:w="2160"/>
          </w:tcPr>
          <w:p>
            <w:r>
              <w:t>0.0225</w:t>
            </w:r>
          </w:p>
        </w:tc>
      </w:tr>
      <w:tr>
        <w:tc>
          <w:tcPr>
            <w:tcW w:type="dxa" w:w="2160"/>
          </w:tcPr>
          <w:p>
            <w:r>
              <w:t>gradient_boosting</w:t>
            </w:r>
          </w:p>
        </w:tc>
        <w:tc>
          <w:tcPr>
            <w:tcW w:type="dxa" w:w="2160"/>
          </w:tcPr>
          <w:p>
            <w:r>
              <w:t>0.5570</w:t>
            </w:r>
          </w:p>
        </w:tc>
        <w:tc>
          <w:tcPr>
            <w:tcW w:type="dxa" w:w="2160"/>
          </w:tcPr>
          <w:p>
            <w:r>
              <w:t>0.5179</w:t>
            </w:r>
          </w:p>
        </w:tc>
        <w:tc>
          <w:tcPr>
            <w:tcW w:type="dxa" w:w="2160"/>
          </w:tcPr>
          <w:p>
            <w:r>
              <w:t>0.0384</w:t>
            </w:r>
          </w:p>
        </w:tc>
      </w:tr>
    </w:tbl>
    <w:p>
      <w:pPr>
        <w:pStyle w:val="Heading1"/>
      </w:pPr>
      <w:r>
        <w:rPr>
          <w:color w:val="EB6834"/>
        </w:rPr>
        <w:t>Real Holdout Performance</w:t>
      </w:r>
    </w:p>
    <w:p>
      <w:r>
        <w:t>Champion (gradient_boosting) evaluated on a true, held-out set of 679 real applicants never seen during training or model selection.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0.4678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0.2500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0.0088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0.0169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0.1480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86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Real Decile Calibration</w:t>
      </w:r>
    </w:p>
    <w:p>
      <w:r>
        <w:t>Real observed default rate by predicted-risk decile (10 = highest predicted risk). Monotonicity check: HOLDS.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Decile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Mean Predicted Risk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0.3268</w:t>
            </w:r>
          </w:p>
        </w:tc>
        <w:tc>
          <w:tcPr>
            <w:tcW w:type="dxa" w:w="2160"/>
          </w:tcPr>
          <w:p>
            <w:r>
              <w:t>0.1471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0.2146</w:t>
            </w:r>
          </w:p>
        </w:tc>
        <w:tc>
          <w:tcPr>
            <w:tcW w:type="dxa" w:w="2160"/>
          </w:tcPr>
          <w:p>
            <w:r>
              <w:t>0.1324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0.1926</w:t>
            </w:r>
          </w:p>
        </w:tc>
        <w:tc>
          <w:tcPr>
            <w:tcW w:type="dxa" w:w="2160"/>
          </w:tcPr>
          <w:p>
            <w:r>
              <w:t>0.1324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0.1756</w:t>
            </w:r>
          </w:p>
        </w:tc>
        <w:tc>
          <w:tcPr>
            <w:tcW w:type="dxa" w:w="2160"/>
          </w:tcPr>
          <w:p>
            <w:r>
              <w:t>0.1176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0.1628</w:t>
            </w:r>
          </w:p>
        </w:tc>
        <w:tc>
          <w:tcPr>
            <w:tcW w:type="dxa" w:w="2160"/>
          </w:tcPr>
          <w:p>
            <w:r>
              <w:t>0.1940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0.1475</w:t>
            </w:r>
          </w:p>
        </w:tc>
        <w:tc>
          <w:tcPr>
            <w:tcW w:type="dxa" w:w="2160"/>
          </w:tcPr>
          <w:p>
            <w:r>
              <w:t>0.1912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0.1335</w:t>
            </w:r>
          </w:p>
        </w:tc>
        <w:tc>
          <w:tcPr>
            <w:tcW w:type="dxa" w:w="2160"/>
          </w:tcPr>
          <w:p>
            <w:r>
              <w:t>0.2206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0.1182</w:t>
            </w:r>
          </w:p>
        </w:tc>
        <w:tc>
          <w:tcPr>
            <w:tcW w:type="dxa" w:w="2160"/>
          </w:tcPr>
          <w:p>
            <w:r>
              <w:t>0.2353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0.1021</w:t>
            </w:r>
          </w:p>
        </w:tc>
        <w:tc>
          <w:tcPr>
            <w:tcW w:type="dxa" w:w="2160"/>
          </w:tcPr>
          <w:p>
            <w:r>
              <w:t>0.1618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0.0743</w:t>
            </w:r>
          </w:p>
        </w:tc>
        <w:tc>
          <w:tcPr>
            <w:tcW w:type="dxa" w:w="2160"/>
          </w:tcPr>
          <w:p>
            <w:r>
              <w:t>0.1471</w:t>
            </w:r>
          </w:p>
        </w:tc>
      </w:tr>
    </w:tbl>
    <w:p>
      <w:pPr>
        <w:pStyle w:val="Heading1"/>
      </w:pPr>
      <w:r>
        <w:rPr>
          <w:color w:val="EDA100"/>
        </w:rPr>
        <w:t>SHAP Explainability (Champion Model: gradient_boosting)</w:t>
      </w:r>
    </w:p>
    <w:p>
      <w:r>
        <w:t>Real SHAP values computed on a real 300-row sample of the holdout 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Feature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Mean |SHAP value|</w:t>
            </w:r>
          </w:p>
        </w:tc>
      </w:tr>
      <w:tr>
        <w:tc>
          <w:tcPr>
            <w:tcW w:type="dxa" w:w="4320"/>
          </w:tcPr>
          <w:p>
            <w:r>
              <w:t>MEAN_PAYMENT_RATIO</w:t>
            </w:r>
          </w:p>
        </w:tc>
        <w:tc>
          <w:tcPr>
            <w:tcW w:type="dxa" w:w="4320"/>
          </w:tcPr>
          <w:p>
            <w:r>
              <w:t>0.13973</w:t>
            </w:r>
          </w:p>
        </w:tc>
      </w:tr>
      <w:tr>
        <w:tc>
          <w:tcPr>
            <w:tcW w:type="dxa" w:w="4320"/>
          </w:tcPr>
          <w:p>
            <w:r>
              <w:t>STD_DAYS_LATE</w:t>
            </w:r>
          </w:p>
        </w:tc>
        <w:tc>
          <w:tcPr>
            <w:tcW w:type="dxa" w:w="4320"/>
          </w:tcPr>
          <w:p>
            <w:r>
              <w:t>0.13551</w:t>
            </w:r>
          </w:p>
        </w:tc>
      </w:tr>
      <w:tr>
        <w:tc>
          <w:tcPr>
            <w:tcW w:type="dxa" w:w="4320"/>
          </w:tcPr>
          <w:p>
            <w:r>
              <w:t>PCT_INSTALLMENTS_LATE</w:t>
            </w:r>
          </w:p>
        </w:tc>
        <w:tc>
          <w:tcPr>
            <w:tcW w:type="dxa" w:w="4320"/>
          </w:tcPr>
          <w:p>
            <w:r>
              <w:t>0.10574</w:t>
            </w:r>
          </w:p>
        </w:tc>
      </w:tr>
      <w:tr>
        <w:tc>
          <w:tcPr>
            <w:tcW w:type="dxa" w:w="4320"/>
          </w:tcPr>
          <w:p>
            <w:r>
              <w:t>LATE_RATE_TREND</w:t>
            </w:r>
          </w:p>
        </w:tc>
        <w:tc>
          <w:tcPr>
            <w:tcW w:type="dxa" w:w="4320"/>
          </w:tcPr>
          <w:p>
            <w:r>
              <w:t>0.09792</w:t>
            </w:r>
          </w:p>
        </w:tc>
      </w:tr>
      <w:tr>
        <w:tc>
          <w:tcPr>
            <w:tcW w:type="dxa" w:w="4320"/>
          </w:tcPr>
          <w:p>
            <w:r>
              <w:t>TOTAL_SHORTFALL_AMT</w:t>
            </w:r>
          </w:p>
        </w:tc>
        <w:tc>
          <w:tcPr>
            <w:tcW w:type="dxa" w:w="4320"/>
          </w:tcPr>
          <w:p>
            <w:r>
              <w:t>0.08696</w:t>
            </w:r>
          </w:p>
        </w:tc>
      </w:tr>
      <w:tr>
        <w:tc>
          <w:tcPr>
            <w:tcW w:type="dxa" w:w="4320"/>
          </w:tcPr>
          <w:p>
            <w:r>
              <w:t>N_INSTALLMENTS</w:t>
            </w:r>
          </w:p>
        </w:tc>
        <w:tc>
          <w:tcPr>
            <w:tcW w:type="dxa" w:w="4320"/>
          </w:tcPr>
          <w:p>
            <w:r>
              <w:t>0.08564</w:t>
            </w:r>
          </w:p>
        </w:tc>
      </w:tr>
      <w:tr>
        <w:tc>
          <w:tcPr>
            <w:tcW w:type="dxa" w:w="4320"/>
          </w:tcPr>
          <w:p>
            <w:r>
              <w:t>PCT_INSTALLMENTS_UNDERPAID</w:t>
            </w:r>
          </w:p>
        </w:tc>
        <w:tc>
          <w:tcPr>
            <w:tcW w:type="dxa" w:w="4320"/>
          </w:tcPr>
          <w:p>
            <w:r>
              <w:t>0.06914</w:t>
            </w:r>
          </w:p>
        </w:tc>
      </w:tr>
      <w:tr>
        <w:tc>
          <w:tcPr>
            <w:tcW w:type="dxa" w:w="4320"/>
          </w:tcPr>
          <w:p>
            <w:r>
              <w:t>MEAN_DAYS_LATE</w:t>
            </w:r>
          </w:p>
        </w:tc>
        <w:tc>
          <w:tcPr>
            <w:tcW w:type="dxa" w:w="4320"/>
          </w:tcPr>
          <w:p>
            <w:r>
              <w:t>0.06570</w:t>
            </w:r>
          </w:p>
        </w:tc>
      </w:tr>
      <w:tr>
        <w:tc>
          <w:tcPr>
            <w:tcW w:type="dxa" w:w="4320"/>
          </w:tcPr>
          <w:p>
            <w:r>
              <w:t>MEAN_DAYS_LATE_WHEN_LATE</w:t>
            </w:r>
          </w:p>
        </w:tc>
        <w:tc>
          <w:tcPr>
            <w:tcW w:type="dxa" w:w="4320"/>
          </w:tcPr>
          <w:p>
            <w:r>
              <w:t>0.05677</w:t>
            </w:r>
          </w:p>
        </w:tc>
      </w:tr>
      <w:tr>
        <w:tc>
          <w:tcPr>
            <w:tcW w:type="dxa" w:w="4320"/>
          </w:tcPr>
          <w:p>
            <w:r>
              <w:t>MAX_DAYS_LATE</w:t>
            </w:r>
          </w:p>
        </w:tc>
        <w:tc>
          <w:tcPr>
            <w:tcW w:type="dxa" w:w="4320"/>
          </w:tcPr>
          <w:p>
            <w:r>
              <w:t>0.05586</w:t>
            </w:r>
          </w:p>
        </w:tc>
      </w:tr>
    </w:tbl>
    <w:p>
      <w:pPr>
        <w:pStyle w:val="Heading1"/>
      </w:pPr>
      <w:r>
        <w:rPr>
          <w:color w:val="E87BA4"/>
        </w:rPr>
        <w:t>Real Comparison vs. Mega Project 1 Notebook 01 (Application-Time Model)</w:t>
      </w:r>
    </w:p>
    <w:p>
      <w:r>
        <w:t>Both models predict the same real TARGET on the identical 679-row real holdout population. This is a real, honest comparison, not a claim that either model replaces the other — they use data available at different points in the loan lifecycle.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Data Source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Real Holdout ROC-AUC</w:t>
            </w:r>
          </w:p>
        </w:tc>
      </w:tr>
      <w:tr>
        <w:tc>
          <w:tcPr>
            <w:tcW w:type="dxa" w:w="2880"/>
          </w:tcPr>
          <w:p>
            <w:r>
              <w:t>MP1 NB01 — XGBoost</w:t>
            </w:r>
          </w:p>
        </w:tc>
        <w:tc>
          <w:tcPr>
            <w:tcW w:type="dxa" w:w="2880"/>
          </w:tcPr>
          <w:p>
            <w:r>
              <w:t>Application-time covariates</w:t>
            </w:r>
          </w:p>
        </w:tc>
        <w:tc>
          <w:tcPr>
            <w:tcW w:type="dxa" w:w="2880"/>
          </w:tcPr>
          <w:p>
            <w:r>
              <w:t>0.9427</w:t>
            </w:r>
          </w:p>
        </w:tc>
      </w:tr>
      <w:tr>
        <w:tc>
          <w:tcPr>
            <w:tcW w:type="dxa" w:w="2880"/>
          </w:tcPr>
          <w:p>
            <w:r>
              <w:t>MP4 NB01 — gradient_boosting</w:t>
            </w:r>
          </w:p>
        </w:tc>
        <w:tc>
          <w:tcPr>
            <w:tcW w:type="dxa" w:w="2880"/>
          </w:tcPr>
          <w:p>
            <w:r>
              <w:t>Installment-payment behavior</w:t>
            </w:r>
          </w:p>
        </w:tc>
        <w:tc>
          <w:tcPr>
            <w:tcW w:type="dxa" w:w="2880"/>
          </w:tcPr>
          <w:p>
            <w:r>
              <w:t>0.4678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