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6BA9" w14:textId="77777777" w:rsidR="003061AE" w:rsidRDefault="00000000">
      <w:pPr>
        <w:spacing w:before="1400" w:after="80"/>
        <w:jc w:val="center"/>
      </w:pPr>
      <w:r>
        <w:rPr>
          <w:b/>
          <w:bCs/>
          <w:color w:val="1F3864"/>
          <w:sz w:val="56"/>
          <w:szCs w:val="56"/>
        </w:rPr>
        <w:t xml:space="preserve">IBM AML </w:t>
      </w:r>
      <w:proofErr w:type="spellStart"/>
      <w:r>
        <w:rPr>
          <w:b/>
          <w:bCs/>
          <w:color w:val="1F3864"/>
          <w:sz w:val="56"/>
          <w:szCs w:val="56"/>
        </w:rPr>
        <w:t>RiskIQ</w:t>
      </w:r>
      <w:proofErr w:type="spellEnd"/>
    </w:p>
    <w:p w14:paraId="738D18F8" w14:textId="77777777" w:rsidR="003061AE" w:rsidRDefault="00000000">
      <w:pPr>
        <w:spacing w:after="40"/>
        <w:jc w:val="center"/>
      </w:pPr>
      <w:r>
        <w:rPr>
          <w:b/>
          <w:bCs/>
          <w:color w:val="B8860B"/>
          <w:sz w:val="40"/>
          <w:szCs w:val="40"/>
        </w:rPr>
        <w:t>Enterprise Suite</w:t>
      </w:r>
    </w:p>
    <w:p w14:paraId="0703D57D" w14:textId="77777777" w:rsidR="003061AE" w:rsidRDefault="00000000">
      <w:pPr>
        <w:spacing w:after="500"/>
        <w:jc w:val="center"/>
      </w:pPr>
      <w:r>
        <w:rPr>
          <w:color w:val="595959"/>
          <w:sz w:val="30"/>
          <w:szCs w:val="30"/>
        </w:rPr>
        <w:t xml:space="preserve">Master Execution </w:t>
      </w:r>
      <w:proofErr w:type="gramStart"/>
      <w:r>
        <w:rPr>
          <w:color w:val="595959"/>
          <w:sz w:val="30"/>
          <w:szCs w:val="30"/>
        </w:rPr>
        <w:t>Plan  —</w:t>
      </w:r>
      <w:proofErr w:type="gramEnd"/>
      <w:r>
        <w:rPr>
          <w:color w:val="595959"/>
          <w:sz w:val="30"/>
          <w:szCs w:val="30"/>
        </w:rPr>
        <w:t xml:space="preserve">  v2.0</w:t>
      </w:r>
    </w:p>
    <w:p w14:paraId="3921C566" w14:textId="77777777" w:rsidR="003061AE" w:rsidRDefault="00000000">
      <w:pPr>
        <w:spacing w:after="40"/>
        <w:jc w:val="center"/>
      </w:pPr>
      <w:r>
        <w:rPr>
          <w:i/>
          <w:iCs/>
          <w:color w:val="595959"/>
          <w:sz w:val="22"/>
          <w:szCs w:val="22"/>
        </w:rPr>
        <w:t>AI-Driven Anti-Money Laundering &amp; Financial Crime Intelligence Platform</w:t>
      </w:r>
    </w:p>
    <w:p w14:paraId="5F9E9B3E" w14:textId="77777777" w:rsidR="003061AE" w:rsidRDefault="00000000">
      <w:pPr>
        <w:spacing w:after="600"/>
        <w:jc w:val="center"/>
      </w:pPr>
      <w:r>
        <w:rPr>
          <w:b/>
          <w:bCs/>
          <w:color w:val="1F3864"/>
          <w:sz w:val="20"/>
          <w:szCs w:val="20"/>
        </w:rPr>
        <w:t xml:space="preserve">6 Business </w:t>
      </w:r>
      <w:proofErr w:type="gramStart"/>
      <w:r>
        <w:rPr>
          <w:b/>
          <w:bCs/>
          <w:color w:val="1F3864"/>
          <w:sz w:val="20"/>
          <w:szCs w:val="20"/>
        </w:rPr>
        <w:t>Problems  |</w:t>
      </w:r>
      <w:proofErr w:type="gramEnd"/>
      <w:r>
        <w:rPr>
          <w:b/>
          <w:bCs/>
          <w:color w:val="1F3864"/>
          <w:sz w:val="20"/>
          <w:szCs w:val="20"/>
        </w:rPr>
        <w:t xml:space="preserve">  4 Build </w:t>
      </w:r>
      <w:proofErr w:type="gramStart"/>
      <w:r>
        <w:rPr>
          <w:b/>
          <w:bCs/>
          <w:color w:val="1F3864"/>
          <w:sz w:val="20"/>
          <w:szCs w:val="20"/>
        </w:rPr>
        <w:t>Phases  |</w:t>
      </w:r>
      <w:proofErr w:type="gramEnd"/>
      <w:r>
        <w:rPr>
          <w:b/>
          <w:bCs/>
          <w:color w:val="1F3864"/>
          <w:sz w:val="20"/>
          <w:szCs w:val="20"/>
        </w:rPr>
        <w:t xml:space="preserve">  30 Notebooks</w:t>
      </w:r>
    </w:p>
    <w:p w14:paraId="62B67469" w14:textId="77777777" w:rsidR="003061AE" w:rsidRDefault="00000000">
      <w:pPr>
        <w:spacing w:after="20"/>
        <w:jc w:val="center"/>
      </w:pPr>
      <w:r>
        <w:rPr>
          <w:sz w:val="20"/>
          <w:szCs w:val="20"/>
        </w:rPr>
        <w:t xml:space="preserve">Prepared for: </w:t>
      </w:r>
      <w:proofErr w:type="spellStart"/>
      <w:r>
        <w:rPr>
          <w:sz w:val="20"/>
          <w:szCs w:val="20"/>
        </w:rPr>
        <w:t>Nandagopal</w:t>
      </w:r>
      <w:proofErr w:type="spellEnd"/>
    </w:p>
    <w:p w14:paraId="0C9CC6A6" w14:textId="77777777" w:rsidR="003061AE" w:rsidRDefault="00000000">
      <w:pPr>
        <w:spacing w:after="20"/>
        <w:jc w:val="center"/>
      </w:pPr>
      <w:r>
        <w:rPr>
          <w:sz w:val="20"/>
          <w:szCs w:val="20"/>
        </w:rPr>
        <w:t>Date: September 29, 2026</w:t>
      </w:r>
    </w:p>
    <w:p w14:paraId="757D945C" w14:textId="77777777" w:rsidR="003061AE" w:rsidRDefault="00000000">
      <w:pPr>
        <w:spacing w:after="20"/>
        <w:jc w:val="center"/>
      </w:pPr>
      <w:r>
        <w:rPr>
          <w:i/>
          <w:iCs/>
          <w:color w:val="595959"/>
          <w:sz w:val="18"/>
          <w:szCs w:val="18"/>
        </w:rPr>
        <w:t>Supersedes v1.0 (September 23, 2026) on every conflicting point</w:t>
      </w:r>
    </w:p>
    <w:p w14:paraId="6DB18741" w14:textId="77777777" w:rsidR="003061AE" w:rsidRDefault="00000000">
      <w:pPr>
        <w:spacing w:after="20"/>
        <w:jc w:val="center"/>
      </w:pPr>
      <w:r>
        <w:rPr>
          <w:i/>
          <w:iCs/>
          <w:color w:val="595959"/>
          <w:sz w:val="18"/>
          <w:szCs w:val="18"/>
        </w:rPr>
        <w:t xml:space="preserve">Methodology mirrored from: AMEX </w:t>
      </w:r>
      <w:proofErr w:type="spellStart"/>
      <w:r>
        <w:rPr>
          <w:i/>
          <w:iCs/>
          <w:color w:val="595959"/>
          <w:sz w:val="18"/>
          <w:szCs w:val="18"/>
        </w:rPr>
        <w:t>RiskIQ</w:t>
      </w:r>
      <w:proofErr w:type="spellEnd"/>
      <w:r>
        <w:rPr>
          <w:i/>
          <w:iCs/>
          <w:color w:val="595959"/>
          <w:sz w:val="18"/>
          <w:szCs w:val="18"/>
        </w:rPr>
        <w:t xml:space="preserve">, Home Credit </w:t>
      </w:r>
      <w:proofErr w:type="spellStart"/>
      <w:r>
        <w:rPr>
          <w:i/>
          <w:iCs/>
          <w:color w:val="595959"/>
          <w:sz w:val="18"/>
          <w:szCs w:val="18"/>
        </w:rPr>
        <w:t>RiskIQ</w:t>
      </w:r>
      <w:proofErr w:type="spellEnd"/>
      <w:r>
        <w:rPr>
          <w:i/>
          <w:iCs/>
          <w:color w:val="595959"/>
          <w:sz w:val="18"/>
          <w:szCs w:val="18"/>
        </w:rPr>
        <w:t>, Fraud Shield, Customer360 Navigator Enterprise Suite</w:t>
      </w:r>
    </w:p>
    <w:p w14:paraId="4E9EAFF0" w14:textId="77777777" w:rsidR="003061AE" w:rsidRDefault="003061AE">
      <w:pPr>
        <w:pageBreakBefore/>
      </w:pPr>
    </w:p>
    <w:p w14:paraId="38D0769C" w14:textId="77777777" w:rsidR="003061AE" w:rsidRDefault="00000000">
      <w:pPr>
        <w:pStyle w:val="Heading1"/>
        <w:pBdr>
          <w:bottom w:val="single" w:sz="8" w:space="4" w:color="1F3864"/>
        </w:pBdr>
        <w:spacing w:before="400" w:after="160"/>
      </w:pPr>
      <w:r>
        <w:rPr>
          <w:b/>
          <w:bCs/>
          <w:color w:val="1F3864"/>
          <w:sz w:val="30"/>
          <w:szCs w:val="30"/>
        </w:rPr>
        <w:t>1. Executive Summary</w:t>
      </w:r>
    </w:p>
    <w:p w14:paraId="30631225" w14:textId="77777777" w:rsidR="003061AE" w:rsidRDefault="00000000">
      <w:pPr>
        <w:spacing w:after="140" w:line="276" w:lineRule="auto"/>
      </w:pPr>
      <w:r>
        <w:t>This plan locks in a 6-Business-Problem scope, replacing v1.0's 8-BP draft after a real feasibility review against the actual dataset: each of the 6 BPs here has independent, real ground truth or a fully computable structural signal in the IBM AML dataset — no proxy labels, no unvalidated composites.</w:t>
      </w:r>
    </w:p>
    <w:p w14:paraId="63BBD641" w14:textId="77777777" w:rsidR="003061AE" w:rsidRDefault="00000000">
      <w:pPr>
        <w:spacing w:after="140" w:line="276" w:lineRule="auto"/>
      </w:pPr>
      <w:r>
        <w:t>Four BPs from the original draft were dropped on that review: Account/Entity AML Risk Scoring and Alert Escalation/SAR-Filing Prediction (both lack an independent ground-truth label in this dataset — only Is Laundering exists), GenAI SAR Narrative Assistant (a generation task with nothing to validate output against), and Alert Prioritization &amp; Case Decision Engine (a composite/policy layer, not an independently trained model). Two BPs were added because the dataset directly supports them and they are real, high-priority named functions at top-tier banks: Structuring/Smurfing Detection and Correspondent Banking &amp; Cross-Border Wire Risk.</w:t>
      </w:r>
    </w:p>
    <w:p w14:paraId="38175A06" w14:textId="77777777" w:rsidR="003061AE" w:rsidRDefault="00000000">
      <w:pPr>
        <w:spacing w:after="140" w:line="276" w:lineRule="auto"/>
      </w:pPr>
      <w:r>
        <w:t>Every standing rule from the four prior platforms carries forward unchanged: zero-fabrication, the Claude execution-boundary rule, WARP (extended here with thermal protection), HYPER, the 6-Gate SOP mapped to CRISP-DM, the two-gate verdict architecture, and the Evidence Ledger. Nineteen concrete, real-bug-derived lessons from the AMEX and Home Credit builds are consolidated in LESSONS_LEARNED_APPLIED.md at the project root and referenced throughout rather than repeated in full.</w:t>
      </w:r>
    </w:p>
    <w:p w14:paraId="72E56CEC" w14:textId="77777777" w:rsidR="003061AE" w:rsidRDefault="00000000">
      <w:pPr>
        <w:pBdr>
          <w:left w:val="single" w:sz="16" w:space="8" w:color="B8860B"/>
        </w:pBdr>
        <w:shd w:val="clear" w:color="auto" w:fill="FBF1DC"/>
        <w:spacing w:before="60" w:after="160"/>
        <w:ind w:left="120"/>
      </w:pPr>
      <w:r>
        <w:rPr>
          <w:i/>
          <w:iCs/>
          <w:color w:val="5B4300"/>
          <w:sz w:val="20"/>
          <w:szCs w:val="20"/>
        </w:rPr>
        <w:t>FLAG — This is v2.0 of the plan. v1.0 (2026-09-23) proposed the 8-BP scope as an unconfirmed default; it has since been reviewed problem-by-problem against real dataset ground-truth availability and cross-checked against real AML terminology from primary regulatory sources. This version is the confirmed, final scope.</w:t>
      </w:r>
    </w:p>
    <w:p w14:paraId="66908448" w14:textId="77777777" w:rsidR="003061AE" w:rsidRDefault="00000000">
      <w:pPr>
        <w:pStyle w:val="Heading1"/>
        <w:pBdr>
          <w:bottom w:val="single" w:sz="8" w:space="4" w:color="1F3864"/>
        </w:pBdr>
        <w:spacing w:before="400" w:after="160"/>
      </w:pPr>
      <w:r>
        <w:rPr>
          <w:b/>
          <w:bCs/>
          <w:color w:val="1F3864"/>
          <w:sz w:val="30"/>
          <w:szCs w:val="30"/>
        </w:rPr>
        <w:t>2. Confirmed Foundations</w:t>
      </w:r>
    </w:p>
    <w:p w14:paraId="512FA362" w14:textId="77777777" w:rsidR="003061AE" w:rsidRDefault="00000000">
      <w:pPr>
        <w:pStyle w:val="Heading2"/>
        <w:spacing w:before="260" w:after="120"/>
      </w:pPr>
      <w:r>
        <w:rPr>
          <w:b/>
          <w:bCs/>
          <w:color w:val="1F3864"/>
          <w:sz w:val="24"/>
          <w:szCs w:val="24"/>
        </w:rPr>
        <w:t>2.1 Dataset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3061AE" w14:paraId="4B570A67"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2B9BCFA7" w14:textId="77777777" w:rsidR="003061AE" w:rsidRDefault="00000000">
            <w:pPr>
              <w:jc w:val="center"/>
            </w:pPr>
            <w:r>
              <w:rPr>
                <w:b/>
                <w:bCs/>
                <w:color w:val="FFFFFF"/>
                <w:sz w:val="19"/>
                <w:szCs w:val="19"/>
              </w:rPr>
              <w:t>Item</w:t>
            </w:r>
          </w:p>
        </w:tc>
        <w:tc>
          <w:tcPr>
            <w:tcW w:w="6200" w:type="dxa"/>
            <w:shd w:val="clear" w:color="auto" w:fill="1F3864"/>
            <w:tcMar>
              <w:top w:w="80" w:type="dxa"/>
              <w:left w:w="100" w:type="dxa"/>
              <w:bottom w:w="80" w:type="dxa"/>
              <w:right w:w="100" w:type="dxa"/>
            </w:tcMar>
          </w:tcPr>
          <w:p w14:paraId="137A0679" w14:textId="77777777" w:rsidR="003061AE" w:rsidRDefault="00000000">
            <w:pPr>
              <w:jc w:val="center"/>
            </w:pPr>
            <w:r>
              <w:rPr>
                <w:b/>
                <w:bCs/>
                <w:color w:val="FFFFFF"/>
                <w:sz w:val="19"/>
                <w:szCs w:val="19"/>
              </w:rPr>
              <w:t>Detail</w:t>
            </w:r>
          </w:p>
        </w:tc>
      </w:tr>
      <w:tr w:rsidR="003061AE" w14:paraId="04C527A1"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536DEF8" w14:textId="77777777" w:rsidR="003061AE" w:rsidRDefault="00000000">
            <w:r>
              <w:rPr>
                <w:color w:val="000000"/>
                <w:sz w:val="19"/>
                <w:szCs w:val="19"/>
              </w:rPr>
              <w:t>Source</w:t>
            </w:r>
          </w:p>
        </w:tc>
        <w:tc>
          <w:tcPr>
            <w:tcW w:w="6200" w:type="dxa"/>
            <w:shd w:val="clear" w:color="auto" w:fill="F2F2F2"/>
            <w:tcMar>
              <w:top w:w="80" w:type="dxa"/>
              <w:left w:w="100" w:type="dxa"/>
              <w:bottom w:w="80" w:type="dxa"/>
              <w:right w:w="100" w:type="dxa"/>
            </w:tcMar>
          </w:tcPr>
          <w:p w14:paraId="0514A9DD" w14:textId="77777777" w:rsidR="003061AE" w:rsidRDefault="00000000">
            <w:r>
              <w:rPr>
                <w:color w:val="000000"/>
                <w:sz w:val="19"/>
                <w:szCs w:val="19"/>
              </w:rPr>
              <w:t>Kaggle — “IBM Transactions for Anti Money Laundering (AML)” (ealtman2019)</w:t>
            </w:r>
          </w:p>
        </w:tc>
      </w:tr>
      <w:tr w:rsidR="003061AE" w14:paraId="2D515C74"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A8E02A3" w14:textId="77777777" w:rsidR="003061AE" w:rsidRDefault="00000000">
            <w:r>
              <w:rPr>
                <w:color w:val="000000"/>
                <w:sz w:val="19"/>
                <w:szCs w:val="19"/>
              </w:rPr>
              <w:t>Provenance</w:t>
            </w:r>
          </w:p>
        </w:tc>
        <w:tc>
          <w:tcPr>
            <w:tcW w:w="6200" w:type="dxa"/>
            <w:shd w:val="clear" w:color="auto" w:fill="FFFFFF"/>
            <w:tcMar>
              <w:top w:w="80" w:type="dxa"/>
              <w:left w:w="100" w:type="dxa"/>
              <w:bottom w:w="80" w:type="dxa"/>
              <w:right w:w="100" w:type="dxa"/>
            </w:tcMar>
          </w:tcPr>
          <w:p w14:paraId="5507F510" w14:textId="77777777" w:rsidR="003061AE" w:rsidRDefault="00000000">
            <w:r>
              <w:rPr>
                <w:color w:val="000000"/>
                <w:sz w:val="19"/>
                <w:szCs w:val="19"/>
              </w:rPr>
              <w:t xml:space="preserve">IBM Research / Altman et al., </w:t>
            </w:r>
            <w:proofErr w:type="spellStart"/>
            <w:r>
              <w:rPr>
                <w:color w:val="000000"/>
                <w:sz w:val="19"/>
                <w:szCs w:val="19"/>
              </w:rPr>
              <w:t>NeurIPS</w:t>
            </w:r>
            <w:proofErr w:type="spellEnd"/>
            <w:r>
              <w:rPr>
                <w:color w:val="000000"/>
                <w:sz w:val="19"/>
                <w:szCs w:val="19"/>
              </w:rPr>
              <w:t xml:space="preserve"> 2023 (arXiv:2306.16424)</w:t>
            </w:r>
          </w:p>
        </w:tc>
      </w:tr>
      <w:tr w:rsidR="003061AE" w14:paraId="18833217"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554885D" w14:textId="77777777" w:rsidR="003061AE" w:rsidRDefault="00000000">
            <w:r>
              <w:rPr>
                <w:color w:val="000000"/>
                <w:sz w:val="19"/>
                <w:szCs w:val="19"/>
              </w:rPr>
              <w:t>Nature</w:t>
            </w:r>
          </w:p>
        </w:tc>
        <w:tc>
          <w:tcPr>
            <w:tcW w:w="6200" w:type="dxa"/>
            <w:shd w:val="clear" w:color="auto" w:fill="F2F2F2"/>
            <w:tcMar>
              <w:top w:w="80" w:type="dxa"/>
              <w:left w:w="100" w:type="dxa"/>
              <w:bottom w:w="80" w:type="dxa"/>
              <w:right w:w="100" w:type="dxa"/>
            </w:tcMar>
          </w:tcPr>
          <w:p w14:paraId="3700106F" w14:textId="77777777" w:rsidR="003061AE" w:rsidRDefault="00000000">
            <w:r>
              <w:rPr>
                <w:color w:val="000000"/>
                <w:sz w:val="19"/>
                <w:szCs w:val="19"/>
              </w:rPr>
              <w:t>Fully synthetic transaction data</w:t>
            </w:r>
          </w:p>
        </w:tc>
      </w:tr>
      <w:tr w:rsidR="003061AE" w14:paraId="271F81EF"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7C2565EF" w14:textId="77777777" w:rsidR="003061AE" w:rsidRDefault="00000000">
            <w:r>
              <w:rPr>
                <w:color w:val="000000"/>
                <w:sz w:val="19"/>
                <w:szCs w:val="19"/>
              </w:rPr>
              <w:t>Variants</w:t>
            </w:r>
          </w:p>
        </w:tc>
        <w:tc>
          <w:tcPr>
            <w:tcW w:w="6200" w:type="dxa"/>
            <w:shd w:val="clear" w:color="auto" w:fill="FFFFFF"/>
            <w:tcMar>
              <w:top w:w="80" w:type="dxa"/>
              <w:left w:w="100" w:type="dxa"/>
              <w:bottom w:w="80" w:type="dxa"/>
              <w:right w:w="100" w:type="dxa"/>
            </w:tcMar>
          </w:tcPr>
          <w:p w14:paraId="41C469E6" w14:textId="77777777" w:rsidR="003061AE" w:rsidRDefault="00000000">
            <w:r>
              <w:rPr>
                <w:color w:val="000000"/>
                <w:sz w:val="19"/>
                <w:szCs w:val="19"/>
              </w:rPr>
              <w:t>6 total: HI-Small, HI-Medium, HI-Large, LI-Small, LI-Medium, LI-Large</w:t>
            </w:r>
          </w:p>
        </w:tc>
      </w:tr>
      <w:tr w:rsidR="003061AE" w14:paraId="7B70B2DF"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7EC87E72" w14:textId="77777777" w:rsidR="003061AE" w:rsidRDefault="00000000">
            <w:r>
              <w:rPr>
                <w:color w:val="000000"/>
                <w:sz w:val="19"/>
                <w:szCs w:val="19"/>
              </w:rPr>
              <w:t xml:space="preserve">Confirmed genuine </w:t>
            </w:r>
            <w:proofErr w:type="gramStart"/>
            <w:r>
              <w:rPr>
                <w:color w:val="000000"/>
                <w:sz w:val="19"/>
                <w:szCs w:val="19"/>
              </w:rPr>
              <w:t>on-device</w:t>
            </w:r>
            <w:proofErr w:type="gramEnd"/>
          </w:p>
        </w:tc>
        <w:tc>
          <w:tcPr>
            <w:tcW w:w="6200" w:type="dxa"/>
            <w:shd w:val="clear" w:color="auto" w:fill="F2F2F2"/>
            <w:tcMar>
              <w:top w:w="80" w:type="dxa"/>
              <w:left w:w="100" w:type="dxa"/>
              <w:bottom w:w="80" w:type="dxa"/>
              <w:right w:w="100" w:type="dxa"/>
            </w:tcMar>
          </w:tcPr>
          <w:p w14:paraId="6CA7C656" w14:textId="77777777" w:rsidR="003061AE" w:rsidRDefault="00000000">
            <w:r>
              <w:rPr>
                <w:color w:val="000000"/>
                <w:sz w:val="19"/>
                <w:szCs w:val="19"/>
              </w:rPr>
              <w:t xml:space="preserve">C:\Users\rnand\Downloads\IBM AML RISKIQ </w:t>
            </w:r>
            <w:proofErr w:type="gramStart"/>
            <w:r>
              <w:rPr>
                <w:color w:val="000000"/>
                <w:sz w:val="19"/>
                <w:szCs w:val="19"/>
              </w:rPr>
              <w:t>DATASET\ —</w:t>
            </w:r>
            <w:proofErr w:type="gramEnd"/>
            <w:r>
              <w:rPr>
                <w:color w:val="000000"/>
                <w:sz w:val="19"/>
                <w:szCs w:val="19"/>
              </w:rPr>
              <w:t xml:space="preserve"> real headers verified for all 3 file types per variant</w:t>
            </w:r>
          </w:p>
        </w:tc>
      </w:tr>
      <w:tr w:rsidR="003061AE" w14:paraId="08A1D9DD"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2D8B08ED" w14:textId="77777777" w:rsidR="003061AE" w:rsidRDefault="00000000">
            <w:r>
              <w:rPr>
                <w:color w:val="000000"/>
                <w:sz w:val="19"/>
                <w:szCs w:val="19"/>
              </w:rPr>
              <w:t>Row-count cross-check vs. published paper</w:t>
            </w:r>
          </w:p>
        </w:tc>
        <w:tc>
          <w:tcPr>
            <w:tcW w:w="6200" w:type="dxa"/>
            <w:shd w:val="clear" w:color="auto" w:fill="FFFFFF"/>
            <w:tcMar>
              <w:top w:w="80" w:type="dxa"/>
              <w:left w:w="100" w:type="dxa"/>
              <w:bottom w:w="80" w:type="dxa"/>
              <w:right w:w="100" w:type="dxa"/>
            </w:tcMar>
          </w:tcPr>
          <w:p w14:paraId="49E245F0" w14:textId="77777777" w:rsidR="003061AE" w:rsidRDefault="00000000">
            <w:r>
              <w:rPr>
                <w:color w:val="000000"/>
                <w:sz w:val="19"/>
                <w:szCs w:val="19"/>
              </w:rPr>
              <w:t xml:space="preserve">All 6 variants </w:t>
            </w:r>
            <w:proofErr w:type="gramStart"/>
            <w:r>
              <w:rPr>
                <w:color w:val="000000"/>
                <w:sz w:val="19"/>
                <w:szCs w:val="19"/>
              </w:rPr>
              <w:t>now</w:t>
            </w:r>
            <w:proofErr w:type="gramEnd"/>
            <w:r>
              <w:rPr>
                <w:color w:val="000000"/>
                <w:sz w:val="19"/>
                <w:szCs w:val="19"/>
              </w:rPr>
              <w:t xml:space="preserve"> independently confirmed (2026-09-29). HI-Small/LI-Small/HI-Medium/LI-Medium: near-exact match to Table 4. HI-Large: 179,702,230 lines (179,702,229 real transactions). LI-Large: 176,066,558 lines (176,066,557 real </w:t>
            </w:r>
            <w:proofErr w:type="gramStart"/>
            <w:r>
              <w:rPr>
                <w:color w:val="000000"/>
                <w:sz w:val="19"/>
                <w:szCs w:val="19"/>
              </w:rPr>
              <w:t>transactions) —</w:t>
            </w:r>
            <w:proofErr w:type="gramEnd"/>
            <w:r>
              <w:rPr>
                <w:color w:val="000000"/>
                <w:sz w:val="19"/>
                <w:szCs w:val="19"/>
              </w:rPr>
              <w:t xml:space="preserve"> both a near-exact match to the paper's expected ~180M/~176M scale</w:t>
            </w:r>
          </w:p>
        </w:tc>
      </w:tr>
      <w:tr w:rsidR="003061AE" w14:paraId="3232F7A3"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442FA650" w14:textId="77777777" w:rsidR="003061AE" w:rsidRDefault="00000000">
            <w:r>
              <w:rPr>
                <w:color w:val="000000"/>
                <w:sz w:val="19"/>
                <w:szCs w:val="19"/>
              </w:rPr>
              <w:t>Real schema (Trans.csv)</w:t>
            </w:r>
          </w:p>
        </w:tc>
        <w:tc>
          <w:tcPr>
            <w:tcW w:w="6200" w:type="dxa"/>
            <w:shd w:val="clear" w:color="auto" w:fill="F2F2F2"/>
            <w:tcMar>
              <w:top w:w="80" w:type="dxa"/>
              <w:left w:w="100" w:type="dxa"/>
              <w:bottom w:w="80" w:type="dxa"/>
              <w:right w:w="100" w:type="dxa"/>
            </w:tcMar>
          </w:tcPr>
          <w:p w14:paraId="730C1949" w14:textId="77777777" w:rsidR="003061AE" w:rsidRDefault="00000000">
            <w:r>
              <w:rPr>
                <w:color w:val="000000"/>
                <w:sz w:val="19"/>
                <w:szCs w:val="19"/>
              </w:rPr>
              <w:t>Timestamp, From Bank, Account, To Bank, Account.1, Amount Received, Receiving Currency, Amount Paid, Payment Currency, Payment Format, Is Laundering</w:t>
            </w:r>
          </w:p>
        </w:tc>
      </w:tr>
      <w:tr w:rsidR="003061AE" w14:paraId="135B63FD"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852F444" w14:textId="77777777" w:rsidR="003061AE" w:rsidRDefault="00000000">
            <w:r>
              <w:rPr>
                <w:color w:val="000000"/>
                <w:sz w:val="19"/>
                <w:szCs w:val="19"/>
              </w:rPr>
              <w:t>Real schema (accounts.csv)</w:t>
            </w:r>
          </w:p>
        </w:tc>
        <w:tc>
          <w:tcPr>
            <w:tcW w:w="6200" w:type="dxa"/>
            <w:shd w:val="clear" w:color="auto" w:fill="FFFFFF"/>
            <w:tcMar>
              <w:top w:w="80" w:type="dxa"/>
              <w:left w:w="100" w:type="dxa"/>
              <w:bottom w:w="80" w:type="dxa"/>
              <w:right w:w="100" w:type="dxa"/>
            </w:tcMar>
          </w:tcPr>
          <w:p w14:paraId="5171BC8E" w14:textId="77777777" w:rsidR="003061AE" w:rsidRDefault="00000000">
            <w:r>
              <w:rPr>
                <w:color w:val="000000"/>
                <w:sz w:val="19"/>
                <w:szCs w:val="19"/>
              </w:rPr>
              <w:t>Bank Name, Bank ID, Account Number, Entity ID, Entity Name</w:t>
            </w:r>
          </w:p>
        </w:tc>
      </w:tr>
      <w:tr w:rsidR="003061AE" w14:paraId="51BB0D2E"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34179091" w14:textId="77777777" w:rsidR="003061AE" w:rsidRDefault="00000000">
            <w:r>
              <w:rPr>
                <w:color w:val="000000"/>
                <w:sz w:val="19"/>
                <w:szCs w:val="19"/>
              </w:rPr>
              <w:lastRenderedPageBreak/>
              <w:t>Typologies (Patterns.txt, real ground truth)</w:t>
            </w:r>
          </w:p>
        </w:tc>
        <w:tc>
          <w:tcPr>
            <w:tcW w:w="6200" w:type="dxa"/>
            <w:shd w:val="clear" w:color="auto" w:fill="F2F2F2"/>
            <w:tcMar>
              <w:top w:w="80" w:type="dxa"/>
              <w:left w:w="100" w:type="dxa"/>
              <w:bottom w:w="80" w:type="dxa"/>
              <w:right w:w="100" w:type="dxa"/>
            </w:tcMar>
          </w:tcPr>
          <w:p w14:paraId="0711D23C" w14:textId="77777777" w:rsidR="003061AE" w:rsidRDefault="00000000">
            <w:r>
              <w:rPr>
                <w:color w:val="000000"/>
                <w:sz w:val="19"/>
                <w:szCs w:val="19"/>
              </w:rPr>
              <w:t>8: fan-out, fan-in, gather-scatter, scatter-gather, cycle, random, bipartite, stack</w:t>
            </w:r>
          </w:p>
        </w:tc>
      </w:tr>
      <w:tr w:rsidR="003061AE" w14:paraId="7A13B46D"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FF57F32" w14:textId="77777777" w:rsidR="003061AE" w:rsidRDefault="00000000">
            <w:r>
              <w:rPr>
                <w:color w:val="000000"/>
                <w:sz w:val="19"/>
                <w:szCs w:val="19"/>
              </w:rPr>
              <w:t>Build target</w:t>
            </w:r>
          </w:p>
        </w:tc>
        <w:tc>
          <w:tcPr>
            <w:tcW w:w="6200" w:type="dxa"/>
            <w:shd w:val="clear" w:color="auto" w:fill="FFFFFF"/>
            <w:tcMar>
              <w:top w:w="80" w:type="dxa"/>
              <w:left w:w="100" w:type="dxa"/>
              <w:bottom w:w="80" w:type="dxa"/>
              <w:right w:w="100" w:type="dxa"/>
            </w:tcMar>
          </w:tcPr>
          <w:p w14:paraId="581D60B4" w14:textId="77777777" w:rsidR="003061AE" w:rsidRDefault="00000000">
            <w:r>
              <w:rPr>
                <w:color w:val="000000"/>
                <w:sz w:val="19"/>
                <w:szCs w:val="19"/>
              </w:rPr>
              <w:t>HI-Small for all primary development — config-driven re-point to Medium/Large once proven correct</w:t>
            </w:r>
          </w:p>
        </w:tc>
      </w:tr>
    </w:tbl>
    <w:p w14:paraId="60FDAE09" w14:textId="77777777" w:rsidR="003061AE" w:rsidRDefault="00000000">
      <w:pPr>
        <w:pStyle w:val="Heading2"/>
        <w:spacing w:before="260" w:after="120"/>
      </w:pPr>
      <w:r>
        <w:rPr>
          <w:b/>
          <w:bCs/>
          <w:color w:val="1F3864"/>
          <w:sz w:val="24"/>
          <w:szCs w:val="24"/>
        </w:rPr>
        <w:t>2.2 Environment</w:t>
      </w:r>
    </w:p>
    <w:p w14:paraId="7F0A7398" w14:textId="77777777" w:rsidR="003061AE" w:rsidRDefault="00000000">
      <w:pPr>
        <w:pStyle w:val="ListParagraph"/>
        <w:numPr>
          <w:ilvl w:val="0"/>
          <w:numId w:val="2"/>
        </w:numPr>
        <w:spacing w:after="80" w:line="264" w:lineRule="auto"/>
      </w:pPr>
      <w:r>
        <w:t>Project root: C:\Users\rnand\Documents\IBM_AML_RiskIQ_Enterprise_Suite\ (Windows, connected as the “Documents” folder)</w:t>
      </w:r>
    </w:p>
    <w:p w14:paraId="4F0196BD" w14:textId="77777777" w:rsidR="003061AE" w:rsidRDefault="00000000">
      <w:pPr>
        <w:pStyle w:val="ListParagraph"/>
        <w:numPr>
          <w:ilvl w:val="0"/>
          <w:numId w:val="2"/>
        </w:numPr>
        <w:spacing w:after="80" w:line="264" w:lineRule="auto"/>
      </w:pPr>
      <w:r>
        <w:t>Folder structure re-locked 2026-09-29 to the 6-BP scope — see PROJECT_STRUCTURE_LOCKED.md for the full layout and the no-rename-after-first-write rule</w:t>
      </w:r>
    </w:p>
    <w:p w14:paraId="0B00A8B4" w14:textId="77777777" w:rsidR="003061AE" w:rsidRDefault="00000000">
      <w:pPr>
        <w:pStyle w:val="ListParagraph"/>
        <w:numPr>
          <w:ilvl w:val="0"/>
          <w:numId w:val="2"/>
        </w:numPr>
        <w:spacing w:after="80" w:line="264" w:lineRule="auto"/>
      </w:pPr>
      <w:proofErr w:type="spellStart"/>
      <w:r>
        <w:t>src</w:t>
      </w:r>
      <w:proofErr w:type="spellEnd"/>
      <w:r>
        <w:t>/utils/ is scaffolded (folder + README only) but not yet populated with real code — Notebook 00 and BP1 Notebook 1 will deliver the first real project_root.py and performance_setup.py</w:t>
      </w:r>
    </w:p>
    <w:p w14:paraId="3354C547" w14:textId="77777777" w:rsidR="003061AE" w:rsidRDefault="00000000">
      <w:pPr>
        <w:pStyle w:val="ListParagraph"/>
        <w:numPr>
          <w:ilvl w:val="0"/>
          <w:numId w:val="2"/>
        </w:numPr>
        <w:spacing w:after="80" w:line="264" w:lineRule="auto"/>
      </w:pPr>
      <w:r>
        <w:t xml:space="preserve">Top-level layout: docs/, </w:t>
      </w:r>
      <w:proofErr w:type="gramStart"/>
      <w:r>
        <w:t>data/{</w:t>
      </w:r>
      <w:proofErr w:type="spellStart"/>
      <w:r>
        <w:t>raw,processed</w:t>
      </w:r>
      <w:proofErr w:type="gramEnd"/>
      <w:r>
        <w:t>,</w:t>
      </w:r>
      <w:proofErr w:type="gramStart"/>
      <w:r>
        <w:t>external</w:t>
      </w:r>
      <w:proofErr w:type="spellEnd"/>
      <w:r>
        <w:t>},</w:t>
      </w:r>
      <w:proofErr w:type="gramEnd"/>
      <w:r>
        <w:t xml:space="preserve"> notebooks/, </w:t>
      </w:r>
      <w:proofErr w:type="spellStart"/>
      <w:proofErr w:type="gramStart"/>
      <w:r>
        <w:t>src</w:t>
      </w:r>
      <w:proofErr w:type="spellEnd"/>
      <w:r>
        <w:t>/{</w:t>
      </w:r>
      <w:proofErr w:type="spellStart"/>
      <w:r>
        <w:t>typology,features</w:t>
      </w:r>
      <w:proofErr w:type="gramEnd"/>
      <w:r>
        <w:t>,</w:t>
      </w:r>
      <w:proofErr w:type="gramStart"/>
      <w:r>
        <w:t>models,reporting</w:t>
      </w:r>
      <w:proofErr w:type="gramEnd"/>
      <w:r>
        <w:t>,</w:t>
      </w:r>
      <w:proofErr w:type="gramStart"/>
      <w:r>
        <w:t>utils</w:t>
      </w:r>
      <w:proofErr w:type="spellEnd"/>
      <w:r>
        <w:t>},</w:t>
      </w:r>
      <w:proofErr w:type="gramEnd"/>
      <w:r>
        <w:t xml:space="preserve"> tests/, models/, reports/, </w:t>
      </w:r>
      <w:proofErr w:type="spellStart"/>
      <w:r>
        <w:t>powerbi</w:t>
      </w:r>
      <w:proofErr w:type="spellEnd"/>
      <w:r>
        <w:t>/, configs/</w:t>
      </w:r>
      <w:proofErr w:type="gramStart"/>
      <w:r>
        <w:t>, .</w:t>
      </w:r>
      <w:proofErr w:type="spellStart"/>
      <w:r>
        <w:t>github</w:t>
      </w:r>
      <w:proofErr w:type="spellEnd"/>
      <w:proofErr w:type="gramEnd"/>
      <w:r>
        <w:t xml:space="preserve">/workflows/, logs/, </w:t>
      </w:r>
      <w:proofErr w:type="spellStart"/>
      <w:r>
        <w:t>github_repo</w:t>
      </w:r>
      <w:proofErr w:type="spellEnd"/>
      <w:r>
        <w:t xml:space="preserve">/ (staged push mirror), </w:t>
      </w:r>
      <w:proofErr w:type="spellStart"/>
      <w:r>
        <w:t>kaggle</w:t>
      </w:r>
      <w:proofErr w:type="spellEnd"/>
      <w:r>
        <w:t xml:space="preserve">/, </w:t>
      </w:r>
      <w:proofErr w:type="spellStart"/>
      <w:r>
        <w:t>linkedin</w:t>
      </w:r>
      <w:proofErr w:type="spellEnd"/>
      <w:r>
        <w:t>/</w:t>
      </w:r>
    </w:p>
    <w:p w14:paraId="5620FDFF" w14:textId="77777777" w:rsidR="003061AE" w:rsidRDefault="00000000">
      <w:pPr>
        <w:pStyle w:val="Heading1"/>
        <w:pBdr>
          <w:bottom w:val="single" w:sz="8" w:space="4" w:color="1F3864"/>
        </w:pBdr>
        <w:spacing w:before="400" w:after="160"/>
      </w:pPr>
      <w:r>
        <w:rPr>
          <w:b/>
          <w:bCs/>
          <w:color w:val="1F3864"/>
          <w:sz w:val="30"/>
          <w:szCs w:val="30"/>
        </w:rPr>
        <w:t>2.3 Multi-Variant Dataset Usage &amp; Validation Strategy</w:t>
      </w:r>
    </w:p>
    <w:p w14:paraId="4ABD0B3C" w14:textId="77777777" w:rsidR="003061AE" w:rsidRDefault="00000000">
      <w:pPr>
        <w:spacing w:after="140" w:line="276" w:lineRule="auto"/>
      </w:pPr>
      <w:r>
        <w:t xml:space="preserve">Six variants exist, </w:t>
      </w:r>
      <w:proofErr w:type="gramStart"/>
      <w:r>
        <w:t>each an</w:t>
      </w:r>
      <w:proofErr w:type="gramEnd"/>
      <w:r>
        <w:t xml:space="preserve"> independently-generated synthetic simulation — not subsamples of one another. Two axes: HI vs. LI (Higher vs. Lower embedded illicit-transaction ratio — LI is the realistic, harder case: laundering as a rare needle in a huge haystack, closer to what a real bank sees; HI is deliberately easier, generated with proportionally more laundering activity for fast development). Small vs. Medium vs. Large (independent simulations at increasing transaction volume).</w:t>
      </w:r>
    </w:p>
    <w:p w14:paraId="5164D057" w14:textId="77777777" w:rsidR="003061AE" w:rsidRDefault="00000000">
      <w:pPr>
        <w:pBdr>
          <w:left w:val="single" w:sz="16" w:space="8" w:color="B8860B"/>
        </w:pBdr>
        <w:shd w:val="clear" w:color="auto" w:fill="FBF1DC"/>
        <w:spacing w:before="60" w:after="160"/>
        <w:ind w:left="120"/>
      </w:pPr>
      <w:r>
        <w:rPr>
          <w:i/>
          <w:iCs/>
          <w:color w:val="5B4300"/>
          <w:sz w:val="20"/>
          <w:szCs w:val="20"/>
        </w:rPr>
        <w:t>FLAG — Hard rule: variants are never merged or concatenated. Each variant has its own Entity IDs/Bank IDs — pooling rows across variants would mix unrelated synthetic worlds. “Using multiple variants” always means separate runs of the same notebook, compared side by side and explicitly labeled by which variant produced which number — never a blended, unlabeled figure.</w:t>
      </w:r>
    </w:p>
    <w:p w14:paraId="239987C1" w14:textId="77777777" w:rsidR="003061AE" w:rsidRDefault="003061AE">
      <w:pPr>
        <w:spacing w:after="120"/>
      </w:pPr>
    </w:p>
    <w:p w14:paraId="53F9AB0A" w14:textId="77777777" w:rsidR="003061AE" w:rsidRDefault="00000000">
      <w:pPr>
        <w:pStyle w:val="Heading2"/>
        <w:spacing w:before="260" w:after="120"/>
      </w:pPr>
      <w:r>
        <w:rPr>
          <w:b/>
          <w:bCs/>
          <w:color w:val="1F3864"/>
          <w:sz w:val="24"/>
          <w:szCs w:val="24"/>
        </w:rPr>
        <w:t>Per-notebook staged pattern (every BP)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600"/>
      </w:tblGrid>
      <w:tr w:rsidR="003061AE" w14:paraId="10F0613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2C2373C1" w14:textId="77777777" w:rsidR="003061AE" w:rsidRDefault="00000000">
            <w:pPr>
              <w:jc w:val="center"/>
            </w:pPr>
            <w:r>
              <w:rPr>
                <w:b/>
                <w:bCs/>
                <w:color w:val="FFFFFF"/>
                <w:sz w:val="19"/>
                <w:szCs w:val="19"/>
              </w:rPr>
              <w:t>Notebook</w:t>
            </w:r>
          </w:p>
        </w:tc>
        <w:tc>
          <w:tcPr>
            <w:tcW w:w="3200" w:type="dxa"/>
            <w:shd w:val="clear" w:color="auto" w:fill="1F3864"/>
            <w:tcMar>
              <w:top w:w="80" w:type="dxa"/>
              <w:left w:w="100" w:type="dxa"/>
              <w:bottom w:w="80" w:type="dxa"/>
              <w:right w:w="100" w:type="dxa"/>
            </w:tcMar>
          </w:tcPr>
          <w:p w14:paraId="671C73C6" w14:textId="77777777" w:rsidR="003061AE" w:rsidRDefault="00000000">
            <w:pPr>
              <w:jc w:val="center"/>
            </w:pPr>
            <w:r>
              <w:rPr>
                <w:b/>
                <w:bCs/>
                <w:color w:val="FFFFFF"/>
                <w:sz w:val="19"/>
                <w:szCs w:val="19"/>
              </w:rPr>
              <w:t>Variant(s) used</w:t>
            </w:r>
          </w:p>
        </w:tc>
        <w:tc>
          <w:tcPr>
            <w:tcW w:w="3600" w:type="dxa"/>
            <w:shd w:val="clear" w:color="auto" w:fill="1F3864"/>
            <w:tcMar>
              <w:top w:w="80" w:type="dxa"/>
              <w:left w:w="100" w:type="dxa"/>
              <w:bottom w:w="80" w:type="dxa"/>
              <w:right w:w="100" w:type="dxa"/>
            </w:tcMar>
          </w:tcPr>
          <w:p w14:paraId="499269C4" w14:textId="77777777" w:rsidR="003061AE" w:rsidRDefault="00000000">
            <w:pPr>
              <w:jc w:val="center"/>
            </w:pPr>
            <w:r>
              <w:rPr>
                <w:b/>
                <w:bCs/>
                <w:color w:val="FFFFFF"/>
                <w:sz w:val="19"/>
                <w:szCs w:val="19"/>
              </w:rPr>
              <w:t>Why</w:t>
            </w:r>
          </w:p>
        </w:tc>
      </w:tr>
      <w:tr w:rsidR="003061AE" w14:paraId="0FADB80D"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0CD583C" w14:textId="77777777" w:rsidR="003061AE" w:rsidRDefault="00000000">
            <w:r>
              <w:rPr>
                <w:color w:val="000000"/>
                <w:sz w:val="19"/>
                <w:szCs w:val="19"/>
              </w:rPr>
              <w:t>1. Business Understanding</w:t>
            </w:r>
          </w:p>
        </w:tc>
        <w:tc>
          <w:tcPr>
            <w:tcW w:w="3200" w:type="dxa"/>
            <w:shd w:val="clear" w:color="auto" w:fill="F2F2F2"/>
            <w:tcMar>
              <w:top w:w="80" w:type="dxa"/>
              <w:left w:w="100" w:type="dxa"/>
              <w:bottom w:w="80" w:type="dxa"/>
              <w:right w:w="100" w:type="dxa"/>
            </w:tcMar>
          </w:tcPr>
          <w:p w14:paraId="10BEE1EC" w14:textId="77777777" w:rsidR="003061AE" w:rsidRDefault="00000000">
            <w:r>
              <w:rPr>
                <w:color w:val="000000"/>
                <w:sz w:val="19"/>
                <w:szCs w:val="19"/>
              </w:rPr>
              <w:t>HI-Small + LI-Small, side by side</w:t>
            </w:r>
          </w:p>
        </w:tc>
        <w:tc>
          <w:tcPr>
            <w:tcW w:w="3600" w:type="dxa"/>
            <w:shd w:val="clear" w:color="auto" w:fill="F2F2F2"/>
            <w:tcMar>
              <w:top w:w="80" w:type="dxa"/>
              <w:left w:w="100" w:type="dxa"/>
              <w:bottom w:w="80" w:type="dxa"/>
              <w:right w:w="100" w:type="dxa"/>
            </w:tcMar>
          </w:tcPr>
          <w:p w14:paraId="05EDD269" w14:textId="77777777" w:rsidR="003061AE" w:rsidRDefault="00000000">
            <w:r>
              <w:rPr>
                <w:color w:val="000000"/>
                <w:sz w:val="19"/>
                <w:szCs w:val="19"/>
              </w:rPr>
              <w:t>Cheap at Small scale; documents the real illicit-ratio difference before any model is built</w:t>
            </w:r>
          </w:p>
        </w:tc>
      </w:tr>
      <w:tr w:rsidR="003061AE" w14:paraId="330627D5"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67A7D27" w14:textId="77777777" w:rsidR="003061AE" w:rsidRDefault="00000000">
            <w:r>
              <w:rPr>
                <w:color w:val="000000"/>
                <w:sz w:val="19"/>
                <w:szCs w:val="19"/>
              </w:rPr>
              <w:t>2. Feature Eng. &amp; Modeling</w:t>
            </w:r>
          </w:p>
        </w:tc>
        <w:tc>
          <w:tcPr>
            <w:tcW w:w="3200" w:type="dxa"/>
            <w:shd w:val="clear" w:color="auto" w:fill="FFFFFF"/>
            <w:tcMar>
              <w:top w:w="80" w:type="dxa"/>
              <w:left w:w="100" w:type="dxa"/>
              <w:bottom w:w="80" w:type="dxa"/>
              <w:right w:w="100" w:type="dxa"/>
            </w:tcMar>
          </w:tcPr>
          <w:p w14:paraId="741FFE02" w14:textId="77777777" w:rsidR="003061AE" w:rsidRDefault="00000000">
            <w:r>
              <w:rPr>
                <w:color w:val="000000"/>
                <w:sz w:val="19"/>
                <w:szCs w:val="19"/>
              </w:rPr>
              <w:t>HI-Small only</w:t>
            </w:r>
          </w:p>
        </w:tc>
        <w:tc>
          <w:tcPr>
            <w:tcW w:w="3600" w:type="dxa"/>
            <w:shd w:val="clear" w:color="auto" w:fill="FFFFFF"/>
            <w:tcMar>
              <w:top w:w="80" w:type="dxa"/>
              <w:left w:w="100" w:type="dxa"/>
              <w:bottom w:w="80" w:type="dxa"/>
              <w:right w:w="100" w:type="dxa"/>
            </w:tcMar>
          </w:tcPr>
          <w:p w14:paraId="0A607F73" w14:textId="77777777" w:rsidR="003061AE" w:rsidRDefault="00000000">
            <w:r>
              <w:rPr>
                <w:color w:val="000000"/>
                <w:sz w:val="19"/>
                <w:szCs w:val="19"/>
              </w:rPr>
              <w:t>Fast build/debug iteration — never the reported result</w:t>
            </w:r>
          </w:p>
        </w:tc>
      </w:tr>
      <w:tr w:rsidR="003061AE" w14:paraId="2F33A70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E32F40B" w14:textId="77777777" w:rsidR="003061AE" w:rsidRDefault="00000000">
            <w:r>
              <w:rPr>
                <w:color w:val="000000"/>
                <w:sz w:val="19"/>
                <w:szCs w:val="19"/>
              </w:rPr>
              <w:t>3. Statistical Validation</w:t>
            </w:r>
          </w:p>
        </w:tc>
        <w:tc>
          <w:tcPr>
            <w:tcW w:w="3200" w:type="dxa"/>
            <w:shd w:val="clear" w:color="auto" w:fill="F2F2F2"/>
            <w:tcMar>
              <w:top w:w="80" w:type="dxa"/>
              <w:left w:w="100" w:type="dxa"/>
              <w:bottom w:w="80" w:type="dxa"/>
              <w:right w:w="100" w:type="dxa"/>
            </w:tcMar>
          </w:tcPr>
          <w:p w14:paraId="53C8FF6B" w14:textId="77777777" w:rsidR="003061AE" w:rsidRDefault="00000000">
            <w:r>
              <w:rPr>
                <w:color w:val="000000"/>
                <w:sz w:val="19"/>
                <w:szCs w:val="19"/>
              </w:rPr>
              <w:t>HI-Small + the BP's mandatory realism tier</w:t>
            </w:r>
          </w:p>
        </w:tc>
        <w:tc>
          <w:tcPr>
            <w:tcW w:w="3600" w:type="dxa"/>
            <w:shd w:val="clear" w:color="auto" w:fill="F2F2F2"/>
            <w:tcMar>
              <w:top w:w="80" w:type="dxa"/>
              <w:left w:w="100" w:type="dxa"/>
              <w:bottom w:w="80" w:type="dxa"/>
              <w:right w:w="100" w:type="dxa"/>
            </w:tcMar>
          </w:tcPr>
          <w:p w14:paraId="60FB9944" w14:textId="77777777" w:rsidR="003061AE" w:rsidRDefault="00000000">
            <w:r>
              <w:rPr>
                <w:color w:val="000000"/>
                <w:sz w:val="19"/>
                <w:szCs w:val="19"/>
              </w:rPr>
              <w:t>Same notebook re-pointed via one config line, re-run for real, both reported side by side</w:t>
            </w:r>
          </w:p>
        </w:tc>
      </w:tr>
      <w:tr w:rsidR="003061AE" w14:paraId="44617CF3"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B9BDC3C" w14:textId="77777777" w:rsidR="003061AE" w:rsidRDefault="00000000">
            <w:r>
              <w:rPr>
                <w:color w:val="000000"/>
                <w:sz w:val="19"/>
                <w:szCs w:val="19"/>
              </w:rPr>
              <w:t>4. Reporting</w:t>
            </w:r>
          </w:p>
        </w:tc>
        <w:tc>
          <w:tcPr>
            <w:tcW w:w="3200" w:type="dxa"/>
            <w:shd w:val="clear" w:color="auto" w:fill="FFFFFF"/>
            <w:tcMar>
              <w:top w:w="80" w:type="dxa"/>
              <w:left w:w="100" w:type="dxa"/>
              <w:bottom w:w="80" w:type="dxa"/>
              <w:right w:w="100" w:type="dxa"/>
            </w:tcMar>
          </w:tcPr>
          <w:p w14:paraId="555CCD13" w14:textId="77777777" w:rsidR="003061AE" w:rsidRDefault="00000000">
            <w:r>
              <w:rPr>
                <w:color w:val="000000"/>
                <w:sz w:val="19"/>
                <w:szCs w:val="19"/>
              </w:rPr>
              <w:t>Whichever real runs Notebook 3 produced, each labeled by variant</w:t>
            </w:r>
          </w:p>
        </w:tc>
        <w:tc>
          <w:tcPr>
            <w:tcW w:w="3600" w:type="dxa"/>
            <w:shd w:val="clear" w:color="auto" w:fill="FFFFFF"/>
            <w:tcMar>
              <w:top w:w="80" w:type="dxa"/>
              <w:left w:w="100" w:type="dxa"/>
              <w:bottom w:w="80" w:type="dxa"/>
              <w:right w:w="100" w:type="dxa"/>
            </w:tcMar>
          </w:tcPr>
          <w:p w14:paraId="643445AA" w14:textId="77777777" w:rsidR="003061AE" w:rsidRDefault="00000000">
            <w:r>
              <w:rPr>
                <w:color w:val="000000"/>
                <w:sz w:val="19"/>
                <w:szCs w:val="19"/>
              </w:rPr>
              <w:t>Never blends numbers from different variants unlabeled</w:t>
            </w:r>
          </w:p>
        </w:tc>
      </w:tr>
    </w:tbl>
    <w:p w14:paraId="6B034938" w14:textId="77777777" w:rsidR="003061AE" w:rsidRDefault="003061AE">
      <w:pPr>
        <w:spacing w:after="120"/>
      </w:pPr>
    </w:p>
    <w:p w14:paraId="781CEC77" w14:textId="77777777" w:rsidR="003061AE" w:rsidRDefault="00000000">
      <w:pPr>
        <w:pBdr>
          <w:left w:val="single" w:sz="16" w:space="8" w:color="B8860B"/>
        </w:pBdr>
        <w:shd w:val="clear" w:color="auto" w:fill="FBF1DC"/>
        <w:spacing w:before="60" w:after="160"/>
        <w:ind w:left="120"/>
      </w:pPr>
      <w:r>
        <w:rPr>
          <w:i/>
          <w:iCs/>
          <w:color w:val="5B4300"/>
          <w:sz w:val="20"/>
          <w:szCs w:val="20"/>
        </w:rPr>
        <w:lastRenderedPageBreak/>
        <w:t xml:space="preserve">FLAG — Locked policy (user-confirmed 2026-09-29): LI-Medium is the mandatory realism-validation tier for every BP before its results count as final — already independently row-count-verified. HI-Large/LI-Large </w:t>
      </w:r>
      <w:proofErr w:type="gramStart"/>
      <w:r>
        <w:rPr>
          <w:i/>
          <w:iCs/>
          <w:color w:val="5B4300"/>
          <w:sz w:val="20"/>
          <w:szCs w:val="20"/>
        </w:rPr>
        <w:t>stay</w:t>
      </w:r>
      <w:proofErr w:type="gramEnd"/>
      <w:r>
        <w:rPr>
          <w:i/>
          <w:iCs/>
          <w:color w:val="5B4300"/>
          <w:sz w:val="20"/>
          <w:szCs w:val="20"/>
        </w:rPr>
        <w:t xml:space="preserve"> an optional stretch validation per BP, not blocking, now that both files' real row counts are independently confirmed (Section 2.1).</w:t>
      </w:r>
    </w:p>
    <w:p w14:paraId="08A88CA4" w14:textId="77777777" w:rsidR="003061AE" w:rsidRDefault="003061AE">
      <w:pPr>
        <w:spacing w:after="120"/>
      </w:pPr>
    </w:p>
    <w:p w14:paraId="45282959" w14:textId="77777777" w:rsidR="003061AE" w:rsidRDefault="00000000">
      <w:pPr>
        <w:pStyle w:val="Heading2"/>
        <w:spacing w:before="260" w:after="120"/>
      </w:pPr>
      <w:r>
        <w:rPr>
          <w:b/>
          <w:bCs/>
          <w:color w:val="1F3864"/>
          <w:sz w:val="24"/>
          <w:szCs w:val="24"/>
        </w:rPr>
        <w:t>Per-BP validation-tier detail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1900"/>
        <w:gridCol w:w="1900"/>
      </w:tblGrid>
      <w:tr w:rsidR="003061AE" w14:paraId="0054A51C"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30C716E5" w14:textId="77777777" w:rsidR="003061AE" w:rsidRDefault="00000000">
            <w:pPr>
              <w:jc w:val="center"/>
            </w:pPr>
            <w:r>
              <w:rPr>
                <w:b/>
                <w:bCs/>
                <w:color w:val="FFFFFF"/>
                <w:sz w:val="19"/>
                <w:szCs w:val="19"/>
              </w:rPr>
              <w:t>BP</w:t>
            </w:r>
          </w:p>
        </w:tc>
        <w:tc>
          <w:tcPr>
            <w:tcW w:w="3200" w:type="dxa"/>
            <w:shd w:val="clear" w:color="auto" w:fill="1F3864"/>
            <w:tcMar>
              <w:top w:w="80" w:type="dxa"/>
              <w:left w:w="100" w:type="dxa"/>
              <w:bottom w:w="80" w:type="dxa"/>
              <w:right w:w="100" w:type="dxa"/>
            </w:tcMar>
          </w:tcPr>
          <w:p w14:paraId="60C627AE" w14:textId="77777777" w:rsidR="003061AE" w:rsidRDefault="00000000">
            <w:pPr>
              <w:jc w:val="center"/>
            </w:pPr>
            <w:r>
              <w:rPr>
                <w:b/>
                <w:bCs/>
                <w:color w:val="FFFFFF"/>
                <w:sz w:val="19"/>
                <w:szCs w:val="19"/>
              </w:rPr>
              <w:t>Needs beyond HI-Small</w:t>
            </w:r>
          </w:p>
        </w:tc>
        <w:tc>
          <w:tcPr>
            <w:tcW w:w="1900" w:type="dxa"/>
            <w:shd w:val="clear" w:color="auto" w:fill="1F3864"/>
            <w:tcMar>
              <w:top w:w="80" w:type="dxa"/>
              <w:left w:w="100" w:type="dxa"/>
              <w:bottom w:w="80" w:type="dxa"/>
              <w:right w:w="100" w:type="dxa"/>
            </w:tcMar>
          </w:tcPr>
          <w:p w14:paraId="2CED2BE8" w14:textId="77777777" w:rsidR="003061AE" w:rsidRDefault="00000000">
            <w:pPr>
              <w:jc w:val="center"/>
            </w:pPr>
            <w:r>
              <w:rPr>
                <w:b/>
                <w:bCs/>
                <w:color w:val="FFFFFF"/>
                <w:sz w:val="19"/>
                <w:szCs w:val="19"/>
              </w:rPr>
              <w:t>Mandatory tier</w:t>
            </w:r>
          </w:p>
        </w:tc>
        <w:tc>
          <w:tcPr>
            <w:tcW w:w="1900" w:type="dxa"/>
            <w:shd w:val="clear" w:color="auto" w:fill="1F3864"/>
            <w:tcMar>
              <w:top w:w="80" w:type="dxa"/>
              <w:left w:w="100" w:type="dxa"/>
              <w:bottom w:w="80" w:type="dxa"/>
              <w:right w:w="100" w:type="dxa"/>
            </w:tcMar>
          </w:tcPr>
          <w:p w14:paraId="21BA3A20" w14:textId="77777777" w:rsidR="003061AE" w:rsidRDefault="00000000">
            <w:pPr>
              <w:jc w:val="center"/>
            </w:pPr>
            <w:r>
              <w:rPr>
                <w:b/>
                <w:bCs/>
                <w:color w:val="FFFFFF"/>
                <w:sz w:val="19"/>
                <w:szCs w:val="19"/>
              </w:rPr>
              <w:t>Optional stretch</w:t>
            </w:r>
          </w:p>
        </w:tc>
      </w:tr>
      <w:tr w:rsidR="003061AE" w14:paraId="3758951A"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A4EE196" w14:textId="77777777" w:rsidR="003061AE" w:rsidRDefault="00000000">
            <w:r>
              <w:rPr>
                <w:color w:val="000000"/>
                <w:sz w:val="19"/>
                <w:szCs w:val="19"/>
              </w:rPr>
              <w:t>BP1 Transaction Monitoring</w:t>
            </w:r>
          </w:p>
        </w:tc>
        <w:tc>
          <w:tcPr>
            <w:tcW w:w="3200" w:type="dxa"/>
            <w:shd w:val="clear" w:color="auto" w:fill="F2F2F2"/>
            <w:tcMar>
              <w:top w:w="80" w:type="dxa"/>
              <w:left w:w="100" w:type="dxa"/>
              <w:bottom w:w="80" w:type="dxa"/>
              <w:right w:w="100" w:type="dxa"/>
            </w:tcMar>
          </w:tcPr>
          <w:p w14:paraId="4F311D19" w14:textId="77777777" w:rsidR="003061AE" w:rsidRDefault="00000000">
            <w:r>
              <w:rPr>
                <w:color w:val="000000"/>
                <w:sz w:val="19"/>
                <w:szCs w:val="19"/>
              </w:rPr>
              <w:t>The realistic-imbalance stress test itself</w:t>
            </w:r>
          </w:p>
        </w:tc>
        <w:tc>
          <w:tcPr>
            <w:tcW w:w="1900" w:type="dxa"/>
            <w:shd w:val="clear" w:color="auto" w:fill="F2F2F2"/>
            <w:tcMar>
              <w:top w:w="80" w:type="dxa"/>
              <w:left w:w="100" w:type="dxa"/>
              <w:bottom w:w="80" w:type="dxa"/>
              <w:right w:w="100" w:type="dxa"/>
            </w:tcMar>
          </w:tcPr>
          <w:p w14:paraId="2A3615A2" w14:textId="77777777" w:rsidR="003061AE" w:rsidRDefault="00000000">
            <w:r>
              <w:rPr>
                <w:color w:val="000000"/>
                <w:sz w:val="19"/>
                <w:szCs w:val="19"/>
              </w:rPr>
              <w:t>LI-Medium</w:t>
            </w:r>
          </w:p>
        </w:tc>
        <w:tc>
          <w:tcPr>
            <w:tcW w:w="1900" w:type="dxa"/>
            <w:shd w:val="clear" w:color="auto" w:fill="F2F2F2"/>
            <w:tcMar>
              <w:top w:w="80" w:type="dxa"/>
              <w:left w:w="100" w:type="dxa"/>
              <w:bottom w:w="80" w:type="dxa"/>
              <w:right w:w="100" w:type="dxa"/>
            </w:tcMar>
          </w:tcPr>
          <w:p w14:paraId="77E8C19D" w14:textId="77777777" w:rsidR="003061AE" w:rsidRDefault="00000000">
            <w:r>
              <w:rPr>
                <w:color w:val="000000"/>
                <w:sz w:val="19"/>
                <w:szCs w:val="19"/>
              </w:rPr>
              <w:t>LI-Large</w:t>
            </w:r>
          </w:p>
        </w:tc>
      </w:tr>
      <w:tr w:rsidR="003061AE" w14:paraId="3771B99E"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5C5CE408" w14:textId="77777777" w:rsidR="003061AE" w:rsidRDefault="00000000">
            <w:r>
              <w:rPr>
                <w:color w:val="000000"/>
                <w:sz w:val="19"/>
                <w:szCs w:val="19"/>
              </w:rPr>
              <w:t>BP2 Typology Detection</w:t>
            </w:r>
          </w:p>
        </w:tc>
        <w:tc>
          <w:tcPr>
            <w:tcW w:w="3200" w:type="dxa"/>
            <w:shd w:val="clear" w:color="auto" w:fill="FFFFFF"/>
            <w:tcMar>
              <w:top w:w="80" w:type="dxa"/>
              <w:left w:w="100" w:type="dxa"/>
              <w:bottom w:w="80" w:type="dxa"/>
              <w:right w:w="100" w:type="dxa"/>
            </w:tcMar>
          </w:tcPr>
          <w:p w14:paraId="72A4DBB9" w14:textId="77777777" w:rsidR="003061AE" w:rsidRDefault="00000000">
            <w:r>
              <w:rPr>
                <w:color w:val="000000"/>
                <w:sz w:val="19"/>
                <w:szCs w:val="19"/>
              </w:rPr>
              <w:t>Enough real examples of each of the 8 typologies</w:t>
            </w:r>
          </w:p>
        </w:tc>
        <w:tc>
          <w:tcPr>
            <w:tcW w:w="1900" w:type="dxa"/>
            <w:shd w:val="clear" w:color="auto" w:fill="FFFFFF"/>
            <w:tcMar>
              <w:top w:w="80" w:type="dxa"/>
              <w:left w:w="100" w:type="dxa"/>
              <w:bottom w:w="80" w:type="dxa"/>
              <w:right w:w="100" w:type="dxa"/>
            </w:tcMar>
          </w:tcPr>
          <w:p w14:paraId="398E39B9" w14:textId="77777777" w:rsidR="003061AE" w:rsidRDefault="00000000">
            <w:r>
              <w:rPr>
                <w:color w:val="000000"/>
                <w:sz w:val="19"/>
                <w:szCs w:val="19"/>
              </w:rPr>
              <w:t>LI-Medium (or HI-Medium)</w:t>
            </w:r>
          </w:p>
        </w:tc>
        <w:tc>
          <w:tcPr>
            <w:tcW w:w="1900" w:type="dxa"/>
            <w:shd w:val="clear" w:color="auto" w:fill="FFFFFF"/>
            <w:tcMar>
              <w:top w:w="80" w:type="dxa"/>
              <w:left w:w="100" w:type="dxa"/>
              <w:bottom w:w="80" w:type="dxa"/>
              <w:right w:w="100" w:type="dxa"/>
            </w:tcMar>
          </w:tcPr>
          <w:p w14:paraId="20494F3E" w14:textId="77777777" w:rsidR="003061AE" w:rsidRDefault="00000000">
            <w:r>
              <w:rPr>
                <w:color w:val="000000"/>
                <w:sz w:val="19"/>
                <w:szCs w:val="19"/>
              </w:rPr>
              <w:t>HI-Large / LI-Large</w:t>
            </w:r>
          </w:p>
        </w:tc>
      </w:tr>
      <w:tr w:rsidR="003061AE" w14:paraId="0388E040"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0EAAFCD" w14:textId="77777777" w:rsidR="003061AE" w:rsidRDefault="00000000">
            <w:r>
              <w:rPr>
                <w:color w:val="000000"/>
                <w:sz w:val="19"/>
                <w:szCs w:val="19"/>
              </w:rPr>
              <w:t>BP3 Network Intelligence</w:t>
            </w:r>
          </w:p>
        </w:tc>
        <w:tc>
          <w:tcPr>
            <w:tcW w:w="3200" w:type="dxa"/>
            <w:shd w:val="clear" w:color="auto" w:fill="F2F2F2"/>
            <w:tcMar>
              <w:top w:w="80" w:type="dxa"/>
              <w:left w:w="100" w:type="dxa"/>
              <w:bottom w:w="80" w:type="dxa"/>
              <w:right w:w="100" w:type="dxa"/>
            </w:tcMar>
          </w:tcPr>
          <w:p w14:paraId="6667174C" w14:textId="77777777" w:rsidR="003061AE" w:rsidRDefault="00000000">
            <w:r>
              <w:rPr>
                <w:color w:val="000000"/>
                <w:sz w:val="19"/>
                <w:szCs w:val="19"/>
              </w:rPr>
              <w:t>Real network complexity at real scale — benefits MOST from Large</w:t>
            </w:r>
          </w:p>
        </w:tc>
        <w:tc>
          <w:tcPr>
            <w:tcW w:w="1900" w:type="dxa"/>
            <w:shd w:val="clear" w:color="auto" w:fill="F2F2F2"/>
            <w:tcMar>
              <w:top w:w="80" w:type="dxa"/>
              <w:left w:w="100" w:type="dxa"/>
              <w:bottom w:w="80" w:type="dxa"/>
              <w:right w:w="100" w:type="dxa"/>
            </w:tcMar>
          </w:tcPr>
          <w:p w14:paraId="1BF5B7EC" w14:textId="77777777" w:rsidR="003061AE" w:rsidRDefault="00000000">
            <w:r>
              <w:rPr>
                <w:color w:val="000000"/>
                <w:sz w:val="19"/>
                <w:szCs w:val="19"/>
              </w:rPr>
              <w:t>LI-Medium</w:t>
            </w:r>
          </w:p>
        </w:tc>
        <w:tc>
          <w:tcPr>
            <w:tcW w:w="1900" w:type="dxa"/>
            <w:shd w:val="clear" w:color="auto" w:fill="F2F2F2"/>
            <w:tcMar>
              <w:top w:w="80" w:type="dxa"/>
              <w:left w:w="100" w:type="dxa"/>
              <w:bottom w:w="80" w:type="dxa"/>
              <w:right w:w="100" w:type="dxa"/>
            </w:tcMar>
          </w:tcPr>
          <w:p w14:paraId="3C9D8F22" w14:textId="77777777" w:rsidR="003061AE" w:rsidRDefault="00000000">
            <w:r>
              <w:rPr>
                <w:color w:val="000000"/>
                <w:sz w:val="19"/>
                <w:szCs w:val="19"/>
              </w:rPr>
              <w:t>HI-Large or LI-Large — genuinely worth it</w:t>
            </w:r>
          </w:p>
        </w:tc>
      </w:tr>
      <w:tr w:rsidR="003061AE" w14:paraId="3958DF8B"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50FA302" w14:textId="77777777" w:rsidR="003061AE" w:rsidRDefault="00000000">
            <w:r>
              <w:rPr>
                <w:color w:val="000000"/>
                <w:sz w:val="19"/>
                <w:szCs w:val="19"/>
              </w:rPr>
              <w:t>BP4 Structuring/Smurfing</w:t>
            </w:r>
          </w:p>
        </w:tc>
        <w:tc>
          <w:tcPr>
            <w:tcW w:w="3200" w:type="dxa"/>
            <w:shd w:val="clear" w:color="auto" w:fill="FFFFFF"/>
            <w:tcMar>
              <w:top w:w="80" w:type="dxa"/>
              <w:left w:w="100" w:type="dxa"/>
              <w:bottom w:w="80" w:type="dxa"/>
              <w:right w:w="100" w:type="dxa"/>
            </w:tcMar>
          </w:tcPr>
          <w:p w14:paraId="33ED6090" w14:textId="77777777" w:rsidR="003061AE" w:rsidRDefault="00000000">
            <w:r>
              <w:rPr>
                <w:color w:val="000000"/>
                <w:sz w:val="19"/>
                <w:szCs w:val="19"/>
              </w:rPr>
              <w:t>Enough real structuring instances + imbalance check</w:t>
            </w:r>
          </w:p>
        </w:tc>
        <w:tc>
          <w:tcPr>
            <w:tcW w:w="1900" w:type="dxa"/>
            <w:shd w:val="clear" w:color="auto" w:fill="FFFFFF"/>
            <w:tcMar>
              <w:top w:w="80" w:type="dxa"/>
              <w:left w:w="100" w:type="dxa"/>
              <w:bottom w:w="80" w:type="dxa"/>
              <w:right w:w="100" w:type="dxa"/>
            </w:tcMar>
          </w:tcPr>
          <w:p w14:paraId="349E502D" w14:textId="77777777" w:rsidR="003061AE" w:rsidRDefault="00000000">
            <w:r>
              <w:rPr>
                <w:color w:val="000000"/>
                <w:sz w:val="19"/>
                <w:szCs w:val="19"/>
              </w:rPr>
              <w:t>LI-Medium</w:t>
            </w:r>
          </w:p>
        </w:tc>
        <w:tc>
          <w:tcPr>
            <w:tcW w:w="1900" w:type="dxa"/>
            <w:shd w:val="clear" w:color="auto" w:fill="FFFFFF"/>
            <w:tcMar>
              <w:top w:w="80" w:type="dxa"/>
              <w:left w:w="100" w:type="dxa"/>
              <w:bottom w:w="80" w:type="dxa"/>
              <w:right w:w="100" w:type="dxa"/>
            </w:tcMar>
          </w:tcPr>
          <w:p w14:paraId="38769C59" w14:textId="77777777" w:rsidR="003061AE" w:rsidRDefault="00000000">
            <w:r>
              <w:rPr>
                <w:color w:val="000000"/>
                <w:sz w:val="19"/>
                <w:szCs w:val="19"/>
              </w:rPr>
              <w:t>LI-Large</w:t>
            </w:r>
          </w:p>
        </w:tc>
      </w:tr>
      <w:tr w:rsidR="003061AE" w14:paraId="4234BC7A"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184AFD7" w14:textId="77777777" w:rsidR="003061AE" w:rsidRDefault="00000000">
            <w:r>
              <w:rPr>
                <w:color w:val="000000"/>
                <w:sz w:val="19"/>
                <w:szCs w:val="19"/>
              </w:rPr>
              <w:t>BP5 Correspondent Banking</w:t>
            </w:r>
          </w:p>
        </w:tc>
        <w:tc>
          <w:tcPr>
            <w:tcW w:w="3200" w:type="dxa"/>
            <w:shd w:val="clear" w:color="auto" w:fill="F2F2F2"/>
            <w:tcMar>
              <w:top w:w="80" w:type="dxa"/>
              <w:left w:w="100" w:type="dxa"/>
              <w:bottom w:w="80" w:type="dxa"/>
              <w:right w:w="100" w:type="dxa"/>
            </w:tcMar>
          </w:tcPr>
          <w:p w14:paraId="7A5A847F" w14:textId="77777777" w:rsidR="003061AE" w:rsidRDefault="00000000">
            <w:r>
              <w:rPr>
                <w:color w:val="000000"/>
                <w:sz w:val="19"/>
                <w:szCs w:val="19"/>
              </w:rPr>
              <w:t>Enough distinct banks/countries for a real story</w:t>
            </w:r>
          </w:p>
        </w:tc>
        <w:tc>
          <w:tcPr>
            <w:tcW w:w="1900" w:type="dxa"/>
            <w:shd w:val="clear" w:color="auto" w:fill="F2F2F2"/>
            <w:tcMar>
              <w:top w:w="80" w:type="dxa"/>
              <w:left w:w="100" w:type="dxa"/>
              <w:bottom w:w="80" w:type="dxa"/>
              <w:right w:w="100" w:type="dxa"/>
            </w:tcMar>
          </w:tcPr>
          <w:p w14:paraId="7D9A0195" w14:textId="77777777" w:rsidR="003061AE" w:rsidRDefault="00000000">
            <w:r>
              <w:rPr>
                <w:color w:val="000000"/>
                <w:sz w:val="19"/>
                <w:szCs w:val="19"/>
              </w:rPr>
              <w:t>HI-Medium or LI-Medium</w:t>
            </w:r>
          </w:p>
        </w:tc>
        <w:tc>
          <w:tcPr>
            <w:tcW w:w="1900" w:type="dxa"/>
            <w:shd w:val="clear" w:color="auto" w:fill="F2F2F2"/>
            <w:tcMar>
              <w:top w:w="80" w:type="dxa"/>
              <w:left w:w="100" w:type="dxa"/>
              <w:bottom w:w="80" w:type="dxa"/>
              <w:right w:w="100" w:type="dxa"/>
            </w:tcMar>
          </w:tcPr>
          <w:p w14:paraId="183B9E4D" w14:textId="77777777" w:rsidR="003061AE" w:rsidRDefault="00000000">
            <w:r>
              <w:rPr>
                <w:color w:val="000000"/>
                <w:sz w:val="19"/>
                <w:szCs w:val="19"/>
              </w:rPr>
              <w:t>HI-Large</w:t>
            </w:r>
          </w:p>
        </w:tc>
      </w:tr>
      <w:tr w:rsidR="003061AE" w14:paraId="7EFB6F1C"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7C2F5940" w14:textId="77777777" w:rsidR="003061AE" w:rsidRDefault="00000000">
            <w:r>
              <w:rPr>
                <w:color w:val="000000"/>
                <w:sz w:val="19"/>
                <w:szCs w:val="19"/>
              </w:rPr>
              <w:t>BP6 Enterprise Rollup</w:t>
            </w:r>
          </w:p>
        </w:tc>
        <w:tc>
          <w:tcPr>
            <w:tcW w:w="3200" w:type="dxa"/>
            <w:shd w:val="clear" w:color="auto" w:fill="FFFFFF"/>
            <w:tcMar>
              <w:top w:w="80" w:type="dxa"/>
              <w:left w:w="100" w:type="dxa"/>
              <w:bottom w:w="80" w:type="dxa"/>
              <w:right w:w="100" w:type="dxa"/>
            </w:tcMar>
          </w:tcPr>
          <w:p w14:paraId="3F7FF0A6" w14:textId="77777777" w:rsidR="003061AE" w:rsidRDefault="00000000">
            <w:r>
              <w:rPr>
                <w:color w:val="000000"/>
                <w:sz w:val="19"/>
                <w:szCs w:val="19"/>
              </w:rPr>
              <w:t>Nothing new — inherits BP1–BP5's choices</w:t>
            </w:r>
          </w:p>
        </w:tc>
        <w:tc>
          <w:tcPr>
            <w:tcW w:w="1900" w:type="dxa"/>
            <w:shd w:val="clear" w:color="auto" w:fill="FFFFFF"/>
            <w:tcMar>
              <w:top w:w="80" w:type="dxa"/>
              <w:left w:w="100" w:type="dxa"/>
              <w:bottom w:w="80" w:type="dxa"/>
              <w:right w:w="100" w:type="dxa"/>
            </w:tcMar>
          </w:tcPr>
          <w:p w14:paraId="2A3FE8A6" w14:textId="77777777" w:rsidR="003061AE" w:rsidRDefault="00000000">
            <w:r>
              <w:rPr>
                <w:color w:val="000000"/>
                <w:sz w:val="19"/>
                <w:szCs w:val="19"/>
              </w:rPr>
              <w:t>N/A (pass-through)</w:t>
            </w:r>
          </w:p>
        </w:tc>
        <w:tc>
          <w:tcPr>
            <w:tcW w:w="1900" w:type="dxa"/>
            <w:shd w:val="clear" w:color="auto" w:fill="FFFFFF"/>
            <w:tcMar>
              <w:top w:w="80" w:type="dxa"/>
              <w:left w:w="100" w:type="dxa"/>
              <w:bottom w:w="80" w:type="dxa"/>
              <w:right w:w="100" w:type="dxa"/>
            </w:tcMar>
          </w:tcPr>
          <w:p w14:paraId="70CCE1B2" w14:textId="77777777" w:rsidR="003061AE" w:rsidRDefault="00000000">
            <w:r>
              <w:rPr>
                <w:color w:val="000000"/>
                <w:sz w:val="19"/>
                <w:szCs w:val="19"/>
              </w:rPr>
              <w:t>N/A</w:t>
            </w:r>
          </w:p>
        </w:tc>
      </w:tr>
    </w:tbl>
    <w:p w14:paraId="0EE27259" w14:textId="77777777" w:rsidR="003061AE" w:rsidRDefault="003061AE">
      <w:pPr>
        <w:spacing w:after="120"/>
      </w:pPr>
    </w:p>
    <w:p w14:paraId="20496679" w14:textId="77777777" w:rsidR="003061AE" w:rsidRDefault="00000000">
      <w:pPr>
        <w:spacing w:after="140" w:line="276" w:lineRule="auto"/>
      </w:pPr>
      <w:r>
        <w:t>One legitimate cross-variant technique, used sparingly and always labeled as such: for BP1/BP2/BP4, scoring a model trained on HI-Small against LI-Small's transactions is a real, honest out-of-distribution generalization check — reported explicitly as that, never presented as a standard holdout metric, since LI-Small's ground truth belongs to entirely different synthetic entities than whatever the model trained on.</w:t>
      </w:r>
    </w:p>
    <w:p w14:paraId="3AECF4E4" w14:textId="77777777" w:rsidR="003061AE" w:rsidRDefault="00000000">
      <w:pPr>
        <w:pStyle w:val="Heading1"/>
        <w:pBdr>
          <w:bottom w:val="single" w:sz="8" w:space="4" w:color="1F3864"/>
        </w:pBdr>
        <w:spacing w:before="400" w:after="160"/>
      </w:pPr>
      <w:r>
        <w:rPr>
          <w:b/>
          <w:bCs/>
          <w:color w:val="1F3864"/>
          <w:sz w:val="30"/>
          <w:szCs w:val="30"/>
        </w:rPr>
        <w:t>3. Business Problem Portfolio — 6 BPs, All Independently Ground-Truth-Verifiable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00"/>
        <w:gridCol w:w="3300"/>
        <w:gridCol w:w="2300"/>
      </w:tblGrid>
      <w:tr w:rsidR="003061AE" w14:paraId="0B34EBF8"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14:paraId="2F7BACDD" w14:textId="77777777" w:rsidR="003061AE" w:rsidRDefault="00000000">
            <w:pPr>
              <w:jc w:val="center"/>
            </w:pPr>
            <w:r>
              <w:rPr>
                <w:b/>
                <w:bCs/>
                <w:color w:val="FFFFFF"/>
                <w:sz w:val="19"/>
                <w:szCs w:val="19"/>
              </w:rPr>
              <w:t>BP</w:t>
            </w:r>
          </w:p>
        </w:tc>
        <w:tc>
          <w:tcPr>
            <w:tcW w:w="3100" w:type="dxa"/>
            <w:shd w:val="clear" w:color="auto" w:fill="1F3864"/>
            <w:tcMar>
              <w:top w:w="80" w:type="dxa"/>
              <w:left w:w="100" w:type="dxa"/>
              <w:bottom w:w="80" w:type="dxa"/>
              <w:right w:w="100" w:type="dxa"/>
            </w:tcMar>
          </w:tcPr>
          <w:p w14:paraId="36A3728D" w14:textId="77777777" w:rsidR="003061AE" w:rsidRDefault="00000000">
            <w:pPr>
              <w:jc w:val="center"/>
            </w:pPr>
            <w:r>
              <w:rPr>
                <w:b/>
                <w:bCs/>
                <w:color w:val="FFFFFF"/>
                <w:sz w:val="19"/>
                <w:szCs w:val="19"/>
              </w:rPr>
              <w:t>Business Problem</w:t>
            </w:r>
          </w:p>
        </w:tc>
        <w:tc>
          <w:tcPr>
            <w:tcW w:w="3300" w:type="dxa"/>
            <w:shd w:val="clear" w:color="auto" w:fill="1F3864"/>
            <w:tcMar>
              <w:top w:w="80" w:type="dxa"/>
              <w:left w:w="100" w:type="dxa"/>
              <w:bottom w:w="80" w:type="dxa"/>
              <w:right w:w="100" w:type="dxa"/>
            </w:tcMar>
          </w:tcPr>
          <w:p w14:paraId="376E6403" w14:textId="77777777" w:rsidR="003061AE" w:rsidRDefault="00000000">
            <w:pPr>
              <w:jc w:val="center"/>
            </w:pPr>
            <w:r>
              <w:rPr>
                <w:b/>
                <w:bCs/>
                <w:color w:val="FFFFFF"/>
                <w:sz w:val="19"/>
                <w:szCs w:val="19"/>
              </w:rPr>
              <w:t>Real-world name (verified)</w:t>
            </w:r>
          </w:p>
        </w:tc>
        <w:tc>
          <w:tcPr>
            <w:tcW w:w="2300" w:type="dxa"/>
            <w:shd w:val="clear" w:color="auto" w:fill="1F3864"/>
            <w:tcMar>
              <w:top w:w="80" w:type="dxa"/>
              <w:left w:w="100" w:type="dxa"/>
              <w:bottom w:w="80" w:type="dxa"/>
              <w:right w:w="100" w:type="dxa"/>
            </w:tcMar>
          </w:tcPr>
          <w:p w14:paraId="20FFAA4C" w14:textId="77777777" w:rsidR="003061AE" w:rsidRDefault="00000000">
            <w:pPr>
              <w:jc w:val="center"/>
            </w:pPr>
            <w:r>
              <w:rPr>
                <w:b/>
                <w:bCs/>
                <w:color w:val="FFFFFF"/>
                <w:sz w:val="19"/>
                <w:szCs w:val="19"/>
              </w:rPr>
              <w:t>Ground truth</w:t>
            </w:r>
          </w:p>
        </w:tc>
      </w:tr>
      <w:tr w:rsidR="003061AE" w14:paraId="7452F2CB"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084D5214" w14:textId="77777777" w:rsidR="003061AE" w:rsidRDefault="00000000">
            <w:r>
              <w:rPr>
                <w:color w:val="000000"/>
                <w:sz w:val="19"/>
                <w:szCs w:val="19"/>
              </w:rPr>
              <w:t>BP1</w:t>
            </w:r>
          </w:p>
        </w:tc>
        <w:tc>
          <w:tcPr>
            <w:tcW w:w="3100" w:type="dxa"/>
            <w:shd w:val="clear" w:color="auto" w:fill="F2F2F2"/>
            <w:tcMar>
              <w:top w:w="80" w:type="dxa"/>
              <w:left w:w="100" w:type="dxa"/>
              <w:bottom w:w="80" w:type="dxa"/>
              <w:right w:w="100" w:type="dxa"/>
            </w:tcMar>
          </w:tcPr>
          <w:p w14:paraId="19527999" w14:textId="77777777" w:rsidR="003061AE" w:rsidRDefault="00000000">
            <w:r>
              <w:rPr>
                <w:color w:val="000000"/>
                <w:sz w:val="19"/>
                <w:szCs w:val="19"/>
              </w:rPr>
              <w:t>Transaction Monitoring &amp; Suspicious Activity Detection</w:t>
            </w:r>
          </w:p>
        </w:tc>
        <w:tc>
          <w:tcPr>
            <w:tcW w:w="3300" w:type="dxa"/>
            <w:shd w:val="clear" w:color="auto" w:fill="F2F2F2"/>
            <w:tcMar>
              <w:top w:w="80" w:type="dxa"/>
              <w:left w:w="100" w:type="dxa"/>
              <w:bottom w:w="80" w:type="dxa"/>
              <w:right w:w="100" w:type="dxa"/>
            </w:tcMar>
          </w:tcPr>
          <w:p w14:paraId="0C0F9C21" w14:textId="77777777" w:rsidR="003061AE" w:rsidRDefault="00000000">
            <w:r>
              <w:rPr>
                <w:color w:val="000000"/>
                <w:sz w:val="19"/>
                <w:szCs w:val="19"/>
              </w:rPr>
              <w:t>“Transaction monitoring system” (Fed consent order, AmEx Bank Int'l)</w:t>
            </w:r>
          </w:p>
        </w:tc>
        <w:tc>
          <w:tcPr>
            <w:tcW w:w="2300" w:type="dxa"/>
            <w:shd w:val="clear" w:color="auto" w:fill="F2F2F2"/>
            <w:tcMar>
              <w:top w:w="80" w:type="dxa"/>
              <w:left w:w="100" w:type="dxa"/>
              <w:bottom w:w="80" w:type="dxa"/>
              <w:right w:w="100" w:type="dxa"/>
            </w:tcMar>
          </w:tcPr>
          <w:p w14:paraId="4DE564A5" w14:textId="77777777" w:rsidR="003061AE" w:rsidRDefault="00000000">
            <w:r>
              <w:rPr>
                <w:color w:val="000000"/>
                <w:sz w:val="19"/>
                <w:szCs w:val="19"/>
              </w:rPr>
              <w:t>Is Laundering — real, direct label</w:t>
            </w:r>
          </w:p>
        </w:tc>
      </w:tr>
      <w:tr w:rsidR="003061AE" w14:paraId="5848249C"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2D394252" w14:textId="77777777" w:rsidR="003061AE" w:rsidRDefault="00000000">
            <w:r>
              <w:rPr>
                <w:color w:val="000000"/>
                <w:sz w:val="19"/>
                <w:szCs w:val="19"/>
              </w:rPr>
              <w:t>BP2</w:t>
            </w:r>
          </w:p>
        </w:tc>
        <w:tc>
          <w:tcPr>
            <w:tcW w:w="3100" w:type="dxa"/>
            <w:shd w:val="clear" w:color="auto" w:fill="FFFFFF"/>
            <w:tcMar>
              <w:top w:w="80" w:type="dxa"/>
              <w:left w:w="100" w:type="dxa"/>
              <w:bottom w:w="80" w:type="dxa"/>
              <w:right w:w="100" w:type="dxa"/>
            </w:tcMar>
          </w:tcPr>
          <w:p w14:paraId="08B1FEE9" w14:textId="77777777" w:rsidR="003061AE" w:rsidRDefault="00000000">
            <w:r>
              <w:rPr>
                <w:color w:val="000000"/>
                <w:sz w:val="19"/>
                <w:szCs w:val="19"/>
              </w:rPr>
              <w:t>Typology &amp; Red-Flag Pattern Detection</w:t>
            </w:r>
          </w:p>
        </w:tc>
        <w:tc>
          <w:tcPr>
            <w:tcW w:w="3300" w:type="dxa"/>
            <w:shd w:val="clear" w:color="auto" w:fill="FFFFFF"/>
            <w:tcMar>
              <w:top w:w="80" w:type="dxa"/>
              <w:left w:w="100" w:type="dxa"/>
              <w:bottom w:w="80" w:type="dxa"/>
              <w:right w:w="100" w:type="dxa"/>
            </w:tcMar>
          </w:tcPr>
          <w:p w14:paraId="2F8CF02F" w14:textId="77777777" w:rsidR="003061AE" w:rsidRDefault="00000000">
            <w:r>
              <w:rPr>
                <w:color w:val="000000"/>
                <w:sz w:val="19"/>
                <w:szCs w:val="19"/>
              </w:rPr>
              <w:t>“Red flags” (FinCEN assessment, JPMorgan Chase)</w:t>
            </w:r>
          </w:p>
        </w:tc>
        <w:tc>
          <w:tcPr>
            <w:tcW w:w="2300" w:type="dxa"/>
            <w:shd w:val="clear" w:color="auto" w:fill="FFFFFF"/>
            <w:tcMar>
              <w:top w:w="80" w:type="dxa"/>
              <w:left w:w="100" w:type="dxa"/>
              <w:bottom w:w="80" w:type="dxa"/>
              <w:right w:w="100" w:type="dxa"/>
            </w:tcMar>
          </w:tcPr>
          <w:p w14:paraId="4CE7161D" w14:textId="77777777" w:rsidR="003061AE" w:rsidRDefault="00000000">
            <w:r>
              <w:rPr>
                <w:color w:val="000000"/>
                <w:sz w:val="19"/>
                <w:szCs w:val="19"/>
              </w:rPr>
              <w:t>Patterns.txt — real, 8 typologies</w:t>
            </w:r>
          </w:p>
        </w:tc>
      </w:tr>
      <w:tr w:rsidR="003061AE" w14:paraId="76403591"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62B158D9" w14:textId="77777777" w:rsidR="003061AE" w:rsidRDefault="00000000">
            <w:r>
              <w:rPr>
                <w:color w:val="000000"/>
                <w:sz w:val="19"/>
                <w:szCs w:val="19"/>
              </w:rPr>
              <w:t>BP3</w:t>
            </w:r>
          </w:p>
        </w:tc>
        <w:tc>
          <w:tcPr>
            <w:tcW w:w="3100" w:type="dxa"/>
            <w:shd w:val="clear" w:color="auto" w:fill="F2F2F2"/>
            <w:tcMar>
              <w:top w:w="80" w:type="dxa"/>
              <w:left w:w="100" w:type="dxa"/>
              <w:bottom w:w="80" w:type="dxa"/>
              <w:right w:w="100" w:type="dxa"/>
            </w:tcMar>
          </w:tcPr>
          <w:p w14:paraId="48AA776A" w14:textId="77777777" w:rsidR="003061AE" w:rsidRDefault="00000000">
            <w:r>
              <w:rPr>
                <w:color w:val="000000"/>
                <w:sz w:val="19"/>
                <w:szCs w:val="19"/>
              </w:rPr>
              <w:t>Transaction Network &amp; Graph Intelligence</w:t>
            </w:r>
          </w:p>
        </w:tc>
        <w:tc>
          <w:tcPr>
            <w:tcW w:w="3300" w:type="dxa"/>
            <w:shd w:val="clear" w:color="auto" w:fill="F2F2F2"/>
            <w:tcMar>
              <w:top w:w="80" w:type="dxa"/>
              <w:left w:w="100" w:type="dxa"/>
              <w:bottom w:w="80" w:type="dxa"/>
              <w:right w:w="100" w:type="dxa"/>
            </w:tcMar>
          </w:tcPr>
          <w:p w14:paraId="4EB3FDA4" w14:textId="77777777" w:rsidR="003061AE" w:rsidRDefault="00000000">
            <w:r>
              <w:rPr>
                <w:color w:val="000000"/>
                <w:sz w:val="19"/>
                <w:szCs w:val="19"/>
              </w:rPr>
              <w:t>Not independently confirmed as AMEX/JPM-specific term</w:t>
            </w:r>
          </w:p>
        </w:tc>
        <w:tc>
          <w:tcPr>
            <w:tcW w:w="2300" w:type="dxa"/>
            <w:shd w:val="clear" w:color="auto" w:fill="F2F2F2"/>
            <w:tcMar>
              <w:top w:w="80" w:type="dxa"/>
              <w:left w:w="100" w:type="dxa"/>
              <w:bottom w:w="80" w:type="dxa"/>
              <w:right w:w="100" w:type="dxa"/>
            </w:tcMar>
          </w:tcPr>
          <w:p w14:paraId="6A165823" w14:textId="77777777" w:rsidR="003061AE" w:rsidRDefault="00000000">
            <w:r>
              <w:rPr>
                <w:color w:val="000000"/>
                <w:sz w:val="19"/>
                <w:szCs w:val="19"/>
              </w:rPr>
              <w:t>Account graph structure — real, no label needed</w:t>
            </w:r>
          </w:p>
        </w:tc>
      </w:tr>
      <w:tr w:rsidR="003061AE" w14:paraId="66ACAC3F"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1853E960" w14:textId="77777777" w:rsidR="003061AE" w:rsidRDefault="00000000">
            <w:r>
              <w:rPr>
                <w:color w:val="000000"/>
                <w:sz w:val="19"/>
                <w:szCs w:val="19"/>
              </w:rPr>
              <w:t>BP4</w:t>
            </w:r>
          </w:p>
        </w:tc>
        <w:tc>
          <w:tcPr>
            <w:tcW w:w="3100" w:type="dxa"/>
            <w:shd w:val="clear" w:color="auto" w:fill="FFFFFF"/>
            <w:tcMar>
              <w:top w:w="80" w:type="dxa"/>
              <w:left w:w="100" w:type="dxa"/>
              <w:bottom w:w="80" w:type="dxa"/>
              <w:right w:w="100" w:type="dxa"/>
            </w:tcMar>
          </w:tcPr>
          <w:p w14:paraId="662CB85A" w14:textId="77777777" w:rsidR="003061AE" w:rsidRDefault="00000000">
            <w:r>
              <w:rPr>
                <w:color w:val="000000"/>
                <w:sz w:val="19"/>
                <w:szCs w:val="19"/>
              </w:rPr>
              <w:t>Structuring &amp; Smurfing Detection</w:t>
            </w:r>
          </w:p>
        </w:tc>
        <w:tc>
          <w:tcPr>
            <w:tcW w:w="3300" w:type="dxa"/>
            <w:shd w:val="clear" w:color="auto" w:fill="FFFFFF"/>
            <w:tcMar>
              <w:top w:w="80" w:type="dxa"/>
              <w:left w:w="100" w:type="dxa"/>
              <w:bottom w:w="80" w:type="dxa"/>
              <w:right w:w="100" w:type="dxa"/>
            </w:tcMar>
          </w:tcPr>
          <w:p w14:paraId="5CA9428A" w14:textId="77777777" w:rsidR="003061AE" w:rsidRDefault="00000000">
            <w:r>
              <w:rPr>
                <w:color w:val="000000"/>
                <w:sz w:val="19"/>
                <w:szCs w:val="19"/>
              </w:rPr>
              <w:t>BSA structuring statute, 31 U.S.C. §5324</w:t>
            </w:r>
          </w:p>
        </w:tc>
        <w:tc>
          <w:tcPr>
            <w:tcW w:w="2300" w:type="dxa"/>
            <w:shd w:val="clear" w:color="auto" w:fill="FFFFFF"/>
            <w:tcMar>
              <w:top w:w="80" w:type="dxa"/>
              <w:left w:w="100" w:type="dxa"/>
              <w:bottom w:w="80" w:type="dxa"/>
              <w:right w:w="100" w:type="dxa"/>
            </w:tcMar>
          </w:tcPr>
          <w:p w14:paraId="646A8CE9" w14:textId="77777777" w:rsidR="003061AE" w:rsidRDefault="00000000">
            <w:r>
              <w:rPr>
                <w:color w:val="000000"/>
                <w:sz w:val="19"/>
                <w:szCs w:val="19"/>
              </w:rPr>
              <w:t>Amount/timing patterns vs. Is Laundering</w:t>
            </w:r>
          </w:p>
        </w:tc>
      </w:tr>
      <w:tr w:rsidR="003061AE" w14:paraId="2806A01D"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0958D26B" w14:textId="77777777" w:rsidR="003061AE" w:rsidRDefault="00000000">
            <w:r>
              <w:rPr>
                <w:color w:val="000000"/>
                <w:sz w:val="19"/>
                <w:szCs w:val="19"/>
              </w:rPr>
              <w:t>BP5</w:t>
            </w:r>
          </w:p>
        </w:tc>
        <w:tc>
          <w:tcPr>
            <w:tcW w:w="3100" w:type="dxa"/>
            <w:shd w:val="clear" w:color="auto" w:fill="F2F2F2"/>
            <w:tcMar>
              <w:top w:w="80" w:type="dxa"/>
              <w:left w:w="100" w:type="dxa"/>
              <w:bottom w:w="80" w:type="dxa"/>
              <w:right w:w="100" w:type="dxa"/>
            </w:tcMar>
          </w:tcPr>
          <w:p w14:paraId="2F8D0B12" w14:textId="77777777" w:rsidR="003061AE" w:rsidRDefault="00000000">
            <w:r>
              <w:rPr>
                <w:color w:val="000000"/>
                <w:sz w:val="19"/>
                <w:szCs w:val="19"/>
              </w:rPr>
              <w:t>Correspondent Banking &amp; Cross-Border Wire Risk</w:t>
            </w:r>
          </w:p>
        </w:tc>
        <w:tc>
          <w:tcPr>
            <w:tcW w:w="3300" w:type="dxa"/>
            <w:shd w:val="clear" w:color="auto" w:fill="F2F2F2"/>
            <w:tcMar>
              <w:top w:w="80" w:type="dxa"/>
              <w:left w:w="100" w:type="dxa"/>
              <w:bottom w:w="80" w:type="dxa"/>
              <w:right w:w="100" w:type="dxa"/>
            </w:tcMar>
          </w:tcPr>
          <w:p w14:paraId="50EE6DDB" w14:textId="77777777" w:rsidR="003061AE" w:rsidRDefault="00000000">
            <w:r>
              <w:rPr>
                <w:color w:val="000000"/>
                <w:sz w:val="19"/>
                <w:szCs w:val="19"/>
              </w:rPr>
              <w:t>Industry-wide priority post-HSBC/SCB/Danske actions</w:t>
            </w:r>
          </w:p>
        </w:tc>
        <w:tc>
          <w:tcPr>
            <w:tcW w:w="2300" w:type="dxa"/>
            <w:shd w:val="clear" w:color="auto" w:fill="F2F2F2"/>
            <w:tcMar>
              <w:top w:w="80" w:type="dxa"/>
              <w:left w:w="100" w:type="dxa"/>
              <w:bottom w:w="80" w:type="dxa"/>
              <w:right w:w="100" w:type="dxa"/>
            </w:tcMar>
          </w:tcPr>
          <w:p w14:paraId="65F94CDD" w14:textId="77777777" w:rsidR="003061AE" w:rsidRDefault="00000000">
            <w:r>
              <w:rPr>
                <w:color w:val="000000"/>
                <w:sz w:val="19"/>
                <w:szCs w:val="19"/>
              </w:rPr>
              <w:t>From/To Bank + country-tagged accounts.csv</w:t>
            </w:r>
          </w:p>
        </w:tc>
      </w:tr>
      <w:tr w:rsidR="003061AE" w14:paraId="4DE467A9"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21394C9B" w14:textId="77777777" w:rsidR="003061AE" w:rsidRDefault="00000000">
            <w:r>
              <w:rPr>
                <w:color w:val="000000"/>
                <w:sz w:val="19"/>
                <w:szCs w:val="19"/>
              </w:rPr>
              <w:t>BP6</w:t>
            </w:r>
          </w:p>
        </w:tc>
        <w:tc>
          <w:tcPr>
            <w:tcW w:w="3100" w:type="dxa"/>
            <w:shd w:val="clear" w:color="auto" w:fill="FFFFFF"/>
            <w:tcMar>
              <w:top w:w="80" w:type="dxa"/>
              <w:left w:w="100" w:type="dxa"/>
              <w:bottom w:w="80" w:type="dxa"/>
              <w:right w:w="100" w:type="dxa"/>
            </w:tcMar>
          </w:tcPr>
          <w:p w14:paraId="2E3CA882" w14:textId="77777777" w:rsidR="003061AE" w:rsidRDefault="00000000">
            <w:r>
              <w:rPr>
                <w:color w:val="000000"/>
                <w:sz w:val="19"/>
                <w:szCs w:val="19"/>
              </w:rPr>
              <w:t>Enterprise AML Compliance Monitoring &amp; Regulatory Reporting</w:t>
            </w:r>
          </w:p>
        </w:tc>
        <w:tc>
          <w:tcPr>
            <w:tcW w:w="3300" w:type="dxa"/>
            <w:shd w:val="clear" w:color="auto" w:fill="FFFFFF"/>
            <w:tcMar>
              <w:top w:w="80" w:type="dxa"/>
              <w:left w:w="100" w:type="dxa"/>
              <w:bottom w:w="80" w:type="dxa"/>
              <w:right w:w="100" w:type="dxa"/>
            </w:tcMar>
          </w:tcPr>
          <w:p w14:paraId="681940AA" w14:textId="77777777" w:rsidR="003061AE" w:rsidRDefault="00000000">
            <w:r>
              <w:rPr>
                <w:color w:val="000000"/>
                <w:sz w:val="19"/>
                <w:szCs w:val="19"/>
              </w:rPr>
              <w:t>“AML Compliance Program” (JPMorgan Chase official page)</w:t>
            </w:r>
          </w:p>
        </w:tc>
        <w:tc>
          <w:tcPr>
            <w:tcW w:w="2300" w:type="dxa"/>
            <w:shd w:val="clear" w:color="auto" w:fill="FFFFFF"/>
            <w:tcMar>
              <w:top w:w="80" w:type="dxa"/>
              <w:left w:w="100" w:type="dxa"/>
              <w:bottom w:w="80" w:type="dxa"/>
              <w:right w:w="100" w:type="dxa"/>
            </w:tcMar>
          </w:tcPr>
          <w:p w14:paraId="2BD2B7DD" w14:textId="77777777" w:rsidR="003061AE" w:rsidRDefault="00000000">
            <w:r>
              <w:rPr>
                <w:color w:val="000000"/>
                <w:sz w:val="19"/>
                <w:szCs w:val="19"/>
              </w:rPr>
              <w:t>Pure rollup of BP1–BP5</w:t>
            </w:r>
          </w:p>
        </w:tc>
      </w:tr>
    </w:tbl>
    <w:p w14:paraId="4E699815" w14:textId="77777777" w:rsidR="003061AE" w:rsidRDefault="003061AE">
      <w:pPr>
        <w:spacing w:after="120"/>
      </w:pPr>
    </w:p>
    <w:p w14:paraId="43FC47BA" w14:textId="77777777" w:rsidR="003061AE" w:rsidRDefault="00000000">
      <w:pPr>
        <w:pStyle w:val="Heading2"/>
        <w:spacing w:before="260" w:after="120"/>
      </w:pPr>
      <w:r>
        <w:rPr>
          <w:b/>
          <w:bCs/>
          <w:color w:val="1F3864"/>
          <w:sz w:val="24"/>
          <w:szCs w:val="24"/>
        </w:rPr>
        <w:lastRenderedPageBreak/>
        <w:t>3.1 Dropped from the original 8-BP draft</w:t>
      </w:r>
    </w:p>
    <w:p w14:paraId="40588C34" w14:textId="77777777" w:rsidR="003061AE" w:rsidRDefault="00000000">
      <w:pPr>
        <w:pStyle w:val="ListParagraph"/>
        <w:numPr>
          <w:ilvl w:val="0"/>
          <w:numId w:val="2"/>
        </w:numPr>
        <w:spacing w:after="80" w:line="264" w:lineRule="auto"/>
      </w:pPr>
      <w:r>
        <w:t>Account/Entity AML Risk Scoring — real terminology at AMEX (“customer assessment risk-ratings”), but accounts.csv carries no independent risk label; would be a proxy built by aggregating BP1's own label upward, not independently validated</w:t>
      </w:r>
    </w:p>
    <w:p w14:paraId="2007745E" w14:textId="77777777" w:rsidR="003061AE" w:rsidRDefault="00000000">
      <w:pPr>
        <w:pStyle w:val="ListParagraph"/>
        <w:numPr>
          <w:ilvl w:val="0"/>
          <w:numId w:val="2"/>
        </w:numPr>
        <w:spacing w:after="80" w:line="264" w:lineRule="auto"/>
      </w:pPr>
      <w:r>
        <w:t>Alert Escalation / SAR-Filing Prediction — no independent SAR-filed/not-filed label exists anywhere in this dataset, only Is Laundering</w:t>
      </w:r>
    </w:p>
    <w:p w14:paraId="59080CF1" w14:textId="77777777" w:rsidR="003061AE" w:rsidRDefault="00000000">
      <w:pPr>
        <w:pStyle w:val="ListParagraph"/>
        <w:numPr>
          <w:ilvl w:val="0"/>
          <w:numId w:val="2"/>
        </w:numPr>
        <w:spacing w:after="80" w:line="264" w:lineRule="auto"/>
      </w:pPr>
      <w:r>
        <w:t>GenAI SAR Narrative Assistant — a generation task with no ground truth to validate output against</w:t>
      </w:r>
    </w:p>
    <w:p w14:paraId="24E56EBE" w14:textId="77777777" w:rsidR="003061AE" w:rsidRDefault="00000000">
      <w:pPr>
        <w:pStyle w:val="ListParagraph"/>
        <w:numPr>
          <w:ilvl w:val="0"/>
          <w:numId w:val="2"/>
        </w:numPr>
        <w:spacing w:after="80" w:line="264" w:lineRule="auto"/>
      </w:pPr>
      <w:r>
        <w:t>Alert Prioritization &amp; Case Decision Engine — a composite/policy layer over the other BPs' scores, not an independently trained or validated model</w:t>
      </w:r>
    </w:p>
    <w:p w14:paraId="10D625CD" w14:textId="77777777" w:rsidR="003061AE" w:rsidRDefault="00000000">
      <w:pPr>
        <w:pStyle w:val="Heading2"/>
        <w:spacing w:before="260" w:after="120"/>
      </w:pPr>
      <w:r>
        <w:rPr>
          <w:b/>
          <w:bCs/>
          <w:color w:val="1F3864"/>
          <w:sz w:val="24"/>
          <w:szCs w:val="24"/>
        </w:rPr>
        <w:t>3.2 Phase grouping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400"/>
        <w:gridCol w:w="4900"/>
      </w:tblGrid>
      <w:tr w:rsidR="003061AE" w14:paraId="3AAD1470" w14:textId="77777777">
        <w:tblPrEx>
          <w:tblCellMar>
            <w:top w:w="0" w:type="dxa"/>
            <w:bottom w:w="0" w:type="dxa"/>
          </w:tblCellMar>
        </w:tblPrEx>
        <w:trPr>
          <w:tblHeader/>
        </w:trPr>
        <w:tc>
          <w:tcPr>
            <w:tcW w:w="3100" w:type="dxa"/>
            <w:shd w:val="clear" w:color="auto" w:fill="1F3864"/>
            <w:tcMar>
              <w:top w:w="80" w:type="dxa"/>
              <w:left w:w="100" w:type="dxa"/>
              <w:bottom w:w="80" w:type="dxa"/>
              <w:right w:w="100" w:type="dxa"/>
            </w:tcMar>
          </w:tcPr>
          <w:p w14:paraId="0274D47C" w14:textId="77777777" w:rsidR="003061AE" w:rsidRDefault="00000000">
            <w:pPr>
              <w:jc w:val="center"/>
            </w:pPr>
            <w:r>
              <w:rPr>
                <w:b/>
                <w:bCs/>
                <w:color w:val="FFFFFF"/>
                <w:sz w:val="19"/>
                <w:szCs w:val="19"/>
              </w:rPr>
              <w:t>Phase</w:t>
            </w:r>
          </w:p>
        </w:tc>
        <w:tc>
          <w:tcPr>
            <w:tcW w:w="1400" w:type="dxa"/>
            <w:shd w:val="clear" w:color="auto" w:fill="1F3864"/>
            <w:tcMar>
              <w:top w:w="80" w:type="dxa"/>
              <w:left w:w="100" w:type="dxa"/>
              <w:bottom w:w="80" w:type="dxa"/>
              <w:right w:w="100" w:type="dxa"/>
            </w:tcMar>
          </w:tcPr>
          <w:p w14:paraId="57085690" w14:textId="77777777" w:rsidR="003061AE" w:rsidRDefault="00000000">
            <w:pPr>
              <w:jc w:val="center"/>
            </w:pPr>
            <w:r>
              <w:rPr>
                <w:b/>
                <w:bCs/>
                <w:color w:val="FFFFFF"/>
                <w:sz w:val="19"/>
                <w:szCs w:val="19"/>
              </w:rPr>
              <w:t>BPs</w:t>
            </w:r>
          </w:p>
        </w:tc>
        <w:tc>
          <w:tcPr>
            <w:tcW w:w="4900" w:type="dxa"/>
            <w:shd w:val="clear" w:color="auto" w:fill="1F3864"/>
            <w:tcMar>
              <w:top w:w="80" w:type="dxa"/>
              <w:left w:w="100" w:type="dxa"/>
              <w:bottom w:w="80" w:type="dxa"/>
              <w:right w:w="100" w:type="dxa"/>
            </w:tcMar>
          </w:tcPr>
          <w:p w14:paraId="75EDB105" w14:textId="77777777" w:rsidR="003061AE" w:rsidRDefault="00000000">
            <w:pPr>
              <w:jc w:val="center"/>
            </w:pPr>
            <w:r>
              <w:rPr>
                <w:b/>
                <w:bCs/>
                <w:color w:val="FFFFFF"/>
                <w:sz w:val="19"/>
                <w:szCs w:val="19"/>
              </w:rPr>
              <w:t>Rationale</w:t>
            </w:r>
          </w:p>
        </w:tc>
      </w:tr>
      <w:tr w:rsidR="003061AE" w14:paraId="59C4DCB7" w14:textId="77777777">
        <w:tblPrEx>
          <w:tblCellMar>
            <w:top w:w="0" w:type="dxa"/>
            <w:bottom w:w="0" w:type="dxa"/>
          </w:tblCellMar>
        </w:tblPrEx>
        <w:tc>
          <w:tcPr>
            <w:tcW w:w="3100" w:type="dxa"/>
            <w:shd w:val="clear" w:color="auto" w:fill="F2F2F2"/>
            <w:tcMar>
              <w:top w:w="80" w:type="dxa"/>
              <w:left w:w="100" w:type="dxa"/>
              <w:bottom w:w="80" w:type="dxa"/>
              <w:right w:w="100" w:type="dxa"/>
            </w:tcMar>
          </w:tcPr>
          <w:p w14:paraId="1CF5DDD6" w14:textId="77777777" w:rsidR="003061AE" w:rsidRDefault="00000000">
            <w:r>
              <w:rPr>
                <w:color w:val="000000"/>
                <w:sz w:val="19"/>
                <w:szCs w:val="19"/>
              </w:rPr>
              <w:t>Phase 1 — Detection Foundation</w:t>
            </w:r>
          </w:p>
        </w:tc>
        <w:tc>
          <w:tcPr>
            <w:tcW w:w="1400" w:type="dxa"/>
            <w:shd w:val="clear" w:color="auto" w:fill="F2F2F2"/>
            <w:tcMar>
              <w:top w:w="80" w:type="dxa"/>
              <w:left w:w="100" w:type="dxa"/>
              <w:bottom w:w="80" w:type="dxa"/>
              <w:right w:w="100" w:type="dxa"/>
            </w:tcMar>
          </w:tcPr>
          <w:p w14:paraId="1F4C29B8" w14:textId="77777777" w:rsidR="003061AE" w:rsidRDefault="00000000">
            <w:r>
              <w:rPr>
                <w:color w:val="000000"/>
                <w:sz w:val="19"/>
                <w:szCs w:val="19"/>
              </w:rPr>
              <w:t>BP1, BP2</w:t>
            </w:r>
          </w:p>
        </w:tc>
        <w:tc>
          <w:tcPr>
            <w:tcW w:w="4900" w:type="dxa"/>
            <w:shd w:val="clear" w:color="auto" w:fill="F2F2F2"/>
            <w:tcMar>
              <w:top w:w="80" w:type="dxa"/>
              <w:left w:w="100" w:type="dxa"/>
              <w:bottom w:w="80" w:type="dxa"/>
              <w:right w:w="100" w:type="dxa"/>
            </w:tcMar>
          </w:tcPr>
          <w:p w14:paraId="47E93C8E" w14:textId="77777777" w:rsidR="003061AE" w:rsidRDefault="00000000">
            <w:r>
              <w:rPr>
                <w:color w:val="000000"/>
                <w:sz w:val="19"/>
                <w:szCs w:val="19"/>
              </w:rPr>
              <w:t>No upstream dependency; both train directly against real dataset labels</w:t>
            </w:r>
          </w:p>
        </w:tc>
      </w:tr>
      <w:tr w:rsidR="003061AE" w14:paraId="7BAB2423" w14:textId="77777777">
        <w:tblPrEx>
          <w:tblCellMar>
            <w:top w:w="0" w:type="dxa"/>
            <w:bottom w:w="0" w:type="dxa"/>
          </w:tblCellMar>
        </w:tblPrEx>
        <w:tc>
          <w:tcPr>
            <w:tcW w:w="3100" w:type="dxa"/>
            <w:shd w:val="clear" w:color="auto" w:fill="FFFFFF"/>
            <w:tcMar>
              <w:top w:w="80" w:type="dxa"/>
              <w:left w:w="100" w:type="dxa"/>
              <w:bottom w:w="80" w:type="dxa"/>
              <w:right w:w="100" w:type="dxa"/>
            </w:tcMar>
          </w:tcPr>
          <w:p w14:paraId="70543D1B" w14:textId="77777777" w:rsidR="003061AE" w:rsidRDefault="00000000">
            <w:r>
              <w:rPr>
                <w:color w:val="000000"/>
                <w:sz w:val="19"/>
                <w:szCs w:val="19"/>
              </w:rPr>
              <w:t>Phase 2 — Network &amp; Specialized Typology</w:t>
            </w:r>
          </w:p>
        </w:tc>
        <w:tc>
          <w:tcPr>
            <w:tcW w:w="1400" w:type="dxa"/>
            <w:shd w:val="clear" w:color="auto" w:fill="FFFFFF"/>
            <w:tcMar>
              <w:top w:w="80" w:type="dxa"/>
              <w:left w:w="100" w:type="dxa"/>
              <w:bottom w:w="80" w:type="dxa"/>
              <w:right w:w="100" w:type="dxa"/>
            </w:tcMar>
          </w:tcPr>
          <w:p w14:paraId="6AB932D6" w14:textId="77777777" w:rsidR="003061AE" w:rsidRDefault="00000000">
            <w:r>
              <w:rPr>
                <w:color w:val="000000"/>
                <w:sz w:val="19"/>
                <w:szCs w:val="19"/>
              </w:rPr>
              <w:t>BP3, BP4</w:t>
            </w:r>
          </w:p>
        </w:tc>
        <w:tc>
          <w:tcPr>
            <w:tcW w:w="4900" w:type="dxa"/>
            <w:shd w:val="clear" w:color="auto" w:fill="FFFFFF"/>
            <w:tcMar>
              <w:top w:w="80" w:type="dxa"/>
              <w:left w:w="100" w:type="dxa"/>
              <w:bottom w:w="80" w:type="dxa"/>
              <w:right w:w="100" w:type="dxa"/>
            </w:tcMar>
          </w:tcPr>
          <w:p w14:paraId="5DE029A9" w14:textId="77777777" w:rsidR="003061AE" w:rsidRDefault="00000000">
            <w:r>
              <w:rPr>
                <w:color w:val="000000"/>
                <w:sz w:val="19"/>
                <w:szCs w:val="19"/>
              </w:rPr>
              <w:t>BP3 soft-depends on BP1's entity scores; BP4 reuses BP2's typology groundwork</w:t>
            </w:r>
          </w:p>
        </w:tc>
      </w:tr>
      <w:tr w:rsidR="003061AE" w14:paraId="0F46B0B6" w14:textId="77777777">
        <w:tblPrEx>
          <w:tblCellMar>
            <w:top w:w="0" w:type="dxa"/>
            <w:bottom w:w="0" w:type="dxa"/>
          </w:tblCellMar>
        </w:tblPrEx>
        <w:tc>
          <w:tcPr>
            <w:tcW w:w="3100" w:type="dxa"/>
            <w:shd w:val="clear" w:color="auto" w:fill="F2F2F2"/>
            <w:tcMar>
              <w:top w:w="80" w:type="dxa"/>
              <w:left w:w="100" w:type="dxa"/>
              <w:bottom w:w="80" w:type="dxa"/>
              <w:right w:w="100" w:type="dxa"/>
            </w:tcMar>
          </w:tcPr>
          <w:p w14:paraId="6F965A8F" w14:textId="77777777" w:rsidR="003061AE" w:rsidRDefault="00000000">
            <w:r>
              <w:rPr>
                <w:color w:val="000000"/>
                <w:sz w:val="19"/>
                <w:szCs w:val="19"/>
              </w:rPr>
              <w:t>Phase 3 — Cross-Border Intelligence</w:t>
            </w:r>
          </w:p>
        </w:tc>
        <w:tc>
          <w:tcPr>
            <w:tcW w:w="1400" w:type="dxa"/>
            <w:shd w:val="clear" w:color="auto" w:fill="F2F2F2"/>
            <w:tcMar>
              <w:top w:w="80" w:type="dxa"/>
              <w:left w:w="100" w:type="dxa"/>
              <w:bottom w:w="80" w:type="dxa"/>
              <w:right w:w="100" w:type="dxa"/>
            </w:tcMar>
          </w:tcPr>
          <w:p w14:paraId="761D05EC" w14:textId="77777777" w:rsidR="003061AE" w:rsidRDefault="00000000">
            <w:r>
              <w:rPr>
                <w:color w:val="000000"/>
                <w:sz w:val="19"/>
                <w:szCs w:val="19"/>
              </w:rPr>
              <w:t>BP5</w:t>
            </w:r>
          </w:p>
        </w:tc>
        <w:tc>
          <w:tcPr>
            <w:tcW w:w="4900" w:type="dxa"/>
            <w:shd w:val="clear" w:color="auto" w:fill="F2F2F2"/>
            <w:tcMar>
              <w:top w:w="80" w:type="dxa"/>
              <w:left w:w="100" w:type="dxa"/>
              <w:bottom w:w="80" w:type="dxa"/>
              <w:right w:w="100" w:type="dxa"/>
            </w:tcMar>
          </w:tcPr>
          <w:p w14:paraId="5279372E" w14:textId="77777777" w:rsidR="003061AE" w:rsidRDefault="00000000">
            <w:r>
              <w:rPr>
                <w:color w:val="000000"/>
                <w:sz w:val="19"/>
                <w:szCs w:val="19"/>
              </w:rPr>
              <w:t>Independently trainable, consumes BP1–BP4 as contextual features where useful</w:t>
            </w:r>
          </w:p>
        </w:tc>
      </w:tr>
      <w:tr w:rsidR="003061AE" w14:paraId="2FB64045" w14:textId="77777777">
        <w:tblPrEx>
          <w:tblCellMar>
            <w:top w:w="0" w:type="dxa"/>
            <w:bottom w:w="0" w:type="dxa"/>
          </w:tblCellMar>
        </w:tblPrEx>
        <w:tc>
          <w:tcPr>
            <w:tcW w:w="3100" w:type="dxa"/>
            <w:shd w:val="clear" w:color="auto" w:fill="FFFFFF"/>
            <w:tcMar>
              <w:top w:w="80" w:type="dxa"/>
              <w:left w:w="100" w:type="dxa"/>
              <w:bottom w:w="80" w:type="dxa"/>
              <w:right w:w="100" w:type="dxa"/>
            </w:tcMar>
          </w:tcPr>
          <w:p w14:paraId="25F5F728" w14:textId="77777777" w:rsidR="003061AE" w:rsidRDefault="00000000">
            <w:r>
              <w:rPr>
                <w:color w:val="000000"/>
                <w:sz w:val="19"/>
                <w:szCs w:val="19"/>
              </w:rPr>
              <w:t>Phase 4 — Executive &amp; Regulatory Intelligence</w:t>
            </w:r>
          </w:p>
        </w:tc>
        <w:tc>
          <w:tcPr>
            <w:tcW w:w="1400" w:type="dxa"/>
            <w:shd w:val="clear" w:color="auto" w:fill="FFFFFF"/>
            <w:tcMar>
              <w:top w:w="80" w:type="dxa"/>
              <w:left w:w="100" w:type="dxa"/>
              <w:bottom w:w="80" w:type="dxa"/>
              <w:right w:w="100" w:type="dxa"/>
            </w:tcMar>
          </w:tcPr>
          <w:p w14:paraId="6817867B" w14:textId="77777777" w:rsidR="003061AE" w:rsidRDefault="00000000">
            <w:r>
              <w:rPr>
                <w:color w:val="000000"/>
                <w:sz w:val="19"/>
                <w:szCs w:val="19"/>
              </w:rPr>
              <w:t>BP6</w:t>
            </w:r>
          </w:p>
        </w:tc>
        <w:tc>
          <w:tcPr>
            <w:tcW w:w="4900" w:type="dxa"/>
            <w:shd w:val="clear" w:color="auto" w:fill="FFFFFF"/>
            <w:tcMar>
              <w:top w:w="80" w:type="dxa"/>
              <w:left w:w="100" w:type="dxa"/>
              <w:bottom w:w="80" w:type="dxa"/>
              <w:right w:w="100" w:type="dxa"/>
            </w:tcMar>
          </w:tcPr>
          <w:p w14:paraId="698F0B6D" w14:textId="77777777" w:rsidR="003061AE" w:rsidRDefault="00000000">
            <w:r>
              <w:rPr>
                <w:color w:val="000000"/>
                <w:sz w:val="19"/>
                <w:szCs w:val="19"/>
              </w:rPr>
              <w:t>Pure rollup, built last, reads every prior BP's own summary JSON</w:t>
            </w:r>
          </w:p>
        </w:tc>
      </w:tr>
    </w:tbl>
    <w:p w14:paraId="7DCC7194" w14:textId="77777777" w:rsidR="003061AE" w:rsidRDefault="00000000">
      <w:pPr>
        <w:pStyle w:val="Heading1"/>
        <w:pBdr>
          <w:bottom w:val="single" w:sz="8" w:space="4" w:color="1F3864"/>
        </w:pBdr>
        <w:spacing w:before="400" w:after="160"/>
      </w:pPr>
      <w:r>
        <w:rPr>
          <w:b/>
          <w:bCs/>
          <w:color w:val="1F3864"/>
          <w:sz w:val="30"/>
          <w:szCs w:val="30"/>
        </w:rPr>
        <w:t>4. Per-Business-Problem Notebook Lifecycle</w:t>
      </w:r>
    </w:p>
    <w:p w14:paraId="272E24CA" w14:textId="77777777" w:rsidR="003061AE" w:rsidRDefault="00000000">
      <w:pPr>
        <w:spacing w:after="140" w:line="276" w:lineRule="auto"/>
      </w:pPr>
      <w:r>
        <w:t>4 notebooks per BP — confirmed choice, AMEX pattern, matches the already-drafted BP1 Notebook 1.</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6700"/>
      </w:tblGrid>
      <w:tr w:rsidR="003061AE" w14:paraId="2B1F8626"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tcPr>
          <w:p w14:paraId="3046341F" w14:textId="77777777" w:rsidR="003061AE" w:rsidRDefault="00000000">
            <w:pPr>
              <w:jc w:val="center"/>
            </w:pPr>
            <w:r>
              <w:rPr>
                <w:b/>
                <w:bCs/>
                <w:color w:val="FFFFFF"/>
                <w:sz w:val="19"/>
                <w:szCs w:val="19"/>
              </w:rPr>
              <w:t>#</w:t>
            </w:r>
          </w:p>
        </w:tc>
        <w:tc>
          <w:tcPr>
            <w:tcW w:w="3200" w:type="dxa"/>
            <w:shd w:val="clear" w:color="auto" w:fill="1F3864"/>
            <w:tcMar>
              <w:top w:w="80" w:type="dxa"/>
              <w:left w:w="100" w:type="dxa"/>
              <w:bottom w:w="80" w:type="dxa"/>
              <w:right w:w="100" w:type="dxa"/>
            </w:tcMar>
          </w:tcPr>
          <w:p w14:paraId="104A61D5" w14:textId="77777777" w:rsidR="003061AE" w:rsidRDefault="00000000">
            <w:pPr>
              <w:jc w:val="center"/>
            </w:pPr>
            <w:r>
              <w:rPr>
                <w:b/>
                <w:bCs/>
                <w:color w:val="FFFFFF"/>
                <w:sz w:val="19"/>
                <w:szCs w:val="19"/>
              </w:rPr>
              <w:t>Notebook</w:t>
            </w:r>
          </w:p>
        </w:tc>
        <w:tc>
          <w:tcPr>
            <w:tcW w:w="6700" w:type="dxa"/>
            <w:shd w:val="clear" w:color="auto" w:fill="1F3864"/>
            <w:tcMar>
              <w:top w:w="80" w:type="dxa"/>
              <w:left w:w="100" w:type="dxa"/>
              <w:bottom w:w="80" w:type="dxa"/>
              <w:right w:w="100" w:type="dxa"/>
            </w:tcMar>
          </w:tcPr>
          <w:p w14:paraId="1097D052" w14:textId="77777777" w:rsidR="003061AE" w:rsidRDefault="00000000">
            <w:pPr>
              <w:jc w:val="center"/>
            </w:pPr>
            <w:r>
              <w:rPr>
                <w:b/>
                <w:bCs/>
                <w:color w:val="FFFFFF"/>
                <w:sz w:val="19"/>
                <w:szCs w:val="19"/>
              </w:rPr>
              <w:t>Purpose</w:t>
            </w:r>
          </w:p>
        </w:tc>
      </w:tr>
      <w:tr w:rsidR="003061AE" w14:paraId="3BC2D2E7"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736A27A8" w14:textId="77777777" w:rsidR="003061AE" w:rsidRDefault="00000000">
            <w:r>
              <w:rPr>
                <w:color w:val="000000"/>
                <w:sz w:val="19"/>
                <w:szCs w:val="19"/>
              </w:rPr>
              <w:t>1</w:t>
            </w:r>
          </w:p>
        </w:tc>
        <w:tc>
          <w:tcPr>
            <w:tcW w:w="3200" w:type="dxa"/>
            <w:shd w:val="clear" w:color="auto" w:fill="F2F2F2"/>
            <w:tcMar>
              <w:top w:w="80" w:type="dxa"/>
              <w:left w:w="100" w:type="dxa"/>
              <w:bottom w:w="80" w:type="dxa"/>
              <w:right w:w="100" w:type="dxa"/>
            </w:tcMar>
          </w:tcPr>
          <w:p w14:paraId="4A805FA7" w14:textId="77777777" w:rsidR="003061AE" w:rsidRDefault="00000000">
            <w:r>
              <w:rPr>
                <w:color w:val="000000"/>
                <w:sz w:val="19"/>
                <w:szCs w:val="19"/>
              </w:rPr>
              <w:t>Business Understanding &amp; Policy</w:t>
            </w:r>
          </w:p>
        </w:tc>
        <w:tc>
          <w:tcPr>
            <w:tcW w:w="6700" w:type="dxa"/>
            <w:shd w:val="clear" w:color="auto" w:fill="F2F2F2"/>
            <w:tcMar>
              <w:top w:w="80" w:type="dxa"/>
              <w:left w:w="100" w:type="dxa"/>
              <w:bottom w:w="80" w:type="dxa"/>
              <w:right w:w="100" w:type="dxa"/>
            </w:tcMar>
          </w:tcPr>
          <w:p w14:paraId="39E25AD1" w14:textId="77777777" w:rsidR="003061AE" w:rsidRDefault="00000000">
            <w:r>
              <w:rPr>
                <w:color w:val="000000"/>
                <w:sz w:val="19"/>
                <w:szCs w:val="19"/>
              </w:rPr>
              <w:t>Frames the business question, defines outcome-free policy/thresholds, documents every ASSUMPTION with a source</w:t>
            </w:r>
          </w:p>
        </w:tc>
      </w:tr>
      <w:tr w:rsidR="003061AE" w14:paraId="0B0B3B4A"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3C21ACA1" w14:textId="77777777" w:rsidR="003061AE" w:rsidRDefault="00000000">
            <w:r>
              <w:rPr>
                <w:color w:val="000000"/>
                <w:sz w:val="19"/>
                <w:szCs w:val="19"/>
              </w:rPr>
              <w:t>2</w:t>
            </w:r>
          </w:p>
        </w:tc>
        <w:tc>
          <w:tcPr>
            <w:tcW w:w="3200" w:type="dxa"/>
            <w:shd w:val="clear" w:color="auto" w:fill="FFFFFF"/>
            <w:tcMar>
              <w:top w:w="80" w:type="dxa"/>
              <w:left w:w="100" w:type="dxa"/>
              <w:bottom w:w="80" w:type="dxa"/>
              <w:right w:w="100" w:type="dxa"/>
            </w:tcMar>
          </w:tcPr>
          <w:p w14:paraId="72E8659E" w14:textId="77777777" w:rsidR="003061AE" w:rsidRDefault="00000000">
            <w:r>
              <w:rPr>
                <w:color w:val="000000"/>
                <w:sz w:val="19"/>
                <w:szCs w:val="19"/>
              </w:rPr>
              <w:t>Feature Engineering &amp; Modeling</w:t>
            </w:r>
          </w:p>
        </w:tc>
        <w:tc>
          <w:tcPr>
            <w:tcW w:w="6700" w:type="dxa"/>
            <w:shd w:val="clear" w:color="auto" w:fill="FFFFFF"/>
            <w:tcMar>
              <w:top w:w="80" w:type="dxa"/>
              <w:left w:w="100" w:type="dxa"/>
              <w:bottom w:w="80" w:type="dxa"/>
              <w:right w:w="100" w:type="dxa"/>
            </w:tcMar>
          </w:tcPr>
          <w:p w14:paraId="588F4307" w14:textId="77777777" w:rsidR="003061AE" w:rsidRDefault="00000000">
            <w:r>
              <w:rPr>
                <w:color w:val="000000"/>
                <w:sz w:val="19"/>
                <w:szCs w:val="19"/>
              </w:rPr>
              <w:t>Builds features (incl. graph features for BP3), runs the model-benchmark spec (Section 5), selects champion</w:t>
            </w:r>
          </w:p>
        </w:tc>
      </w:tr>
      <w:tr w:rsidR="003061AE" w14:paraId="7DDC4B5F"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48EE2DE5" w14:textId="77777777" w:rsidR="003061AE" w:rsidRDefault="00000000">
            <w:r>
              <w:rPr>
                <w:color w:val="000000"/>
                <w:sz w:val="19"/>
                <w:szCs w:val="19"/>
              </w:rPr>
              <w:t>3</w:t>
            </w:r>
          </w:p>
        </w:tc>
        <w:tc>
          <w:tcPr>
            <w:tcW w:w="3200" w:type="dxa"/>
            <w:shd w:val="clear" w:color="auto" w:fill="F2F2F2"/>
            <w:tcMar>
              <w:top w:w="80" w:type="dxa"/>
              <w:left w:w="100" w:type="dxa"/>
              <w:bottom w:w="80" w:type="dxa"/>
              <w:right w:w="100" w:type="dxa"/>
            </w:tcMar>
          </w:tcPr>
          <w:p w14:paraId="746383E1" w14:textId="77777777" w:rsidR="003061AE" w:rsidRDefault="00000000">
            <w:r>
              <w:rPr>
                <w:color w:val="000000"/>
                <w:sz w:val="19"/>
                <w:szCs w:val="19"/>
              </w:rPr>
              <w:t>Statistical Validation &amp; Deployment</w:t>
            </w:r>
          </w:p>
        </w:tc>
        <w:tc>
          <w:tcPr>
            <w:tcW w:w="6700" w:type="dxa"/>
            <w:shd w:val="clear" w:color="auto" w:fill="F2F2F2"/>
            <w:tcMar>
              <w:top w:w="80" w:type="dxa"/>
              <w:left w:w="100" w:type="dxa"/>
              <w:bottom w:w="80" w:type="dxa"/>
              <w:right w:w="100" w:type="dxa"/>
            </w:tcMar>
          </w:tcPr>
          <w:p w14:paraId="28C738D7" w14:textId="77777777" w:rsidR="003061AE" w:rsidRDefault="00000000">
            <w:r>
              <w:rPr>
                <w:color w:val="000000"/>
                <w:sz w:val="19"/>
                <w:szCs w:val="19"/>
              </w:rPr>
              <w:t xml:space="preserve">Bootstrap CI, calibration, leakage/boundary checks, deployable </w:t>
            </w:r>
            <w:proofErr w:type="spellStart"/>
            <w:r>
              <w:rPr>
                <w:color w:val="000000"/>
                <w:sz w:val="19"/>
                <w:szCs w:val="19"/>
              </w:rPr>
              <w:t>FastAPI</w:t>
            </w:r>
            <w:proofErr w:type="spellEnd"/>
            <w:r>
              <w:rPr>
                <w:color w:val="000000"/>
                <w:sz w:val="19"/>
                <w:szCs w:val="19"/>
              </w:rPr>
              <w:t xml:space="preserve"> scorer + live self-test</w:t>
            </w:r>
          </w:p>
        </w:tc>
      </w:tr>
      <w:tr w:rsidR="003061AE" w14:paraId="435CC080" w14:textId="77777777">
        <w:tblPrEx>
          <w:tblCellMar>
            <w:top w:w="0" w:type="dxa"/>
            <w:bottom w:w="0" w:type="dxa"/>
          </w:tblCellMar>
        </w:tblPrEx>
        <w:tc>
          <w:tcPr>
            <w:tcW w:w="500" w:type="dxa"/>
            <w:shd w:val="clear" w:color="auto" w:fill="FFFFFF"/>
            <w:tcMar>
              <w:top w:w="80" w:type="dxa"/>
              <w:left w:w="100" w:type="dxa"/>
              <w:bottom w:w="80" w:type="dxa"/>
              <w:right w:w="100" w:type="dxa"/>
            </w:tcMar>
          </w:tcPr>
          <w:p w14:paraId="07446F5B" w14:textId="77777777" w:rsidR="003061AE" w:rsidRDefault="00000000">
            <w:r>
              <w:rPr>
                <w:color w:val="000000"/>
                <w:sz w:val="19"/>
                <w:szCs w:val="19"/>
              </w:rPr>
              <w:t>4</w:t>
            </w:r>
          </w:p>
        </w:tc>
        <w:tc>
          <w:tcPr>
            <w:tcW w:w="3200" w:type="dxa"/>
            <w:shd w:val="clear" w:color="auto" w:fill="FFFFFF"/>
            <w:tcMar>
              <w:top w:w="80" w:type="dxa"/>
              <w:left w:w="100" w:type="dxa"/>
              <w:bottom w:w="80" w:type="dxa"/>
              <w:right w:w="100" w:type="dxa"/>
            </w:tcMar>
          </w:tcPr>
          <w:p w14:paraId="6770A2A4" w14:textId="77777777" w:rsidR="003061AE" w:rsidRDefault="00000000">
            <w:r>
              <w:rPr>
                <w:color w:val="000000"/>
                <w:sz w:val="19"/>
                <w:szCs w:val="19"/>
              </w:rPr>
              <w:t>Compliance-Impact Reporting &amp; Packaging</w:t>
            </w:r>
          </w:p>
        </w:tc>
        <w:tc>
          <w:tcPr>
            <w:tcW w:w="6700" w:type="dxa"/>
            <w:shd w:val="clear" w:color="auto" w:fill="FFFFFF"/>
            <w:tcMar>
              <w:top w:w="80" w:type="dxa"/>
              <w:left w:w="100" w:type="dxa"/>
              <w:bottom w:w="80" w:type="dxa"/>
              <w:right w:w="100" w:type="dxa"/>
            </w:tcMar>
          </w:tcPr>
          <w:p w14:paraId="671C4A56" w14:textId="77777777" w:rsidR="003061AE" w:rsidRDefault="00000000">
            <w:r>
              <w:rPr>
                <w:color w:val="000000"/>
                <w:sz w:val="19"/>
                <w:szCs w:val="19"/>
              </w:rPr>
              <w:t>That BP's own executive rollup: five-format package (Section 7)</w:t>
            </w:r>
          </w:p>
        </w:tc>
      </w:tr>
    </w:tbl>
    <w:p w14:paraId="5851C09F" w14:textId="77777777" w:rsidR="003061AE" w:rsidRDefault="003061AE">
      <w:pPr>
        <w:spacing w:after="120"/>
      </w:pPr>
    </w:p>
    <w:p w14:paraId="53577099" w14:textId="77777777" w:rsidR="003061AE" w:rsidRDefault="00000000">
      <w:pPr>
        <w:pStyle w:val="Heading2"/>
        <w:spacing w:before="260" w:after="120"/>
      </w:pPr>
      <w:r>
        <w:rPr>
          <w:b/>
          <w:bCs/>
          <w:color w:val="1F3864"/>
          <w:sz w:val="24"/>
          <w:szCs w:val="24"/>
        </w:rPr>
        <w:t>4.1 Standing lifecycle rules</w:t>
      </w:r>
    </w:p>
    <w:p w14:paraId="5C877971" w14:textId="77777777" w:rsidR="003061AE" w:rsidRDefault="00000000">
      <w:pPr>
        <w:pStyle w:val="ListParagraph"/>
        <w:numPr>
          <w:ilvl w:val="0"/>
          <w:numId w:val="2"/>
        </w:numPr>
        <w:spacing w:after="80" w:line="264" w:lineRule="auto"/>
      </w:pPr>
      <w:r>
        <w:t>Zero-fabrication and the execution-boundary rule (Claude writes notebooks/</w:t>
      </w:r>
      <w:proofErr w:type="spellStart"/>
      <w:r>
        <w:t>src</w:t>
      </w:r>
      <w:proofErr w:type="spellEnd"/>
      <w:r>
        <w:t xml:space="preserve"> only, never executes — not even a fixture — in the sandbox; all real numbers come from the user's own run)</w:t>
      </w:r>
    </w:p>
    <w:p w14:paraId="544AD86A" w14:textId="77777777" w:rsidR="003061AE" w:rsidRDefault="00000000">
      <w:pPr>
        <w:pStyle w:val="ListParagraph"/>
        <w:numPr>
          <w:ilvl w:val="0"/>
          <w:numId w:val="2"/>
        </w:numPr>
        <w:spacing w:after="80" w:line="264" w:lineRule="auto"/>
      </w:pPr>
      <w:r>
        <w:t>One markdown intro cell + one code cell per notebook; idempotent overwrite-in-place outputs; RANDOM_SEED = 42</w:t>
      </w:r>
    </w:p>
    <w:p w14:paraId="565D37B8" w14:textId="77777777" w:rsidR="003061AE" w:rsidRDefault="00000000">
      <w:pPr>
        <w:pStyle w:val="ListParagraph"/>
        <w:numPr>
          <w:ilvl w:val="0"/>
          <w:numId w:val="2"/>
        </w:numPr>
        <w:spacing w:after="80" w:line="264" w:lineRule="auto"/>
      </w:pPr>
      <w:r>
        <w:lastRenderedPageBreak/>
        <w:t>Two-gate verdict architecture: structural [CHECK] gate vs. a separately named statistical-robustness gate, never forced onto an ill-fitting test</w:t>
      </w:r>
    </w:p>
    <w:p w14:paraId="512F662F" w14:textId="77777777" w:rsidR="003061AE" w:rsidRDefault="00000000">
      <w:pPr>
        <w:pStyle w:val="ListParagraph"/>
        <w:numPr>
          <w:ilvl w:val="0"/>
          <w:numId w:val="2"/>
        </w:numPr>
        <w:spacing w:after="80" w:line="264" w:lineRule="auto"/>
      </w:pPr>
      <w:proofErr w:type="spellStart"/>
      <w:r>
        <w:t>configure_</w:t>
      </w:r>
      <w:proofErr w:type="gramStart"/>
      <w:r>
        <w:t>performance</w:t>
      </w:r>
      <w:proofErr w:type="spellEnd"/>
      <w:r>
        <w:t>(</w:t>
      </w:r>
      <w:proofErr w:type="gramEnd"/>
      <w:r>
        <w:t>) called as the literal first executable step, before any heavy import (Lesson #5)</w:t>
      </w:r>
    </w:p>
    <w:p w14:paraId="226FF8D6" w14:textId="77777777" w:rsidR="003061AE" w:rsidRDefault="00000000">
      <w:pPr>
        <w:pStyle w:val="ListParagraph"/>
        <w:numPr>
          <w:ilvl w:val="0"/>
          <w:numId w:val="2"/>
        </w:numPr>
        <w:spacing w:after="80" w:line="264" w:lineRule="auto"/>
      </w:pPr>
      <w:r>
        <w:t>A stale __</w:t>
      </w:r>
      <w:proofErr w:type="spellStart"/>
      <w:r>
        <w:t>pycache</w:t>
      </w:r>
      <w:proofErr w:type="spellEnd"/>
      <w:r>
        <w:t xml:space="preserve">__ check after every </w:t>
      </w:r>
      <w:proofErr w:type="spellStart"/>
      <w:r>
        <w:t>src</w:t>
      </w:r>
      <w:proofErr w:type="spellEnd"/>
      <w:r>
        <w:t xml:space="preserve">/ change (Lesson #6); every computed ratio gets an explicit undefined-count check, never a silent </w:t>
      </w:r>
      <w:proofErr w:type="gramStart"/>
      <w:r>
        <w:t>impute</w:t>
      </w:r>
      <w:proofErr w:type="gramEnd"/>
      <w:r>
        <w:t xml:space="preserve"> (Lesson #7)</w:t>
      </w:r>
    </w:p>
    <w:p w14:paraId="3CA9E277" w14:textId="77777777" w:rsidR="003061AE" w:rsidRDefault="00000000">
      <w:pPr>
        <w:pStyle w:val="ListParagraph"/>
        <w:numPr>
          <w:ilvl w:val="0"/>
          <w:numId w:val="2"/>
        </w:numPr>
        <w:spacing w:after="80" w:line="264" w:lineRule="auto"/>
      </w:pPr>
      <w:r>
        <w:t>A BP's report package is gated only on the structural [CHECK] gate, never on the statistical-robustness verdict (Lesson #14); no threshold is ever quietly tuned toward a target verdict (Lesson #15)</w:t>
      </w:r>
    </w:p>
    <w:p w14:paraId="5C61B5F6" w14:textId="77777777" w:rsidR="003061AE" w:rsidRDefault="00000000">
      <w:pPr>
        <w:pStyle w:val="Heading1"/>
        <w:pBdr>
          <w:bottom w:val="single" w:sz="8" w:space="4" w:color="1F3864"/>
        </w:pBdr>
        <w:spacing w:before="400" w:after="160"/>
      </w:pPr>
      <w:r>
        <w:rPr>
          <w:b/>
          <w:bCs/>
          <w:color w:val="1F3864"/>
          <w:sz w:val="30"/>
          <w:szCs w:val="30"/>
        </w:rPr>
        <w:t>5. Model Benchmark Specification — AML-Adapted</w:t>
      </w:r>
    </w:p>
    <w:p w14:paraId="2B8E8A31" w14:textId="77777777" w:rsidR="003061AE" w:rsidRDefault="00000000">
      <w:pPr>
        <w:pStyle w:val="Heading2"/>
        <w:spacing w:before="260" w:after="120"/>
      </w:pPr>
      <w:r>
        <w:rPr>
          <w:b/>
          <w:bCs/>
          <w:color w:val="1F3864"/>
          <w:sz w:val="24"/>
          <w:szCs w:val="24"/>
        </w:rPr>
        <w:t>5.1 Imbalance handling</w:t>
      </w:r>
    </w:p>
    <w:p w14:paraId="16583BE4" w14:textId="77777777" w:rsidR="003061AE" w:rsidRDefault="00000000">
      <w:pPr>
        <w:pStyle w:val="ListParagraph"/>
        <w:numPr>
          <w:ilvl w:val="0"/>
          <w:numId w:val="2"/>
        </w:numPr>
        <w:spacing w:after="80" w:line="264" w:lineRule="auto"/>
      </w:pPr>
      <w:r>
        <w:t>PR-AUC (never ROC-AUC alone) as the primary champion-selection metric</w:t>
      </w:r>
    </w:p>
    <w:p w14:paraId="51FE553F" w14:textId="77777777" w:rsidR="003061AE" w:rsidRDefault="00000000">
      <w:pPr>
        <w:pStyle w:val="ListParagraph"/>
        <w:numPr>
          <w:ilvl w:val="0"/>
          <w:numId w:val="2"/>
        </w:numPr>
        <w:spacing w:after="80" w:line="264" w:lineRule="auto"/>
      </w:pPr>
      <w:r>
        <w:t>Cost-sensitive class weighting, never naive resampling as the default</w:t>
      </w:r>
    </w:p>
    <w:p w14:paraId="25192D4D" w14:textId="77777777" w:rsidR="003061AE" w:rsidRDefault="00000000">
      <w:pPr>
        <w:pStyle w:val="ListParagraph"/>
        <w:numPr>
          <w:ilvl w:val="0"/>
          <w:numId w:val="2"/>
        </w:numPr>
        <w:spacing w:after="80" w:line="264" w:lineRule="auto"/>
      </w:pPr>
      <w:r>
        <w:t>Decision threshold from a real cost curve, not the default 0.5</w:t>
      </w:r>
    </w:p>
    <w:p w14:paraId="51EBAD87" w14:textId="77777777" w:rsidR="003061AE" w:rsidRDefault="00000000">
      <w:pPr>
        <w:pStyle w:val="Heading2"/>
        <w:spacing w:before="260" w:after="120"/>
      </w:pPr>
      <w:r>
        <w:rPr>
          <w:b/>
          <w:bCs/>
          <w:color w:val="1F3864"/>
          <w:sz w:val="24"/>
          <w:szCs w:val="24"/>
        </w:rPr>
        <w:t>5.2 Candidate set</w:t>
      </w:r>
    </w:p>
    <w:p w14:paraId="596CE39E" w14:textId="77777777" w:rsidR="003061AE" w:rsidRDefault="00000000">
      <w:pPr>
        <w:pStyle w:val="ListParagraph"/>
        <w:numPr>
          <w:ilvl w:val="0"/>
          <w:numId w:val="2"/>
        </w:numPr>
        <w:spacing w:after="80" w:line="264" w:lineRule="auto"/>
      </w:pPr>
      <w:r>
        <w:t xml:space="preserve">Stage A (screen, real single split): </w:t>
      </w:r>
      <w:proofErr w:type="spellStart"/>
      <w:r>
        <w:t>LightGBM</w:t>
      </w:r>
      <w:proofErr w:type="spellEnd"/>
      <w:r>
        <w:t xml:space="preserve">, </w:t>
      </w:r>
      <w:proofErr w:type="spellStart"/>
      <w:r>
        <w:t>XGBoost</w:t>
      </w:r>
      <w:proofErr w:type="spellEnd"/>
      <w:r>
        <w:t xml:space="preserve">, </w:t>
      </w:r>
      <w:proofErr w:type="spellStart"/>
      <w:r>
        <w:t>CatBoost</w:t>
      </w:r>
      <w:proofErr w:type="spellEnd"/>
      <w:r>
        <w:t>, Random Forest, plus Isolation Forest as an unsupervised comparator (reported, never blended in)</w:t>
      </w:r>
    </w:p>
    <w:p w14:paraId="4164FA7E" w14:textId="77777777" w:rsidR="003061AE" w:rsidRDefault="00000000">
      <w:pPr>
        <w:pStyle w:val="ListParagraph"/>
        <w:numPr>
          <w:ilvl w:val="0"/>
          <w:numId w:val="2"/>
        </w:numPr>
        <w:spacing w:after="80" w:line="264" w:lineRule="auto"/>
      </w:pPr>
      <w:r>
        <w:t xml:space="preserve">Stage B (5-fold CV, </w:t>
      </w:r>
      <w:proofErr w:type="gramStart"/>
      <w:r>
        <w:t>top-2</w:t>
      </w:r>
      <w:proofErr w:type="gramEnd"/>
      <w:r>
        <w:t xml:space="preserve"> supervised): champion = higher mean CV PR-AUC; SHAP + LIME for the champion only; formal CV report with per-fold variance</w:t>
      </w:r>
    </w:p>
    <w:p w14:paraId="59EA824C" w14:textId="77777777" w:rsidR="003061AE" w:rsidRDefault="00000000">
      <w:pPr>
        <w:pStyle w:val="Heading2"/>
        <w:spacing w:before="260" w:after="120"/>
      </w:pPr>
      <w:r>
        <w:rPr>
          <w:b/>
          <w:bCs/>
          <w:color w:val="1F3864"/>
          <w:sz w:val="24"/>
          <w:szCs w:val="24"/>
        </w:rPr>
        <w:t>5.3 Graph / network leakage discipline (Lesson #11)</w:t>
      </w:r>
    </w:p>
    <w:p w14:paraId="1495853D" w14:textId="77777777" w:rsidR="003061AE" w:rsidRDefault="00000000">
      <w:pPr>
        <w:spacing w:after="140" w:line="276" w:lineRule="auto"/>
      </w:pPr>
      <w:r>
        <w:t>Every graph feature (BP3, and any BP reusing an entity-level graph feature) is computed only from the train-time snapshot; no test-period edges, aggregates, or community-detection output may leak into training features. Enforced as its own structural [CHECK] gate, documented per-BP in that BP's configs/</w:t>
      </w:r>
      <w:proofErr w:type="spellStart"/>
      <w:r>
        <w:t>bpN</w:t>
      </w:r>
      <w:proofErr w:type="spellEnd"/>
      <w:r>
        <w:t>_*.</w:t>
      </w:r>
      <w:proofErr w:type="spellStart"/>
      <w:r>
        <w:t>yaml</w:t>
      </w:r>
      <w:proofErr w:type="spellEnd"/>
      <w:r>
        <w:t>.</w:t>
      </w:r>
    </w:p>
    <w:p w14:paraId="472530A7" w14:textId="77777777" w:rsidR="003061AE" w:rsidRDefault="00000000">
      <w:pPr>
        <w:pStyle w:val="Heading2"/>
        <w:spacing w:before="260" w:after="120"/>
      </w:pPr>
      <w:r>
        <w:rPr>
          <w:b/>
          <w:bCs/>
          <w:color w:val="1F3864"/>
          <w:sz w:val="24"/>
          <w:szCs w:val="24"/>
        </w:rPr>
        <w:t>5.4 Deployable scoring services (AMEX Phase-2-hardening pattern)</w:t>
      </w:r>
    </w:p>
    <w:p w14:paraId="78C8590C" w14:textId="77777777" w:rsidR="003061AE" w:rsidRDefault="00000000">
      <w:pPr>
        <w:spacing w:after="140" w:line="276" w:lineRule="auto"/>
      </w:pPr>
      <w:r>
        <w:t xml:space="preserve">Each BP that reaches Notebook 3 gets a </w:t>
      </w:r>
      <w:proofErr w:type="spellStart"/>
      <w:r>
        <w:t>FastAPI</w:t>
      </w:r>
      <w:proofErr w:type="spellEnd"/>
      <w:r>
        <w:t xml:space="preserve"> service wrapping its real scoring function, verified bit-identical to direct computation, with a self-test that checks every real row it can reach — never one sample row (Lesson #4) — and reports a magnitude column on any mismatch. Any weighted-sum reconstruction must replicate the source notebook's real iteration order exactly (Lesson #3); any consumed value must be full-float-precision, never display-rounded or independently recomputed (Lesson #2).</w:t>
      </w:r>
    </w:p>
    <w:p w14:paraId="390D0E28" w14:textId="77777777" w:rsidR="003061AE" w:rsidRDefault="00000000">
      <w:pPr>
        <w:pStyle w:val="Heading1"/>
        <w:pBdr>
          <w:bottom w:val="single" w:sz="8" w:space="4" w:color="1F3864"/>
        </w:pBdr>
        <w:spacing w:before="400" w:after="160"/>
      </w:pPr>
      <w:r>
        <w:rPr>
          <w:b/>
          <w:bCs/>
          <w:color w:val="1F3864"/>
          <w:sz w:val="30"/>
          <w:szCs w:val="30"/>
        </w:rPr>
        <w:t>6. Regulatory &amp; Compliance Framework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0"/>
        <w:gridCol w:w="3700"/>
      </w:tblGrid>
      <w:tr w:rsidR="003061AE" w14:paraId="49223EE5" w14:textId="77777777">
        <w:tblPrEx>
          <w:tblCellMar>
            <w:top w:w="0" w:type="dxa"/>
            <w:bottom w:w="0" w:type="dxa"/>
          </w:tblCellMar>
        </w:tblPrEx>
        <w:trPr>
          <w:tblHeader/>
        </w:trPr>
        <w:tc>
          <w:tcPr>
            <w:tcW w:w="5700" w:type="dxa"/>
            <w:shd w:val="clear" w:color="auto" w:fill="1F3864"/>
            <w:tcMar>
              <w:top w:w="80" w:type="dxa"/>
              <w:left w:w="100" w:type="dxa"/>
              <w:bottom w:w="80" w:type="dxa"/>
              <w:right w:w="100" w:type="dxa"/>
            </w:tcMar>
          </w:tcPr>
          <w:p w14:paraId="44E4E47B" w14:textId="77777777" w:rsidR="003061AE" w:rsidRDefault="00000000">
            <w:pPr>
              <w:jc w:val="center"/>
            </w:pPr>
            <w:r>
              <w:rPr>
                <w:b/>
                <w:bCs/>
                <w:color w:val="FFFFFF"/>
                <w:sz w:val="19"/>
                <w:szCs w:val="19"/>
              </w:rPr>
              <w:t>Framework</w:t>
            </w:r>
          </w:p>
        </w:tc>
        <w:tc>
          <w:tcPr>
            <w:tcW w:w="3700" w:type="dxa"/>
            <w:shd w:val="clear" w:color="auto" w:fill="1F3864"/>
            <w:tcMar>
              <w:top w:w="80" w:type="dxa"/>
              <w:left w:w="100" w:type="dxa"/>
              <w:bottom w:w="80" w:type="dxa"/>
              <w:right w:w="100" w:type="dxa"/>
            </w:tcMar>
          </w:tcPr>
          <w:p w14:paraId="1C1E1542" w14:textId="77777777" w:rsidR="003061AE" w:rsidRDefault="00000000">
            <w:pPr>
              <w:jc w:val="center"/>
            </w:pPr>
            <w:r>
              <w:rPr>
                <w:b/>
                <w:bCs/>
                <w:color w:val="FFFFFF"/>
                <w:sz w:val="19"/>
                <w:szCs w:val="19"/>
              </w:rPr>
              <w:t>Applies to</w:t>
            </w:r>
          </w:p>
        </w:tc>
      </w:tr>
      <w:tr w:rsidR="003061AE" w14:paraId="1331E74F" w14:textId="77777777">
        <w:tblPrEx>
          <w:tblCellMar>
            <w:top w:w="0" w:type="dxa"/>
            <w:bottom w:w="0" w:type="dxa"/>
          </w:tblCellMar>
        </w:tblPrEx>
        <w:tc>
          <w:tcPr>
            <w:tcW w:w="5700" w:type="dxa"/>
            <w:shd w:val="clear" w:color="auto" w:fill="F2F2F2"/>
            <w:tcMar>
              <w:top w:w="80" w:type="dxa"/>
              <w:left w:w="100" w:type="dxa"/>
              <w:bottom w:w="80" w:type="dxa"/>
              <w:right w:w="100" w:type="dxa"/>
            </w:tcMar>
          </w:tcPr>
          <w:p w14:paraId="41D3C0B1" w14:textId="77777777" w:rsidR="003061AE" w:rsidRDefault="00000000">
            <w:r>
              <w:rPr>
                <w:color w:val="000000"/>
                <w:sz w:val="19"/>
                <w:szCs w:val="19"/>
              </w:rPr>
              <w:t>Bank Secrecy Act (31 U.S.C. §5311)</w:t>
            </w:r>
          </w:p>
        </w:tc>
        <w:tc>
          <w:tcPr>
            <w:tcW w:w="3700" w:type="dxa"/>
            <w:shd w:val="clear" w:color="auto" w:fill="F2F2F2"/>
            <w:tcMar>
              <w:top w:w="80" w:type="dxa"/>
              <w:left w:w="100" w:type="dxa"/>
              <w:bottom w:w="80" w:type="dxa"/>
              <w:right w:w="100" w:type="dxa"/>
            </w:tcMar>
          </w:tcPr>
          <w:p w14:paraId="7394168C" w14:textId="77777777" w:rsidR="003061AE" w:rsidRDefault="00000000">
            <w:r>
              <w:rPr>
                <w:color w:val="000000"/>
                <w:sz w:val="19"/>
                <w:szCs w:val="19"/>
              </w:rPr>
              <w:t>Platform-wide</w:t>
            </w:r>
          </w:p>
        </w:tc>
      </w:tr>
      <w:tr w:rsidR="003061AE" w14:paraId="17D22CCA" w14:textId="77777777">
        <w:tblPrEx>
          <w:tblCellMar>
            <w:top w:w="0" w:type="dxa"/>
            <w:bottom w:w="0" w:type="dxa"/>
          </w:tblCellMar>
        </w:tblPrEx>
        <w:tc>
          <w:tcPr>
            <w:tcW w:w="5700" w:type="dxa"/>
            <w:shd w:val="clear" w:color="auto" w:fill="FFFFFF"/>
            <w:tcMar>
              <w:top w:w="80" w:type="dxa"/>
              <w:left w:w="100" w:type="dxa"/>
              <w:bottom w:w="80" w:type="dxa"/>
              <w:right w:w="100" w:type="dxa"/>
            </w:tcMar>
          </w:tcPr>
          <w:p w14:paraId="7C836B48" w14:textId="77777777" w:rsidR="003061AE" w:rsidRDefault="00000000">
            <w:r>
              <w:rPr>
                <w:color w:val="000000"/>
                <w:sz w:val="19"/>
                <w:szCs w:val="19"/>
              </w:rPr>
              <w:t>BSA structuring statute (31 U.S.C. §5324)</w:t>
            </w:r>
          </w:p>
        </w:tc>
        <w:tc>
          <w:tcPr>
            <w:tcW w:w="3700" w:type="dxa"/>
            <w:shd w:val="clear" w:color="auto" w:fill="FFFFFF"/>
            <w:tcMar>
              <w:top w:w="80" w:type="dxa"/>
              <w:left w:w="100" w:type="dxa"/>
              <w:bottom w:w="80" w:type="dxa"/>
              <w:right w:w="100" w:type="dxa"/>
            </w:tcMar>
          </w:tcPr>
          <w:p w14:paraId="58B7A217" w14:textId="77777777" w:rsidR="003061AE" w:rsidRDefault="00000000">
            <w:r>
              <w:rPr>
                <w:color w:val="000000"/>
                <w:sz w:val="19"/>
                <w:szCs w:val="19"/>
              </w:rPr>
              <w:t>BP4</w:t>
            </w:r>
          </w:p>
        </w:tc>
      </w:tr>
      <w:tr w:rsidR="003061AE" w14:paraId="70909C7E" w14:textId="77777777">
        <w:tblPrEx>
          <w:tblCellMar>
            <w:top w:w="0" w:type="dxa"/>
            <w:bottom w:w="0" w:type="dxa"/>
          </w:tblCellMar>
        </w:tblPrEx>
        <w:tc>
          <w:tcPr>
            <w:tcW w:w="5700" w:type="dxa"/>
            <w:shd w:val="clear" w:color="auto" w:fill="F2F2F2"/>
            <w:tcMar>
              <w:top w:w="80" w:type="dxa"/>
              <w:left w:w="100" w:type="dxa"/>
              <w:bottom w:w="80" w:type="dxa"/>
              <w:right w:w="100" w:type="dxa"/>
            </w:tcMar>
          </w:tcPr>
          <w:p w14:paraId="750D1274" w14:textId="77777777" w:rsidR="003061AE" w:rsidRDefault="00000000">
            <w:r>
              <w:rPr>
                <w:color w:val="000000"/>
                <w:sz w:val="19"/>
                <w:szCs w:val="19"/>
              </w:rPr>
              <w:t>USA PATRIOT Act §326 (CIP), §314(a)/(b)</w:t>
            </w:r>
          </w:p>
        </w:tc>
        <w:tc>
          <w:tcPr>
            <w:tcW w:w="3700" w:type="dxa"/>
            <w:shd w:val="clear" w:color="auto" w:fill="F2F2F2"/>
            <w:tcMar>
              <w:top w:w="80" w:type="dxa"/>
              <w:left w:w="100" w:type="dxa"/>
              <w:bottom w:w="80" w:type="dxa"/>
              <w:right w:w="100" w:type="dxa"/>
            </w:tcMar>
          </w:tcPr>
          <w:p w14:paraId="1189DA83" w14:textId="77777777" w:rsidR="003061AE" w:rsidRDefault="00000000">
            <w:r>
              <w:rPr>
                <w:color w:val="000000"/>
                <w:sz w:val="19"/>
                <w:szCs w:val="19"/>
              </w:rPr>
              <w:t>BP1, BP5</w:t>
            </w:r>
          </w:p>
        </w:tc>
      </w:tr>
      <w:tr w:rsidR="003061AE" w14:paraId="40C9C100" w14:textId="77777777">
        <w:tblPrEx>
          <w:tblCellMar>
            <w:top w:w="0" w:type="dxa"/>
            <w:bottom w:w="0" w:type="dxa"/>
          </w:tblCellMar>
        </w:tblPrEx>
        <w:tc>
          <w:tcPr>
            <w:tcW w:w="5700" w:type="dxa"/>
            <w:shd w:val="clear" w:color="auto" w:fill="FFFFFF"/>
            <w:tcMar>
              <w:top w:w="80" w:type="dxa"/>
              <w:left w:w="100" w:type="dxa"/>
              <w:bottom w:w="80" w:type="dxa"/>
              <w:right w:w="100" w:type="dxa"/>
            </w:tcMar>
          </w:tcPr>
          <w:p w14:paraId="76D083DB" w14:textId="77777777" w:rsidR="003061AE" w:rsidRDefault="00000000">
            <w:r>
              <w:rPr>
                <w:color w:val="000000"/>
                <w:sz w:val="19"/>
                <w:szCs w:val="19"/>
              </w:rPr>
              <w:t>FinCEN SAR filing requirements (31 CFR §1020.320)</w:t>
            </w:r>
          </w:p>
        </w:tc>
        <w:tc>
          <w:tcPr>
            <w:tcW w:w="3700" w:type="dxa"/>
            <w:shd w:val="clear" w:color="auto" w:fill="FFFFFF"/>
            <w:tcMar>
              <w:top w:w="80" w:type="dxa"/>
              <w:left w:w="100" w:type="dxa"/>
              <w:bottom w:w="80" w:type="dxa"/>
              <w:right w:w="100" w:type="dxa"/>
            </w:tcMar>
          </w:tcPr>
          <w:p w14:paraId="385F72F4" w14:textId="77777777" w:rsidR="003061AE" w:rsidRDefault="00000000">
            <w:r>
              <w:rPr>
                <w:color w:val="000000"/>
                <w:sz w:val="19"/>
                <w:szCs w:val="19"/>
              </w:rPr>
              <w:t>BP1, BP2 (evidence only — not a SAR-prediction model)</w:t>
            </w:r>
          </w:p>
        </w:tc>
      </w:tr>
      <w:tr w:rsidR="003061AE" w14:paraId="53FE0548" w14:textId="77777777">
        <w:tblPrEx>
          <w:tblCellMar>
            <w:top w:w="0" w:type="dxa"/>
            <w:bottom w:w="0" w:type="dxa"/>
          </w:tblCellMar>
        </w:tblPrEx>
        <w:tc>
          <w:tcPr>
            <w:tcW w:w="5700" w:type="dxa"/>
            <w:shd w:val="clear" w:color="auto" w:fill="F2F2F2"/>
            <w:tcMar>
              <w:top w:w="80" w:type="dxa"/>
              <w:left w:w="100" w:type="dxa"/>
              <w:bottom w:w="80" w:type="dxa"/>
              <w:right w:w="100" w:type="dxa"/>
            </w:tcMar>
          </w:tcPr>
          <w:p w14:paraId="16FDE5FC" w14:textId="77777777" w:rsidR="003061AE" w:rsidRDefault="00000000">
            <w:r>
              <w:rPr>
                <w:color w:val="000000"/>
                <w:sz w:val="19"/>
                <w:szCs w:val="19"/>
              </w:rPr>
              <w:lastRenderedPageBreak/>
              <w:t>OFAC sanctions-list screening</w:t>
            </w:r>
          </w:p>
        </w:tc>
        <w:tc>
          <w:tcPr>
            <w:tcW w:w="3700" w:type="dxa"/>
            <w:shd w:val="clear" w:color="auto" w:fill="F2F2F2"/>
            <w:tcMar>
              <w:top w:w="80" w:type="dxa"/>
              <w:left w:w="100" w:type="dxa"/>
              <w:bottom w:w="80" w:type="dxa"/>
              <w:right w:w="100" w:type="dxa"/>
            </w:tcMar>
          </w:tcPr>
          <w:p w14:paraId="256CA4E1" w14:textId="77777777" w:rsidR="003061AE" w:rsidRDefault="00000000">
            <w:r>
              <w:rPr>
                <w:color w:val="000000"/>
                <w:sz w:val="19"/>
                <w:szCs w:val="19"/>
              </w:rPr>
              <w:t>BP1, BP5</w:t>
            </w:r>
          </w:p>
        </w:tc>
      </w:tr>
      <w:tr w:rsidR="003061AE" w14:paraId="63009019" w14:textId="77777777">
        <w:tblPrEx>
          <w:tblCellMar>
            <w:top w:w="0" w:type="dxa"/>
            <w:bottom w:w="0" w:type="dxa"/>
          </w:tblCellMar>
        </w:tblPrEx>
        <w:tc>
          <w:tcPr>
            <w:tcW w:w="5700" w:type="dxa"/>
            <w:shd w:val="clear" w:color="auto" w:fill="FFFFFF"/>
            <w:tcMar>
              <w:top w:w="80" w:type="dxa"/>
              <w:left w:w="100" w:type="dxa"/>
              <w:bottom w:w="80" w:type="dxa"/>
              <w:right w:w="100" w:type="dxa"/>
            </w:tcMar>
          </w:tcPr>
          <w:p w14:paraId="531D882D" w14:textId="77777777" w:rsidR="003061AE" w:rsidRDefault="00000000">
            <w:r>
              <w:rPr>
                <w:color w:val="000000"/>
                <w:sz w:val="19"/>
                <w:szCs w:val="19"/>
              </w:rPr>
              <w:t>FFIEC BSA/AML Examination Manual (5 pillars)</w:t>
            </w:r>
          </w:p>
        </w:tc>
        <w:tc>
          <w:tcPr>
            <w:tcW w:w="3700" w:type="dxa"/>
            <w:shd w:val="clear" w:color="auto" w:fill="FFFFFF"/>
            <w:tcMar>
              <w:top w:w="80" w:type="dxa"/>
              <w:left w:w="100" w:type="dxa"/>
              <w:bottom w:w="80" w:type="dxa"/>
              <w:right w:w="100" w:type="dxa"/>
            </w:tcMar>
          </w:tcPr>
          <w:p w14:paraId="2EFE0B34" w14:textId="77777777" w:rsidR="003061AE" w:rsidRDefault="00000000">
            <w:r>
              <w:rPr>
                <w:color w:val="000000"/>
                <w:sz w:val="19"/>
                <w:szCs w:val="19"/>
              </w:rPr>
              <w:t>Platform-wide</w:t>
            </w:r>
          </w:p>
        </w:tc>
      </w:tr>
      <w:tr w:rsidR="003061AE" w14:paraId="1C217121" w14:textId="77777777">
        <w:tblPrEx>
          <w:tblCellMar>
            <w:top w:w="0" w:type="dxa"/>
            <w:bottom w:w="0" w:type="dxa"/>
          </w:tblCellMar>
        </w:tblPrEx>
        <w:tc>
          <w:tcPr>
            <w:tcW w:w="5700" w:type="dxa"/>
            <w:shd w:val="clear" w:color="auto" w:fill="F2F2F2"/>
            <w:tcMar>
              <w:top w:w="80" w:type="dxa"/>
              <w:left w:w="100" w:type="dxa"/>
              <w:bottom w:w="80" w:type="dxa"/>
              <w:right w:w="100" w:type="dxa"/>
            </w:tcMar>
          </w:tcPr>
          <w:p w14:paraId="27A4F07E" w14:textId="77777777" w:rsidR="003061AE" w:rsidRDefault="00000000">
            <w:r>
              <w:rPr>
                <w:color w:val="000000"/>
                <w:sz w:val="19"/>
                <w:szCs w:val="19"/>
              </w:rPr>
              <w:t>FATF 40 Recommendations</w:t>
            </w:r>
          </w:p>
        </w:tc>
        <w:tc>
          <w:tcPr>
            <w:tcW w:w="3700" w:type="dxa"/>
            <w:shd w:val="clear" w:color="auto" w:fill="F2F2F2"/>
            <w:tcMar>
              <w:top w:w="80" w:type="dxa"/>
              <w:left w:w="100" w:type="dxa"/>
              <w:bottom w:w="80" w:type="dxa"/>
              <w:right w:w="100" w:type="dxa"/>
            </w:tcMar>
          </w:tcPr>
          <w:p w14:paraId="7DAACA57" w14:textId="77777777" w:rsidR="003061AE" w:rsidRDefault="00000000">
            <w:r>
              <w:rPr>
                <w:color w:val="000000"/>
                <w:sz w:val="19"/>
                <w:szCs w:val="19"/>
              </w:rPr>
              <w:t>BP2, BP6</w:t>
            </w:r>
          </w:p>
        </w:tc>
      </w:tr>
      <w:tr w:rsidR="003061AE" w14:paraId="556220D2" w14:textId="77777777">
        <w:tblPrEx>
          <w:tblCellMar>
            <w:top w:w="0" w:type="dxa"/>
            <w:bottom w:w="0" w:type="dxa"/>
          </w:tblCellMar>
        </w:tblPrEx>
        <w:tc>
          <w:tcPr>
            <w:tcW w:w="5700" w:type="dxa"/>
            <w:shd w:val="clear" w:color="auto" w:fill="FFFFFF"/>
            <w:tcMar>
              <w:top w:w="80" w:type="dxa"/>
              <w:left w:w="100" w:type="dxa"/>
              <w:bottom w:w="80" w:type="dxa"/>
              <w:right w:w="100" w:type="dxa"/>
            </w:tcMar>
          </w:tcPr>
          <w:p w14:paraId="49FDCCD7" w14:textId="77777777" w:rsidR="003061AE" w:rsidRDefault="00000000">
            <w:r>
              <w:rPr>
                <w:color w:val="000000"/>
                <w:sz w:val="19"/>
                <w:szCs w:val="19"/>
              </w:rPr>
              <w:t>Wolfsberg AML Principles (correspondent banking)</w:t>
            </w:r>
          </w:p>
        </w:tc>
        <w:tc>
          <w:tcPr>
            <w:tcW w:w="3700" w:type="dxa"/>
            <w:shd w:val="clear" w:color="auto" w:fill="FFFFFF"/>
            <w:tcMar>
              <w:top w:w="80" w:type="dxa"/>
              <w:left w:w="100" w:type="dxa"/>
              <w:bottom w:w="80" w:type="dxa"/>
              <w:right w:w="100" w:type="dxa"/>
            </w:tcMar>
          </w:tcPr>
          <w:p w14:paraId="28A82362" w14:textId="77777777" w:rsidR="003061AE" w:rsidRDefault="00000000">
            <w:r>
              <w:rPr>
                <w:color w:val="000000"/>
                <w:sz w:val="19"/>
                <w:szCs w:val="19"/>
              </w:rPr>
              <w:t>BP5, BP6</w:t>
            </w:r>
          </w:p>
        </w:tc>
      </w:tr>
      <w:tr w:rsidR="003061AE" w14:paraId="3CC7903E" w14:textId="77777777">
        <w:tblPrEx>
          <w:tblCellMar>
            <w:top w:w="0" w:type="dxa"/>
            <w:bottom w:w="0" w:type="dxa"/>
          </w:tblCellMar>
        </w:tblPrEx>
        <w:tc>
          <w:tcPr>
            <w:tcW w:w="5700" w:type="dxa"/>
            <w:shd w:val="clear" w:color="auto" w:fill="F2F2F2"/>
            <w:tcMar>
              <w:top w:w="80" w:type="dxa"/>
              <w:left w:w="100" w:type="dxa"/>
              <w:bottom w:w="80" w:type="dxa"/>
              <w:right w:w="100" w:type="dxa"/>
            </w:tcMar>
          </w:tcPr>
          <w:p w14:paraId="3091F74D" w14:textId="77777777" w:rsidR="003061AE" w:rsidRDefault="00000000">
            <w:r>
              <w:rPr>
                <w:color w:val="000000"/>
                <w:sz w:val="19"/>
                <w:szCs w:val="19"/>
              </w:rPr>
              <w:t>SR 11-7 Model Risk Management</w:t>
            </w:r>
          </w:p>
        </w:tc>
        <w:tc>
          <w:tcPr>
            <w:tcW w:w="3700" w:type="dxa"/>
            <w:shd w:val="clear" w:color="auto" w:fill="F2F2F2"/>
            <w:tcMar>
              <w:top w:w="80" w:type="dxa"/>
              <w:left w:w="100" w:type="dxa"/>
              <w:bottom w:w="80" w:type="dxa"/>
              <w:right w:w="100" w:type="dxa"/>
            </w:tcMar>
          </w:tcPr>
          <w:p w14:paraId="6AC904BC" w14:textId="77777777" w:rsidR="003061AE" w:rsidRDefault="00000000">
            <w:r>
              <w:rPr>
                <w:color w:val="000000"/>
                <w:sz w:val="19"/>
                <w:szCs w:val="19"/>
              </w:rPr>
              <w:t>Every model-bearing BP</w:t>
            </w:r>
          </w:p>
        </w:tc>
      </w:tr>
      <w:tr w:rsidR="003061AE" w14:paraId="55D435E1" w14:textId="77777777">
        <w:tblPrEx>
          <w:tblCellMar>
            <w:top w:w="0" w:type="dxa"/>
            <w:bottom w:w="0" w:type="dxa"/>
          </w:tblCellMar>
        </w:tblPrEx>
        <w:tc>
          <w:tcPr>
            <w:tcW w:w="5700" w:type="dxa"/>
            <w:shd w:val="clear" w:color="auto" w:fill="FFFFFF"/>
            <w:tcMar>
              <w:top w:w="80" w:type="dxa"/>
              <w:left w:w="100" w:type="dxa"/>
              <w:bottom w:w="80" w:type="dxa"/>
              <w:right w:w="100" w:type="dxa"/>
            </w:tcMar>
          </w:tcPr>
          <w:p w14:paraId="4EF55C63" w14:textId="77777777" w:rsidR="003061AE" w:rsidRDefault="00000000">
            <w:r>
              <w:rPr>
                <w:color w:val="000000"/>
                <w:sz w:val="19"/>
                <w:szCs w:val="19"/>
              </w:rPr>
              <w:t>GDPR / cross-border data handling</w:t>
            </w:r>
          </w:p>
        </w:tc>
        <w:tc>
          <w:tcPr>
            <w:tcW w:w="3700" w:type="dxa"/>
            <w:shd w:val="clear" w:color="auto" w:fill="FFFFFF"/>
            <w:tcMar>
              <w:top w:w="80" w:type="dxa"/>
              <w:left w:w="100" w:type="dxa"/>
              <w:bottom w:w="80" w:type="dxa"/>
              <w:right w:w="100" w:type="dxa"/>
            </w:tcMar>
          </w:tcPr>
          <w:p w14:paraId="35E60ED8" w14:textId="77777777" w:rsidR="003061AE" w:rsidRDefault="00000000">
            <w:r>
              <w:rPr>
                <w:color w:val="000000"/>
                <w:sz w:val="19"/>
                <w:szCs w:val="19"/>
              </w:rPr>
              <w:t>BP3, BP5</w:t>
            </w:r>
          </w:p>
        </w:tc>
      </w:tr>
    </w:tbl>
    <w:p w14:paraId="4923E888" w14:textId="77777777" w:rsidR="003061AE" w:rsidRDefault="003061AE">
      <w:pPr>
        <w:spacing w:after="120"/>
      </w:pPr>
    </w:p>
    <w:p w14:paraId="019C838D" w14:textId="77777777" w:rsidR="003061AE" w:rsidRDefault="00000000">
      <w:pPr>
        <w:pStyle w:val="Heading2"/>
        <w:spacing w:before="260" w:after="120"/>
      </w:pPr>
      <w:r>
        <w:rPr>
          <w:b/>
          <w:bCs/>
          <w:color w:val="1F3864"/>
          <w:sz w:val="24"/>
          <w:szCs w:val="24"/>
        </w:rPr>
        <w:t>6.1 Fairness / bias testing</w:t>
      </w:r>
    </w:p>
    <w:p w14:paraId="6C6F590A" w14:textId="77777777" w:rsidR="003061AE" w:rsidRDefault="00000000">
      <w:pPr>
        <w:spacing w:after="140" w:line="276" w:lineRule="auto"/>
      </w:pPr>
      <w:r>
        <w:t>Unchanged from v1.0: the confirmed schema carries no demographic fields, so an ECOA/FCRA-style disparate-impact test is not computable here. Flagged “Not Possible — Data Limitation,” never silently skipped.</w:t>
      </w:r>
    </w:p>
    <w:p w14:paraId="06B7C3E8" w14:textId="77777777" w:rsidR="003061AE" w:rsidRDefault="00000000">
      <w:pPr>
        <w:pStyle w:val="Heading1"/>
        <w:pBdr>
          <w:bottom w:val="single" w:sz="8" w:space="4" w:color="1F3864"/>
        </w:pBdr>
        <w:spacing w:before="400" w:after="160"/>
      </w:pPr>
      <w:r>
        <w:rPr>
          <w:b/>
          <w:bCs/>
          <w:color w:val="1F3864"/>
          <w:sz w:val="30"/>
          <w:szCs w:val="30"/>
        </w:rPr>
        <w:t>7. Deliverables Package per Business Problem</w:t>
      </w:r>
    </w:p>
    <w:p w14:paraId="52E35041" w14:textId="77777777" w:rsidR="003061AE" w:rsidRDefault="00000000">
      <w:pPr>
        <w:spacing w:after="140" w:line="276" w:lineRule="auto"/>
      </w:pPr>
      <w:r>
        <w:t>Every BP closes with a five-format executive package, generated by the shared src/reporting/report_builder.py module (Home Credit's proven pattern — built once, imported by every BP, never hand-coded per notebook):</w:t>
      </w:r>
    </w:p>
    <w:p w14:paraId="758AB78F" w14:textId="77777777" w:rsidR="003061AE" w:rsidRDefault="00000000">
      <w:pPr>
        <w:pStyle w:val="ListParagraph"/>
        <w:numPr>
          <w:ilvl w:val="0"/>
          <w:numId w:val="2"/>
        </w:numPr>
        <w:spacing w:after="80" w:line="264" w:lineRule="auto"/>
      </w:pPr>
      <w:r>
        <w:t xml:space="preserve">Standalone deployable </w:t>
      </w:r>
      <w:proofErr w:type="spellStart"/>
      <w:r>
        <w:t>FastAPI</w:t>
      </w:r>
      <w:proofErr w:type="spellEnd"/>
      <w:r>
        <w:t xml:space="preserve"> scoring service (Section 5.4)</w:t>
      </w:r>
    </w:p>
    <w:p w14:paraId="65B0E301" w14:textId="77777777" w:rsidR="003061AE" w:rsidRDefault="00000000">
      <w:pPr>
        <w:pStyle w:val="ListParagraph"/>
        <w:numPr>
          <w:ilvl w:val="0"/>
          <w:numId w:val="2"/>
        </w:numPr>
        <w:spacing w:after="80" w:line="264" w:lineRule="auto"/>
      </w:pPr>
      <w:r>
        <w:t xml:space="preserve">Word report + Excel workbook (real formulas, an Assumptions sheet built first with yellow fill / blue font for every hardcoded input, AutoFilter, </w:t>
      </w:r>
      <w:proofErr w:type="spellStart"/>
      <w:r>
        <w:t>recalc</w:t>
      </w:r>
      <w:proofErr w:type="spellEnd"/>
      <w:r>
        <w:t>-verified)</w:t>
      </w:r>
    </w:p>
    <w:p w14:paraId="4E019985" w14:textId="77777777" w:rsidR="003061AE" w:rsidRDefault="00000000">
      <w:pPr>
        <w:pStyle w:val="ListParagraph"/>
        <w:numPr>
          <w:ilvl w:val="0"/>
          <w:numId w:val="2"/>
        </w:numPr>
        <w:spacing w:after="80" w:line="264" w:lineRule="auto"/>
      </w:pPr>
      <w:r>
        <w:t xml:space="preserve">Interactive HTML dashboard — Chart.js bundled locally, never CDN-loaded; real slicers/filters, KPI tiles, vanilla-JS interactivity, not static images; the </w:t>
      </w:r>
      <w:proofErr w:type="spellStart"/>
      <w:r>
        <w:t>dataviz</w:t>
      </w:r>
      <w:proofErr w:type="spellEnd"/>
      <w:r>
        <w:t xml:space="preserve"> skill's validated CVD-tested palette</w:t>
      </w:r>
    </w:p>
    <w:p w14:paraId="2E6B5C55" w14:textId="77777777" w:rsidR="003061AE" w:rsidRDefault="00000000">
      <w:pPr>
        <w:pStyle w:val="ListParagraph"/>
        <w:numPr>
          <w:ilvl w:val="0"/>
          <w:numId w:val="2"/>
        </w:numPr>
        <w:spacing w:after="80" w:line="264" w:lineRule="auto"/>
      </w:pPr>
      <w:r>
        <w:t>PowerPoint executive deck (board/investigator-briefing version of the same real numbers)</w:t>
      </w:r>
    </w:p>
    <w:p w14:paraId="67C1FAA0" w14:textId="77777777" w:rsidR="003061AE" w:rsidRDefault="00000000">
      <w:pPr>
        <w:pStyle w:val="ListParagraph"/>
        <w:numPr>
          <w:ilvl w:val="0"/>
          <w:numId w:val="2"/>
        </w:numPr>
        <w:spacing w:after="80" w:line="264" w:lineRule="auto"/>
      </w:pPr>
      <w:r>
        <w:t>PDF export, rendered from the Word report or deck — never a separately authored source of numbers</w:t>
      </w:r>
    </w:p>
    <w:p w14:paraId="17B8AC7C" w14:textId="77777777" w:rsidR="003061AE" w:rsidRDefault="00000000">
      <w:pPr>
        <w:spacing w:after="140" w:line="276" w:lineRule="auto"/>
      </w:pPr>
      <w:r>
        <w:t xml:space="preserve">Metrics reframed to compliance-impact terms: false-positive reduction (investigator hours saved), true-positive/typology-confirmation uplift, alert-to-case conversion ratio where applicable, illustrative regulatory-exposure-avoidance explicitly labeled ASSUMPTION. Dollar figures always with B/M shorthand. MODEL_CARD.md + CHANGELOG.md per BP. Docker packaging per BP with the build context documented in the </w:t>
      </w:r>
      <w:proofErr w:type="spellStart"/>
      <w:r>
        <w:t>Dockerfile</w:t>
      </w:r>
      <w:proofErr w:type="spellEnd"/>
      <w:r>
        <w:t xml:space="preserve"> header and MODEL_CARD.md.</w:t>
      </w:r>
    </w:p>
    <w:p w14:paraId="22BDDB27" w14:textId="77777777" w:rsidR="003061AE" w:rsidRDefault="00000000">
      <w:pPr>
        <w:pBdr>
          <w:left w:val="single" w:sz="16" w:space="8" w:color="B8860B"/>
        </w:pBdr>
        <w:shd w:val="clear" w:color="auto" w:fill="FBF1DC"/>
        <w:spacing w:before="60" w:after="160"/>
        <w:ind w:left="120"/>
      </w:pPr>
      <w:r>
        <w:rPr>
          <w:i/>
          <w:iCs/>
          <w:color w:val="5B4300"/>
          <w:sz w:val="20"/>
          <w:szCs w:val="20"/>
        </w:rPr>
        <w:t xml:space="preserve">FLAG — The moment a BP's HTML dashboard is committed to </w:t>
      </w:r>
      <w:proofErr w:type="spellStart"/>
      <w:r>
        <w:rPr>
          <w:i/>
          <w:iCs/>
          <w:color w:val="5B4300"/>
          <w:sz w:val="20"/>
          <w:szCs w:val="20"/>
        </w:rPr>
        <w:t>github_repo</w:t>
      </w:r>
      <w:proofErr w:type="spellEnd"/>
      <w:r>
        <w:rPr>
          <w:i/>
          <w:iCs/>
          <w:color w:val="5B4300"/>
          <w:sz w:val="20"/>
          <w:szCs w:val="20"/>
        </w:rPr>
        <w:t>/, that BP's own README and the root README both get a “Live Dashboard” link added immediately — GitHub's file browser only shows raw source for .html; only a linked GitHub Pages URL renders it (Lesson #13).</w:t>
      </w:r>
    </w:p>
    <w:p w14:paraId="688D334B" w14:textId="77777777" w:rsidR="003061AE" w:rsidRDefault="00000000">
      <w:pPr>
        <w:pStyle w:val="Heading1"/>
        <w:pBdr>
          <w:bottom w:val="single" w:sz="8" w:space="4" w:color="1F3864"/>
        </w:pBdr>
        <w:spacing w:before="400" w:after="160"/>
      </w:pPr>
      <w:r>
        <w:rPr>
          <w:b/>
          <w:bCs/>
          <w:color w:val="1F3864"/>
          <w:sz w:val="30"/>
          <w:szCs w:val="30"/>
        </w:rPr>
        <w:t>7A. Before/After Financial Impact — Mandatory in Every BP</w:t>
      </w:r>
    </w:p>
    <w:p w14:paraId="0BF5B312" w14:textId="77777777" w:rsidR="003061AE" w:rsidRDefault="00000000">
      <w:pPr>
        <w:spacing w:after="140" w:line="276" w:lineRule="auto"/>
      </w:pPr>
      <w:r>
        <w:t xml:space="preserve">A model's real performance metrics alone are not a financial-impact story on their own — no reader can judge impact without knowing what the same real holdout looked like before the model existed. Every BP computes both sides on the SAME real holdout run, in that BP's own Notebook 3, and surfaces the comparison as the lead table + chart in Notebook 4's five-format package: a table with columns Metric | Before (baseline) | After (ML model) | Delta | $ Impact, a paired bar or waterfall chart, and — for BP6's platform rollup — the platform's main KPI row. Neither side is ever estimated or carried over from a different dataset; both are </w:t>
      </w:r>
      <w:proofErr w:type="gramStart"/>
      <w:r>
        <w:t>real-computed</w:t>
      </w:r>
      <w:proofErr w:type="gramEnd"/>
      <w:r>
        <w:t xml:space="preserve"> by the same run that produces the </w:t>
      </w:r>
      <w:r>
        <w:lastRenderedPageBreak/>
        <w:t>champion model. False-positive-reduction $ savings and true-positive/detection uplift are always reported as two separate lines, never summed into one blended dollar figure (same discipline as the BENEFIT/COST CONTEXT/PORTFOLIO SCALE separation in Section 8).</w:t>
      </w:r>
    </w:p>
    <w:p w14:paraId="6BE35F73" w14:textId="77777777" w:rsidR="003061AE" w:rsidRDefault="00000000">
      <w:pPr>
        <w:pStyle w:val="Heading2"/>
        <w:spacing w:before="260" w:after="120"/>
      </w:pPr>
      <w:r>
        <w:rPr>
          <w:b/>
          <w:bCs/>
          <w:color w:val="1F3864"/>
          <w:sz w:val="24"/>
          <w:szCs w:val="24"/>
        </w:rPr>
        <w:t xml:space="preserve">7A.1 Per-BP “Before” baseline (real, same-data, never a </w:t>
      </w:r>
      <w:proofErr w:type="gramStart"/>
      <w:r>
        <w:rPr>
          <w:b/>
          <w:bCs/>
          <w:color w:val="1F3864"/>
          <w:sz w:val="24"/>
          <w:szCs w:val="24"/>
        </w:rPr>
        <w:t>straw-man</w:t>
      </w:r>
      <w:proofErr w:type="gramEnd"/>
      <w:r>
        <w:rPr>
          <w:b/>
          <w:bCs/>
          <w:color w:val="1F3864"/>
          <w:sz w:val="24"/>
          <w:szCs w:val="24"/>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400"/>
      </w:tblGrid>
      <w:tr w:rsidR="003061AE" w14:paraId="76EB0F10"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0CD1BB89" w14:textId="77777777" w:rsidR="003061AE" w:rsidRDefault="00000000">
            <w:pPr>
              <w:jc w:val="center"/>
            </w:pPr>
            <w:r>
              <w:rPr>
                <w:b/>
                <w:bCs/>
                <w:color w:val="FFFFFF"/>
                <w:sz w:val="19"/>
                <w:szCs w:val="19"/>
              </w:rPr>
              <w:t>BP</w:t>
            </w:r>
          </w:p>
        </w:tc>
        <w:tc>
          <w:tcPr>
            <w:tcW w:w="3400" w:type="dxa"/>
            <w:shd w:val="clear" w:color="auto" w:fill="1F3864"/>
            <w:tcMar>
              <w:top w:w="80" w:type="dxa"/>
              <w:left w:w="100" w:type="dxa"/>
              <w:bottom w:w="80" w:type="dxa"/>
              <w:right w:w="100" w:type="dxa"/>
            </w:tcMar>
          </w:tcPr>
          <w:p w14:paraId="65143AE1" w14:textId="77777777" w:rsidR="003061AE" w:rsidRDefault="00000000">
            <w:pPr>
              <w:jc w:val="center"/>
            </w:pPr>
            <w:r>
              <w:rPr>
                <w:b/>
                <w:bCs/>
                <w:color w:val="FFFFFF"/>
                <w:sz w:val="19"/>
                <w:szCs w:val="19"/>
              </w:rPr>
              <w:t>Before (baseline)</w:t>
            </w:r>
          </w:p>
        </w:tc>
        <w:tc>
          <w:tcPr>
            <w:tcW w:w="3400" w:type="dxa"/>
            <w:shd w:val="clear" w:color="auto" w:fill="1F3864"/>
            <w:tcMar>
              <w:top w:w="80" w:type="dxa"/>
              <w:left w:w="100" w:type="dxa"/>
              <w:bottom w:w="80" w:type="dxa"/>
              <w:right w:w="100" w:type="dxa"/>
            </w:tcMar>
          </w:tcPr>
          <w:p w14:paraId="5423A7D9" w14:textId="77777777" w:rsidR="003061AE" w:rsidRDefault="00000000">
            <w:pPr>
              <w:jc w:val="center"/>
            </w:pPr>
            <w:r>
              <w:rPr>
                <w:b/>
                <w:bCs/>
                <w:color w:val="FFFFFF"/>
                <w:sz w:val="19"/>
                <w:szCs w:val="19"/>
              </w:rPr>
              <w:t>After (ML model)</w:t>
            </w:r>
          </w:p>
        </w:tc>
      </w:tr>
      <w:tr w:rsidR="003061AE" w14:paraId="2C64CE7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2ADD3D9" w14:textId="77777777" w:rsidR="003061AE" w:rsidRDefault="00000000">
            <w:r>
              <w:rPr>
                <w:color w:val="000000"/>
                <w:sz w:val="19"/>
                <w:szCs w:val="19"/>
              </w:rPr>
              <w:t>BP1 Transaction Monitoring</w:t>
            </w:r>
          </w:p>
        </w:tc>
        <w:tc>
          <w:tcPr>
            <w:tcW w:w="3400" w:type="dxa"/>
            <w:shd w:val="clear" w:color="auto" w:fill="F2F2F2"/>
            <w:tcMar>
              <w:top w:w="80" w:type="dxa"/>
              <w:left w:w="100" w:type="dxa"/>
              <w:bottom w:w="80" w:type="dxa"/>
              <w:right w:w="100" w:type="dxa"/>
            </w:tcMar>
          </w:tcPr>
          <w:p w14:paraId="51A4E933" w14:textId="77777777" w:rsidR="003061AE" w:rsidRDefault="00000000">
            <w:r>
              <w:rPr>
                <w:color w:val="000000"/>
                <w:sz w:val="19"/>
                <w:szCs w:val="19"/>
              </w:rPr>
              <w:t>Fixed-dollar-threshold rule, no other logic</w:t>
            </w:r>
          </w:p>
        </w:tc>
        <w:tc>
          <w:tcPr>
            <w:tcW w:w="3400" w:type="dxa"/>
            <w:shd w:val="clear" w:color="auto" w:fill="F2F2F2"/>
            <w:tcMar>
              <w:top w:w="80" w:type="dxa"/>
              <w:left w:w="100" w:type="dxa"/>
              <w:bottom w:w="80" w:type="dxa"/>
              <w:right w:w="100" w:type="dxa"/>
            </w:tcMar>
          </w:tcPr>
          <w:p w14:paraId="3E931A4D" w14:textId="77777777" w:rsidR="003061AE" w:rsidRDefault="00000000">
            <w:r>
              <w:rPr>
                <w:color w:val="000000"/>
                <w:sz w:val="19"/>
                <w:szCs w:val="19"/>
              </w:rPr>
              <w:t>Real precision/recall at the selected model threshold</w:t>
            </w:r>
          </w:p>
        </w:tc>
      </w:tr>
      <w:tr w:rsidR="003061AE" w14:paraId="091B1B5B"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251AAE9" w14:textId="77777777" w:rsidR="003061AE" w:rsidRDefault="00000000">
            <w:r>
              <w:rPr>
                <w:color w:val="000000"/>
                <w:sz w:val="19"/>
                <w:szCs w:val="19"/>
              </w:rPr>
              <w:t>BP2 Typology Detection</w:t>
            </w:r>
          </w:p>
        </w:tc>
        <w:tc>
          <w:tcPr>
            <w:tcW w:w="3400" w:type="dxa"/>
            <w:shd w:val="clear" w:color="auto" w:fill="FFFFFF"/>
            <w:tcMar>
              <w:top w:w="80" w:type="dxa"/>
              <w:left w:w="100" w:type="dxa"/>
              <w:bottom w:w="80" w:type="dxa"/>
              <w:right w:w="100" w:type="dxa"/>
            </w:tcMar>
          </w:tcPr>
          <w:p w14:paraId="021673E8" w14:textId="77777777" w:rsidR="003061AE" w:rsidRDefault="00000000">
            <w:r>
              <w:rPr>
                <w:color w:val="000000"/>
                <w:sz w:val="19"/>
                <w:szCs w:val="19"/>
              </w:rPr>
              <w:t>Single-typology heuristic (obvious cases only)</w:t>
            </w:r>
          </w:p>
        </w:tc>
        <w:tc>
          <w:tcPr>
            <w:tcW w:w="3400" w:type="dxa"/>
            <w:shd w:val="clear" w:color="auto" w:fill="FFFFFF"/>
            <w:tcMar>
              <w:top w:w="80" w:type="dxa"/>
              <w:left w:w="100" w:type="dxa"/>
              <w:bottom w:w="80" w:type="dxa"/>
              <w:right w:w="100" w:type="dxa"/>
            </w:tcMar>
          </w:tcPr>
          <w:p w14:paraId="326934CB" w14:textId="77777777" w:rsidR="003061AE" w:rsidRDefault="00000000">
            <w:r>
              <w:rPr>
                <w:color w:val="000000"/>
                <w:sz w:val="19"/>
                <w:szCs w:val="19"/>
              </w:rPr>
              <w:t>Real per-typology recall across all 8 patterns</w:t>
            </w:r>
          </w:p>
        </w:tc>
      </w:tr>
      <w:tr w:rsidR="003061AE" w14:paraId="1426B20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FF520BC" w14:textId="77777777" w:rsidR="003061AE" w:rsidRDefault="00000000">
            <w:r>
              <w:rPr>
                <w:color w:val="000000"/>
                <w:sz w:val="19"/>
                <w:szCs w:val="19"/>
              </w:rPr>
              <w:t>BP3 Network Intelligence</w:t>
            </w:r>
          </w:p>
        </w:tc>
        <w:tc>
          <w:tcPr>
            <w:tcW w:w="3400" w:type="dxa"/>
            <w:shd w:val="clear" w:color="auto" w:fill="F2F2F2"/>
            <w:tcMar>
              <w:top w:w="80" w:type="dxa"/>
              <w:left w:w="100" w:type="dxa"/>
              <w:bottom w:w="80" w:type="dxa"/>
              <w:right w:w="100" w:type="dxa"/>
            </w:tcMar>
          </w:tcPr>
          <w:p w14:paraId="29F5D2B8" w14:textId="77777777" w:rsidR="003061AE" w:rsidRDefault="00000000">
            <w:r>
              <w:rPr>
                <w:color w:val="000000"/>
                <w:sz w:val="19"/>
                <w:szCs w:val="19"/>
              </w:rPr>
              <w:t>Single-account (non-network) review</w:t>
            </w:r>
          </w:p>
        </w:tc>
        <w:tc>
          <w:tcPr>
            <w:tcW w:w="3400" w:type="dxa"/>
            <w:shd w:val="clear" w:color="auto" w:fill="F2F2F2"/>
            <w:tcMar>
              <w:top w:w="80" w:type="dxa"/>
              <w:left w:w="100" w:type="dxa"/>
              <w:bottom w:w="80" w:type="dxa"/>
              <w:right w:w="100" w:type="dxa"/>
            </w:tcMar>
          </w:tcPr>
          <w:p w14:paraId="56A1B196" w14:textId="77777777" w:rsidR="003061AE" w:rsidRDefault="00000000">
            <w:r>
              <w:rPr>
                <w:color w:val="000000"/>
                <w:sz w:val="19"/>
                <w:szCs w:val="19"/>
              </w:rPr>
              <w:t>Graph-connected-cluster review (volume-scale KPI, not dollarized without a sourced per-account cost)</w:t>
            </w:r>
          </w:p>
        </w:tc>
      </w:tr>
      <w:tr w:rsidR="003061AE" w14:paraId="3202D361"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2B890EB6" w14:textId="77777777" w:rsidR="003061AE" w:rsidRDefault="00000000">
            <w:r>
              <w:rPr>
                <w:color w:val="000000"/>
                <w:sz w:val="19"/>
                <w:szCs w:val="19"/>
              </w:rPr>
              <w:t>BP4 Structuring/Smurfing</w:t>
            </w:r>
          </w:p>
        </w:tc>
        <w:tc>
          <w:tcPr>
            <w:tcW w:w="3400" w:type="dxa"/>
            <w:shd w:val="clear" w:color="auto" w:fill="FFFFFF"/>
            <w:tcMar>
              <w:top w:w="80" w:type="dxa"/>
              <w:left w:w="100" w:type="dxa"/>
              <w:bottom w:w="80" w:type="dxa"/>
              <w:right w:w="100" w:type="dxa"/>
            </w:tcMar>
          </w:tcPr>
          <w:p w14:paraId="4406373B" w14:textId="77777777" w:rsidR="003061AE" w:rsidRDefault="00000000">
            <w:r>
              <w:rPr>
                <w:color w:val="000000"/>
                <w:sz w:val="19"/>
                <w:szCs w:val="19"/>
              </w:rPr>
              <w:t>Fixed threshold-adjacent rule</w:t>
            </w:r>
          </w:p>
        </w:tc>
        <w:tc>
          <w:tcPr>
            <w:tcW w:w="3400" w:type="dxa"/>
            <w:shd w:val="clear" w:color="auto" w:fill="FFFFFF"/>
            <w:tcMar>
              <w:top w:w="80" w:type="dxa"/>
              <w:left w:w="100" w:type="dxa"/>
              <w:bottom w:w="80" w:type="dxa"/>
              <w:right w:w="100" w:type="dxa"/>
            </w:tcMar>
          </w:tcPr>
          <w:p w14:paraId="3D81A77A" w14:textId="77777777" w:rsidR="003061AE" w:rsidRDefault="00000000">
            <w:r>
              <w:rPr>
                <w:color w:val="000000"/>
                <w:sz w:val="19"/>
                <w:szCs w:val="19"/>
              </w:rPr>
              <w:t>Multi-transaction/multi-timeframe split-pattern detection</w:t>
            </w:r>
          </w:p>
        </w:tc>
      </w:tr>
      <w:tr w:rsidR="003061AE" w14:paraId="4CEF1FC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17404D5" w14:textId="77777777" w:rsidR="003061AE" w:rsidRDefault="00000000">
            <w:r>
              <w:rPr>
                <w:color w:val="000000"/>
                <w:sz w:val="19"/>
                <w:szCs w:val="19"/>
              </w:rPr>
              <w:t>BP5 Correspondent Banking/Cross-Border</w:t>
            </w:r>
          </w:p>
        </w:tc>
        <w:tc>
          <w:tcPr>
            <w:tcW w:w="3400" w:type="dxa"/>
            <w:shd w:val="clear" w:color="auto" w:fill="F2F2F2"/>
            <w:tcMar>
              <w:top w:w="80" w:type="dxa"/>
              <w:left w:w="100" w:type="dxa"/>
              <w:bottom w:w="80" w:type="dxa"/>
              <w:right w:w="100" w:type="dxa"/>
            </w:tcMar>
          </w:tcPr>
          <w:p w14:paraId="4AEA3BFD" w14:textId="77777777" w:rsidR="003061AE" w:rsidRDefault="00000000">
            <w:r>
              <w:rPr>
                <w:color w:val="000000"/>
                <w:sz w:val="19"/>
                <w:szCs w:val="19"/>
              </w:rPr>
              <w:t>Binary high-risk-country-list screening</w:t>
            </w:r>
          </w:p>
        </w:tc>
        <w:tc>
          <w:tcPr>
            <w:tcW w:w="3400" w:type="dxa"/>
            <w:shd w:val="clear" w:color="auto" w:fill="F2F2F2"/>
            <w:tcMar>
              <w:top w:w="80" w:type="dxa"/>
              <w:left w:w="100" w:type="dxa"/>
              <w:bottom w:w="80" w:type="dxa"/>
              <w:right w:w="100" w:type="dxa"/>
            </w:tcMar>
          </w:tcPr>
          <w:p w14:paraId="170C463C" w14:textId="77777777" w:rsidR="003061AE" w:rsidRDefault="00000000">
            <w:r>
              <w:rPr>
                <w:color w:val="000000"/>
                <w:sz w:val="19"/>
                <w:szCs w:val="19"/>
              </w:rPr>
              <w:t>ML-scored cross-border risk signal</w:t>
            </w:r>
          </w:p>
        </w:tc>
      </w:tr>
      <w:tr w:rsidR="003061AE" w14:paraId="6F47E480"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CA3B133" w14:textId="77777777" w:rsidR="003061AE" w:rsidRDefault="00000000">
            <w:r>
              <w:rPr>
                <w:color w:val="000000"/>
                <w:sz w:val="19"/>
                <w:szCs w:val="19"/>
              </w:rPr>
              <w:t>BP6 Enterprise Rollup</w:t>
            </w:r>
          </w:p>
        </w:tc>
        <w:tc>
          <w:tcPr>
            <w:tcW w:w="3400" w:type="dxa"/>
            <w:shd w:val="clear" w:color="auto" w:fill="FFFFFF"/>
            <w:tcMar>
              <w:top w:w="80" w:type="dxa"/>
              <w:left w:w="100" w:type="dxa"/>
              <w:bottom w:w="80" w:type="dxa"/>
              <w:right w:w="100" w:type="dxa"/>
            </w:tcMar>
          </w:tcPr>
          <w:p w14:paraId="7ED1AE11" w14:textId="77777777" w:rsidR="003061AE" w:rsidRDefault="00000000">
            <w:r>
              <w:rPr>
                <w:color w:val="000000"/>
                <w:sz w:val="19"/>
                <w:szCs w:val="19"/>
              </w:rPr>
              <w:t>—</w:t>
            </w:r>
          </w:p>
        </w:tc>
        <w:tc>
          <w:tcPr>
            <w:tcW w:w="3400" w:type="dxa"/>
            <w:shd w:val="clear" w:color="auto" w:fill="FFFFFF"/>
            <w:tcMar>
              <w:top w:w="80" w:type="dxa"/>
              <w:left w:w="100" w:type="dxa"/>
              <w:bottom w:w="80" w:type="dxa"/>
              <w:right w:w="100" w:type="dxa"/>
            </w:tcMar>
          </w:tcPr>
          <w:p w14:paraId="4D0FB963" w14:textId="77777777" w:rsidR="003061AE" w:rsidRDefault="00000000">
            <w:r>
              <w:rPr>
                <w:color w:val="000000"/>
                <w:sz w:val="19"/>
                <w:szCs w:val="19"/>
              </w:rPr>
              <w:t>Pure sum of BP1–BP5's own already-computed deltas, shown as the platform's main KPI row</w:t>
            </w:r>
          </w:p>
        </w:tc>
      </w:tr>
    </w:tbl>
    <w:p w14:paraId="34160507" w14:textId="77777777" w:rsidR="003061AE" w:rsidRDefault="003061AE">
      <w:pPr>
        <w:spacing w:after="120"/>
      </w:pPr>
    </w:p>
    <w:p w14:paraId="4BCBA134" w14:textId="77777777" w:rsidR="003061AE" w:rsidRDefault="00000000">
      <w:pPr>
        <w:spacing w:after="140" w:line="276" w:lineRule="auto"/>
      </w:pPr>
      <w:r>
        <w:t xml:space="preserve">Implementation: one shared </w:t>
      </w:r>
      <w:proofErr w:type="spellStart"/>
      <w:r>
        <w:t>build_before_after_</w:t>
      </w:r>
      <w:proofErr w:type="gramStart"/>
      <w:r>
        <w:t>comparison</w:t>
      </w:r>
      <w:proofErr w:type="spellEnd"/>
      <w:r>
        <w:t>(</w:t>
      </w:r>
      <w:proofErr w:type="gramEnd"/>
      <w:r>
        <w:t xml:space="preserve">) function in </w:t>
      </w:r>
      <w:proofErr w:type="spellStart"/>
      <w:r>
        <w:t>src</w:t>
      </w:r>
      <w:proofErr w:type="spellEnd"/>
      <w:r>
        <w:t>/reporting/report_builder.py, written once and reused by all 6 BPs — never a hand-coded per-BP dollar figure. Full detail in LESSONS_LEARNED_APPLIED.md Lesson #16.</w:t>
      </w:r>
    </w:p>
    <w:p w14:paraId="5DF4228D" w14:textId="77777777" w:rsidR="003061AE" w:rsidRDefault="00000000">
      <w:pPr>
        <w:pStyle w:val="Heading1"/>
        <w:pBdr>
          <w:bottom w:val="single" w:sz="8" w:space="4" w:color="1F3864"/>
        </w:pBdr>
        <w:spacing w:before="400" w:after="160"/>
      </w:pPr>
      <w:r>
        <w:rPr>
          <w:b/>
          <w:bCs/>
          <w:color w:val="1F3864"/>
          <w:sz w:val="30"/>
          <w:szCs w:val="30"/>
        </w:rPr>
        <w:t xml:space="preserve">7B. No Synthetic Placeholder Output, </w:t>
      </w:r>
      <w:proofErr w:type="gramStart"/>
      <w:r>
        <w:rPr>
          <w:b/>
          <w:bCs/>
          <w:color w:val="1F3864"/>
          <w:sz w:val="30"/>
          <w:szCs w:val="30"/>
        </w:rPr>
        <w:t>Ever</w:t>
      </w:r>
      <w:proofErr w:type="gramEnd"/>
      <w:r>
        <w:rPr>
          <w:b/>
          <w:bCs/>
          <w:color w:val="1F3864"/>
          <w:sz w:val="30"/>
          <w:szCs w:val="30"/>
        </w:rPr>
        <w:t xml:space="preserve"> — Original Insight Required</w:t>
      </w:r>
    </w:p>
    <w:p w14:paraId="79DE732E" w14:textId="77777777" w:rsidR="003061AE" w:rsidRDefault="00000000">
      <w:pPr>
        <w:spacing w:after="140" w:line="276" w:lineRule="auto"/>
      </w:pPr>
      <w:r>
        <w:t>Two rules already implicit in zero-fabrication (Section 1), stated explicitly here per direct instruction:</w:t>
      </w:r>
    </w:p>
    <w:p w14:paraId="65F5A47E" w14:textId="77777777" w:rsidR="003061AE" w:rsidRDefault="00000000">
      <w:pPr>
        <w:pStyle w:val="ListParagraph"/>
        <w:numPr>
          <w:ilvl w:val="0"/>
          <w:numId w:val="2"/>
        </w:numPr>
        <w:spacing w:after="80" w:line="264" w:lineRule="auto"/>
      </w:pPr>
      <w:r>
        <w:t>A notebook delivered before its real run prints “NOT YET COMPUTED — requires a real run on real data” for any section needing a real number, never a synthetic/illustrative placeholder dressed up as a result — BP1 Notebook 1's EDA section already does this and is the template for every notebook after it</w:t>
      </w:r>
    </w:p>
    <w:p w14:paraId="1BB46E7C" w14:textId="77777777" w:rsidR="003061AE" w:rsidRDefault="00000000">
      <w:pPr>
        <w:pStyle w:val="ListParagraph"/>
        <w:numPr>
          <w:ilvl w:val="0"/>
          <w:numId w:val="2"/>
        </w:numPr>
        <w:spacing w:after="80" w:line="264" w:lineRule="auto"/>
      </w:pPr>
      <w:r>
        <w:t>Every BP's Notebook 4 narrative states at least one real, dataset-specific observation from that BP's own actual run — generic AML textbook language is acceptable only as background/definition text, never as a stated finding or a justification for a business recommendation</w:t>
      </w:r>
    </w:p>
    <w:p w14:paraId="73FF566C" w14:textId="77777777" w:rsidR="003061AE" w:rsidRDefault="00000000">
      <w:pPr>
        <w:pBdr>
          <w:left w:val="single" w:sz="16" w:space="8" w:color="B8860B"/>
        </w:pBdr>
        <w:shd w:val="clear" w:color="auto" w:fill="FBF1DC"/>
        <w:spacing w:before="60" w:after="160"/>
        <w:ind w:left="120"/>
      </w:pPr>
      <w:r>
        <w:rPr>
          <w:i/>
          <w:iCs/>
          <w:color w:val="5B4300"/>
          <w:sz w:val="20"/>
          <w:szCs w:val="20"/>
        </w:rPr>
        <w:t>FLAG — Full detail in LESSONS_LEARNED_APPLIED.md Lesson #17.</w:t>
      </w:r>
    </w:p>
    <w:p w14:paraId="25A36319" w14:textId="77777777" w:rsidR="003061AE" w:rsidRDefault="00000000">
      <w:pPr>
        <w:pStyle w:val="Heading1"/>
        <w:pBdr>
          <w:bottom w:val="single" w:sz="8" w:space="4" w:color="1F3864"/>
        </w:pBdr>
        <w:spacing w:before="400" w:after="160"/>
      </w:pPr>
      <w:r>
        <w:rPr>
          <w:b/>
          <w:bCs/>
          <w:color w:val="1F3864"/>
          <w:sz w:val="30"/>
          <w:szCs w:val="30"/>
        </w:rPr>
        <w:t>8. Executive Rollup Architecture</w:t>
      </w:r>
    </w:p>
    <w:p w14:paraId="081D8549" w14:textId="77777777" w:rsidR="003061AE" w:rsidRDefault="00000000">
      <w:pPr>
        <w:pStyle w:val="ListParagraph"/>
        <w:numPr>
          <w:ilvl w:val="0"/>
          <w:numId w:val="2"/>
        </w:numPr>
        <w:spacing w:after="80" w:line="264" w:lineRule="auto"/>
      </w:pPr>
      <w:r>
        <w:t>Per-BP rollup: each BP's own Notebook 4 is that problem's executive rollup — its own five-format package, not a raw results dump</w:t>
      </w:r>
    </w:p>
    <w:p w14:paraId="6F8EF4C5" w14:textId="77777777" w:rsidR="003061AE" w:rsidRDefault="00000000">
      <w:pPr>
        <w:pStyle w:val="ListParagraph"/>
        <w:numPr>
          <w:ilvl w:val="0"/>
          <w:numId w:val="2"/>
        </w:numPr>
        <w:spacing w:after="80" w:line="264" w:lineRule="auto"/>
      </w:pPr>
      <w:r>
        <w:t>Platform-wide rollup: 4 phase-level rollup notebooks + 1 platform-level master rollup, pure pass-throughs reading each BP's own already-computed summary JSON, recomputing nothing</w:t>
      </w:r>
    </w:p>
    <w:p w14:paraId="5A510CB2" w14:textId="77777777" w:rsidR="003061AE" w:rsidRDefault="00000000">
      <w:pPr>
        <w:spacing w:after="140" w:line="276" w:lineRule="auto"/>
      </w:pPr>
      <w:r>
        <w:lastRenderedPageBreak/>
        <w:t>Both the phase-level rollups and the platform-level master rollup ship the identical five-format package used at BP level, scaled to phase-wide and platform-wide numbers.</w:t>
      </w:r>
    </w:p>
    <w:p w14:paraId="7260EE7D" w14:textId="77777777" w:rsidR="003061AE" w:rsidRDefault="00000000">
      <w:pPr>
        <w:spacing w:after="140" w:line="276" w:lineRule="auto"/>
      </w:pPr>
      <w:r>
        <w:t>Three financial categories never blended, in every rollup:</w:t>
      </w:r>
    </w:p>
    <w:p w14:paraId="0BAA2BD9" w14:textId="77777777" w:rsidR="003061AE" w:rsidRDefault="00000000">
      <w:pPr>
        <w:pStyle w:val="ListParagraph"/>
        <w:numPr>
          <w:ilvl w:val="0"/>
          <w:numId w:val="2"/>
        </w:numPr>
        <w:spacing w:after="80" w:line="264" w:lineRule="auto"/>
      </w:pPr>
      <w:r>
        <w:t>BENEFIT — summed into a headline run-rate</w:t>
      </w:r>
    </w:p>
    <w:p w14:paraId="1A60CFD1" w14:textId="77777777" w:rsidR="003061AE" w:rsidRDefault="00000000">
      <w:pPr>
        <w:pStyle w:val="ListParagraph"/>
        <w:numPr>
          <w:ilvl w:val="0"/>
          <w:numId w:val="2"/>
        </w:numPr>
        <w:spacing w:after="80" w:line="264" w:lineRule="auto"/>
      </w:pPr>
      <w:r>
        <w:t>COST CONTEXT — informational only, never summed</w:t>
      </w:r>
    </w:p>
    <w:p w14:paraId="0F11504F" w14:textId="77777777" w:rsidR="003061AE" w:rsidRDefault="00000000">
      <w:pPr>
        <w:pStyle w:val="ListParagraph"/>
        <w:numPr>
          <w:ilvl w:val="0"/>
          <w:numId w:val="2"/>
        </w:numPr>
        <w:spacing w:after="80" w:line="264" w:lineRule="auto"/>
      </w:pPr>
      <w:r>
        <w:t>PORTFOLIO SCALE — volume context only</w:t>
      </w:r>
    </w:p>
    <w:p w14:paraId="26428FD6" w14:textId="77777777" w:rsidR="003061AE" w:rsidRDefault="00000000">
      <w:pPr>
        <w:pStyle w:val="Heading1"/>
        <w:pBdr>
          <w:bottom w:val="single" w:sz="8" w:space="4" w:color="1F3864"/>
        </w:pBdr>
        <w:spacing w:before="400" w:after="160"/>
      </w:pPr>
      <w:r>
        <w:rPr>
          <w:b/>
          <w:bCs/>
          <w:color w:val="1F3864"/>
          <w:sz w:val="30"/>
          <w:szCs w:val="30"/>
        </w:rPr>
        <w:t>9. WARP — Resource Governance (Extended: Thermal Protection)</w:t>
      </w:r>
    </w:p>
    <w:p w14:paraId="6294D3DD" w14:textId="77777777" w:rsidR="003061AE" w:rsidRDefault="00000000">
      <w:pPr>
        <w:spacing w:after="140" w:line="276" w:lineRule="auto"/>
      </w:pPr>
      <w:r>
        <w:t xml:space="preserve">Unchanged core: </w:t>
      </w:r>
      <w:proofErr w:type="spellStart"/>
      <w:r>
        <w:t>configure_</w:t>
      </w:r>
      <w:proofErr w:type="gramStart"/>
      <w:r>
        <w:t>performance</w:t>
      </w:r>
      <w:proofErr w:type="spellEnd"/>
      <w:r>
        <w:t>(</w:t>
      </w:r>
      <w:proofErr w:type="gramEnd"/>
      <w:r>
        <w:t>) sets a hardware-detected thread ceiling via env vars (OMP_NUM_THREADS, OPENBLAS_NUM_THREADS, MKL_NUM_THREADS, NUMEXPR_NUM_THREADS, POLARS_MAX_THREADS, RAYON_NUM_THREADS) before any heavy import — a safety CAP at ~92% of logical cores and ~92% of RAM, never 100%, never a floor to force by padding workload. No GPU/NPU path exists in this stack for WARP to activate.</w:t>
      </w:r>
    </w:p>
    <w:p w14:paraId="0290BE4C" w14:textId="77777777" w:rsidR="003061AE" w:rsidRDefault="00000000">
      <w:pPr>
        <w:pStyle w:val="Heading2"/>
        <w:spacing w:before="260" w:after="120"/>
      </w:pPr>
      <w:r>
        <w:rPr>
          <w:b/>
          <w:bCs/>
          <w:color w:val="1F3864"/>
          <w:sz w:val="24"/>
          <w:szCs w:val="24"/>
        </w:rPr>
        <w:t>9.1 New — thermal protection</w:t>
      </w:r>
    </w:p>
    <w:p w14:paraId="05E12A80" w14:textId="77777777" w:rsidR="003061AE" w:rsidRDefault="00000000">
      <w:pPr>
        <w:spacing w:after="140" w:line="276" w:lineRule="auto"/>
      </w:pPr>
      <w:r>
        <w:t xml:space="preserve">Added at the user's explicit request: a </w:t>
      </w:r>
      <w:proofErr w:type="spellStart"/>
      <w:r>
        <w:t>thermal_</w:t>
      </w:r>
      <w:proofErr w:type="gramStart"/>
      <w:r>
        <w:t>checkpoint</w:t>
      </w:r>
      <w:proofErr w:type="spellEnd"/>
      <w:r>
        <w:t>(</w:t>
      </w:r>
      <w:proofErr w:type="gramEnd"/>
      <w:r>
        <w:t xml:space="preserve">) context manager in performance_setup.py inserts a real </w:t>
      </w:r>
      <w:proofErr w:type="spellStart"/>
      <w:proofErr w:type="gramStart"/>
      <w:r>
        <w:t>time.sleep</w:t>
      </w:r>
      <w:proofErr w:type="spellEnd"/>
      <w:proofErr w:type="gramEnd"/>
      <w:r>
        <w:t xml:space="preserve">(12) pause — 12 seconds, user-confirmed 2026-09-29 (no longer an assumption) — after any operation tagged heavy: a full CSV/Parquet load, a </w:t>
      </w:r>
      <w:proofErr w:type="gramStart"/>
      <w:r>
        <w:t>model .fit</w:t>
      </w:r>
      <w:proofErr w:type="gramEnd"/>
      <w:r>
        <w:t>() call, a graph-construction step. Not applied after every cell — only after genuinely heavy operations. This code runs on the user's machine when the notebook runs; Claude never executes it. Not yet written to disk as of this plan's date — queued as part of Notebook 00's build.</w:t>
      </w:r>
    </w:p>
    <w:p w14:paraId="2A282F85" w14:textId="77777777" w:rsidR="003061AE" w:rsidRDefault="00000000">
      <w:pPr>
        <w:pStyle w:val="Heading1"/>
        <w:pBdr>
          <w:bottom w:val="single" w:sz="8" w:space="4" w:color="1F3864"/>
        </w:pBdr>
        <w:spacing w:before="400" w:after="160"/>
      </w:pPr>
      <w:r>
        <w:rPr>
          <w:b/>
          <w:bCs/>
          <w:color w:val="1F3864"/>
          <w:sz w:val="30"/>
          <w:szCs w:val="30"/>
        </w:rPr>
        <w:t>9.2 Polars &amp; Vectorization — Mandatory</w:t>
      </w:r>
    </w:p>
    <w:p w14:paraId="62B3C291" w14:textId="77777777" w:rsidR="003061AE" w:rsidRDefault="00000000">
      <w:pPr>
        <w:spacing w:after="140" w:line="276" w:lineRule="auto"/>
      </w:pPr>
      <w:r>
        <w:t>A coding-technique mandate, separate from WARP's resource-ceiling mandate above — both apply together. Every heavy data operation uses Polars lazy scan + expression API (</w:t>
      </w:r>
      <w:proofErr w:type="spellStart"/>
      <w:proofErr w:type="gramStart"/>
      <w:r>
        <w:t>pl.scan</w:t>
      </w:r>
      <w:proofErr w:type="gramEnd"/>
      <w:r>
        <w:t>_csv</w:t>
      </w:r>
      <w:proofErr w:type="spellEnd"/>
      <w:proofErr w:type="gramStart"/>
      <w:r>
        <w:t>(...).select(...).filter(...).collect</w:t>
      </w:r>
      <w:proofErr w:type="gramEnd"/>
      <w:r>
        <w:t xml:space="preserve">(), column-projected) or </w:t>
      </w:r>
      <w:proofErr w:type="spellStart"/>
      <w:r>
        <w:t>DuckDB</w:t>
      </w:r>
      <w:proofErr w:type="spellEnd"/>
      <w:r>
        <w:t xml:space="preserve"> SQL, never eager pandas on the larger variants. Every per-row transformation is a vectorized Polars/NumPy expression — never a Python-</w:t>
      </w:r>
      <w:proofErr w:type="gramStart"/>
      <w:r>
        <w:t>level .apply</w:t>
      </w:r>
      <w:proofErr w:type="gramEnd"/>
      <w:r>
        <w:t>()</w:t>
      </w:r>
      <w:proofErr w:type="gramStart"/>
      <w:r>
        <w:t>, .</w:t>
      </w:r>
      <w:proofErr w:type="spellStart"/>
      <w:r>
        <w:t>iterrows</w:t>
      </w:r>
      <w:proofErr w:type="spellEnd"/>
      <w:proofErr w:type="gramEnd"/>
      <w:r>
        <w:t xml:space="preserve">(), or manual for-loop over rows. The goal: turn a full-dataset operation that would take hours in interpreted row-by-row Python (e.g. loading and aggregating HI-Large's ~17GB file) into minutes, and per-transaction feature computations into milliseconds, through columnar/vectorized execution. </w:t>
      </w:r>
      <w:proofErr w:type="spellStart"/>
      <w:r>
        <w:t>load_csv_</w:t>
      </w:r>
      <w:proofErr w:type="gramStart"/>
      <w:r>
        <w:t>cached</w:t>
      </w:r>
      <w:proofErr w:type="spellEnd"/>
      <w:r>
        <w:t>(</w:t>
      </w:r>
      <w:proofErr w:type="gramEnd"/>
      <w:r>
        <w:t>) (already in performance_setup.py, Parquet-over-CSV) is used for any file read more than once across notebooks in the same BP.</w:t>
      </w:r>
    </w:p>
    <w:p w14:paraId="253C2DA6" w14:textId="77777777" w:rsidR="003061AE" w:rsidRDefault="00000000">
      <w:pPr>
        <w:spacing w:after="140" w:line="276" w:lineRule="auto"/>
      </w:pPr>
      <w:r>
        <w:t>Every notebook wraps its heaviest operations in the existing timer/timed utilities from performance_setup.py and prints the real measured elapsed time. Claude never states an expected speedup number without the user's own real run confirming it — zero-fabrication applies to performance claims exactly as it does to model metrics. Full detail in LESSONS_LEARNED_APPLIED.md Lesson #18.</w:t>
      </w:r>
    </w:p>
    <w:p w14:paraId="10B009EE" w14:textId="77777777" w:rsidR="003061AE" w:rsidRDefault="003061AE">
      <w:pPr>
        <w:spacing w:after="120"/>
      </w:pPr>
    </w:p>
    <w:p w14:paraId="4C79B405" w14:textId="77777777" w:rsidR="003061AE" w:rsidRDefault="00000000">
      <w:pPr>
        <w:pStyle w:val="Heading1"/>
        <w:pBdr>
          <w:bottom w:val="single" w:sz="8" w:space="4" w:color="1F3864"/>
        </w:pBdr>
        <w:spacing w:before="400" w:after="160"/>
      </w:pPr>
      <w:r>
        <w:rPr>
          <w:b/>
          <w:bCs/>
          <w:color w:val="1F3864"/>
          <w:sz w:val="30"/>
          <w:szCs w:val="30"/>
        </w:rPr>
        <w:t xml:space="preserve">9.3 Ultra-High-Quality Performance Standard — Real Techniques </w:t>
      </w:r>
      <w:proofErr w:type="gramStart"/>
      <w:r>
        <w:rPr>
          <w:b/>
          <w:bCs/>
          <w:color w:val="1F3864"/>
          <w:sz w:val="30"/>
          <w:szCs w:val="30"/>
        </w:rPr>
        <w:t>From</w:t>
      </w:r>
      <w:proofErr w:type="gramEnd"/>
      <w:r>
        <w:rPr>
          <w:b/>
          <w:bCs/>
          <w:color w:val="1F3864"/>
          <w:sz w:val="30"/>
          <w:szCs w:val="30"/>
        </w:rPr>
        <w:t xml:space="preserve"> Prior Platforms' Logs</w:t>
      </w:r>
    </w:p>
    <w:p w14:paraId="73FC055F" w14:textId="77777777" w:rsidR="003061AE" w:rsidRDefault="00000000">
      <w:pPr>
        <w:spacing w:after="140" w:line="276" w:lineRule="auto"/>
      </w:pPr>
      <w:r>
        <w:lastRenderedPageBreak/>
        <w:t xml:space="preserve">Compiled directly from the real, dated bugfix/build-history logs of AMEX </w:t>
      </w:r>
      <w:proofErr w:type="spellStart"/>
      <w:r>
        <w:t>RiskIQ</w:t>
      </w:r>
      <w:proofErr w:type="spellEnd"/>
      <w:r>
        <w:t xml:space="preserve"> and Home Credit </w:t>
      </w:r>
      <w:proofErr w:type="spellStart"/>
      <w:r>
        <w:t>RiskIQ</w:t>
      </w:r>
      <w:proofErr w:type="spellEnd"/>
      <w:r>
        <w:t xml:space="preserve"> — the only two prior platforms with a dedicated, detailed performance-lesson record (Fraud Shield and Customer360 Navigator have no equivalent log to draw from, honestly disclosed rather than assumed). Every technique below is a real fix to a real, user-reported slow-runtime or low-utilization bug on one of those platforms, not a generic best-practice list — each is now mandatory on this platform:</w:t>
      </w:r>
    </w:p>
    <w:p w14:paraId="2666FA62" w14:textId="77777777" w:rsidR="003061AE" w:rsidRDefault="00000000">
      <w:pPr>
        <w:pStyle w:val="ListParagraph"/>
        <w:numPr>
          <w:ilvl w:val="0"/>
          <w:numId w:val="2"/>
        </w:numPr>
        <w:spacing w:after="80" w:line="264" w:lineRule="auto"/>
      </w:pPr>
      <w:r>
        <w:t xml:space="preserve">WARP ceiling </w:t>
      </w:r>
      <w:proofErr w:type="gramStart"/>
      <w:r>
        <w:t>actually applied</w:t>
      </w:r>
      <w:proofErr w:type="gramEnd"/>
      <w:r>
        <w:t xml:space="preserve"> before import (Lesson #5): </w:t>
      </w:r>
      <w:proofErr w:type="spellStart"/>
      <w:r>
        <w:t>configure_</w:t>
      </w:r>
      <w:proofErr w:type="gramStart"/>
      <w:r>
        <w:t>performance</w:t>
      </w:r>
      <w:proofErr w:type="spellEnd"/>
      <w:r>
        <w:t>(</w:t>
      </w:r>
      <w:proofErr w:type="gramEnd"/>
      <w:r>
        <w:t>) runs as the literal first executable step, before Polars/pandas/scikit-learn/</w:t>
      </w:r>
      <w:proofErr w:type="spellStart"/>
      <w:r>
        <w:t>XGBoost</w:t>
      </w:r>
      <w:proofErr w:type="spellEnd"/>
      <w:r>
        <w:t>/</w:t>
      </w:r>
      <w:proofErr w:type="spellStart"/>
      <w:r>
        <w:t>LightGBM</w:t>
      </w:r>
      <w:proofErr w:type="spellEnd"/>
      <w:r>
        <w:t>/</w:t>
      </w:r>
      <w:proofErr w:type="spellStart"/>
      <w:r>
        <w:t>CatBoost</w:t>
      </w:r>
      <w:proofErr w:type="spellEnd"/>
      <w:r>
        <w:t xml:space="preserve"> are imported. Home Credit's real regression: a configured 90–95% ceiling sat unused because the env vars were set after those libraries had already imported — the real run measured only ~20% CPU / ~50% RAM on an 8-core/16-thread machine.</w:t>
      </w:r>
    </w:p>
    <w:p w14:paraId="57A05898" w14:textId="77777777" w:rsidR="003061AE" w:rsidRDefault="00000000">
      <w:pPr>
        <w:pStyle w:val="ListParagraph"/>
        <w:numPr>
          <w:ilvl w:val="0"/>
          <w:numId w:val="2"/>
        </w:numPr>
        <w:spacing w:after="80" w:line="264" w:lineRule="auto"/>
      </w:pPr>
      <w:r>
        <w:t>No-multicore-benefit models dropped from candidate sets: scikit-</w:t>
      </w:r>
      <w:proofErr w:type="spellStart"/>
      <w:r>
        <w:t>learn's</w:t>
      </w:r>
      <w:proofErr w:type="spellEnd"/>
      <w:r>
        <w:t xml:space="preserve"> </w:t>
      </w:r>
      <w:proofErr w:type="spellStart"/>
      <w:r>
        <w:t>GradientBoostingClassifier</w:t>
      </w:r>
      <w:proofErr w:type="spellEnd"/>
      <w:r>
        <w:t xml:space="preserve"> (no real multi-core support) and LogisticRegression (</w:t>
      </w:r>
      <w:proofErr w:type="spellStart"/>
      <w:r>
        <w:t>n_jobs</w:t>
      </w:r>
      <w:proofErr w:type="spellEnd"/>
      <w:r>
        <w:t xml:space="preserve"> has no effect for binary classification) are excluded from this platform's Stage-A benchmark screen if either would otherwise be included.</w:t>
      </w:r>
    </w:p>
    <w:p w14:paraId="3D7394A3" w14:textId="77777777" w:rsidR="003061AE" w:rsidRDefault="00000000">
      <w:pPr>
        <w:pStyle w:val="ListParagraph"/>
        <w:numPr>
          <w:ilvl w:val="0"/>
          <w:numId w:val="2"/>
        </w:numPr>
        <w:spacing w:after="80" w:line="264" w:lineRule="auto"/>
      </w:pPr>
      <w:r>
        <w:t>Parquet-over-CSV caching (</w:t>
      </w:r>
      <w:proofErr w:type="spellStart"/>
      <w:r>
        <w:t>load_csv_</w:t>
      </w:r>
      <w:proofErr w:type="gramStart"/>
      <w:r>
        <w:t>cached</w:t>
      </w:r>
      <w:proofErr w:type="spellEnd"/>
      <w:r>
        <w:t>(</w:t>
      </w:r>
      <w:proofErr w:type="gramEnd"/>
      <w:r>
        <w:t xml:space="preserve">) in performance_setup.py): any file read more than once across a BP's notebooks is cached to Parquet on first read; every later read </w:t>
      </w:r>
      <w:proofErr w:type="gramStart"/>
      <w:r>
        <w:t>hits</w:t>
      </w:r>
      <w:proofErr w:type="gramEnd"/>
      <w:r>
        <w:t xml:space="preserve"> the cached Parquet file instead of re-parsing raw CSV text.</w:t>
      </w:r>
    </w:p>
    <w:p w14:paraId="161A0DC1" w14:textId="77777777" w:rsidR="003061AE" w:rsidRDefault="00000000">
      <w:pPr>
        <w:pStyle w:val="ListParagraph"/>
        <w:numPr>
          <w:ilvl w:val="0"/>
          <w:numId w:val="2"/>
        </w:numPr>
        <w:spacing w:after="80" w:line="264" w:lineRule="auto"/>
      </w:pPr>
      <w:r>
        <w:t xml:space="preserve">Lazy, column-projected scans over eager full loads: </w:t>
      </w:r>
      <w:proofErr w:type="gramStart"/>
      <w:r>
        <w:t>pl.scan</w:t>
      </w:r>
      <w:proofErr w:type="gramEnd"/>
      <w:r>
        <w:t>_csv(path</w:t>
      </w:r>
      <w:proofErr w:type="gramStart"/>
      <w:r>
        <w:t>).select</w:t>
      </w:r>
      <w:proofErr w:type="gramEnd"/>
      <w:r>
        <w:t>([...]</w:t>
      </w:r>
      <w:proofErr w:type="gramStart"/>
      <w:r>
        <w:t>).filter(...).group</w:t>
      </w:r>
      <w:proofErr w:type="gramEnd"/>
      <w:r>
        <w:t>_by</w:t>
      </w:r>
      <w:proofErr w:type="gramStart"/>
      <w:r>
        <w:t>(...).agg(...).collect</w:t>
      </w:r>
      <w:proofErr w:type="gramEnd"/>
      <w:r>
        <w:t xml:space="preserve">() — only the columns and rows </w:t>
      </w:r>
      <w:proofErr w:type="gramStart"/>
      <w:r>
        <w:t>actually needed</w:t>
      </w:r>
      <w:proofErr w:type="gramEnd"/>
      <w:r>
        <w:t xml:space="preserve"> </w:t>
      </w:r>
      <w:proofErr w:type="gramStart"/>
      <w:r>
        <w:t>are ever materialized</w:t>
      </w:r>
      <w:proofErr w:type="gramEnd"/>
      <w:r>
        <w:t>. Proven on AMEX's real 16GB+ raw Kaggle CSV; directly applicable to this project's own ~17GB HI-Large file.</w:t>
      </w:r>
    </w:p>
    <w:p w14:paraId="008E651B" w14:textId="77777777" w:rsidR="003061AE" w:rsidRDefault="00000000">
      <w:pPr>
        <w:pStyle w:val="ListParagraph"/>
        <w:numPr>
          <w:ilvl w:val="0"/>
          <w:numId w:val="2"/>
        </w:numPr>
        <w:spacing w:after="80" w:line="264" w:lineRule="auto"/>
      </w:pPr>
      <w:r>
        <w:t xml:space="preserve">Closed-form / multinomial resampling over brute-force bootstrap (real slow-runtime bug, Home Credit Notebook 05): a bootstrap CI on a chi-square/Cramer's V statistic was rebuilding a </w:t>
      </w:r>
      <w:proofErr w:type="spellStart"/>
      <w:proofErr w:type="gramStart"/>
      <w:r>
        <w:t>pandas.crosstab</w:t>
      </w:r>
      <w:proofErr w:type="spellEnd"/>
      <w:proofErr w:type="gramEnd"/>
      <w:r>
        <w:t xml:space="preserve"> from scratch on each of 500 row-level resamples over ~1.67M real rows. Fixed by drawing directly from the already-computed contingency table via </w:t>
      </w:r>
      <w:proofErr w:type="spellStart"/>
      <w:proofErr w:type="gramStart"/>
      <w:r>
        <w:t>rng.multinomial</w:t>
      </w:r>
      <w:proofErr w:type="spellEnd"/>
      <w:proofErr w:type="gramEnd"/>
      <w:r>
        <w:t xml:space="preserve">(n, </w:t>
      </w:r>
      <w:proofErr w:type="gramStart"/>
      <w:r>
        <w:t>p) —</w:t>
      </w:r>
      <w:proofErr w:type="gramEnd"/>
      <w:r>
        <w:t xml:space="preserve"> mathematically equivalent, orders of magnitude faster. Mandated for every bootstrap CI this platform computes (BP2's per-typology chi-square/Cramer's V tests, BP4's structuring-pattern significance tests, and any other categorical-association CI).</w:t>
      </w:r>
    </w:p>
    <w:p w14:paraId="71C974ED" w14:textId="77777777" w:rsidR="003061AE" w:rsidRDefault="00000000">
      <w:pPr>
        <w:pStyle w:val="ListParagraph"/>
        <w:numPr>
          <w:ilvl w:val="0"/>
          <w:numId w:val="2"/>
        </w:numPr>
        <w:spacing w:after="80" w:line="264" w:lineRule="auto"/>
      </w:pPr>
      <w:r>
        <w:t>Vectorized, batched simulation over per-iteration Python loops (Home Credit MP2 Notebook 03, real Vasicek capital Monte Carlo): any simulation draws one batched array (</w:t>
      </w:r>
      <w:proofErr w:type="spellStart"/>
      <w:r>
        <w:t>rng</w:t>
      </w:r>
      <w:proofErr w:type="spellEnd"/>
      <w:r>
        <w:t>.&lt;</w:t>
      </w:r>
      <w:proofErr w:type="spellStart"/>
      <w:r>
        <w:t>dist</w:t>
      </w:r>
      <w:proofErr w:type="spellEnd"/>
      <w:r>
        <w:t xml:space="preserve">&gt;(size=(N_SIMS, </w:t>
      </w:r>
      <w:proofErr w:type="gramStart"/>
      <w:r>
        <w:t>...))</w:t>
      </w:r>
      <w:proofErr w:type="gramEnd"/>
      <w:r>
        <w:t>) and reduces it with array operations — never a Python for-loop over simulation trials. Applies to any resampling/simulation step this platform needs (e.g. a network-propagation or alert-volume simulation in BP3/BP6).</w:t>
      </w:r>
    </w:p>
    <w:p w14:paraId="5897AA2C" w14:textId="77777777" w:rsidR="003061AE" w:rsidRDefault="00000000">
      <w:pPr>
        <w:pStyle w:val="ListParagraph"/>
        <w:numPr>
          <w:ilvl w:val="0"/>
          <w:numId w:val="2"/>
        </w:numPr>
        <w:spacing w:after="80" w:line="264" w:lineRule="auto"/>
      </w:pPr>
      <w:r>
        <w:t xml:space="preserve">Eliminate redundant </w:t>
      </w:r>
      <w:proofErr w:type="spellStart"/>
      <w:r>
        <w:t>recomputation</w:t>
      </w:r>
      <w:proofErr w:type="spellEnd"/>
      <w:r>
        <w:t xml:space="preserve"> across notebook stages (real architectural fix, AMEX Notebook 27 to 28): a downstream notebook reads an earlier notebook's own saved full-precision value directly rather than reloading a multi-GB source file and recomputing the same statistic — a genuine efficiency win that also removes an entire class of drift bug (see Lesson #2). Mandated for every BP-to-BP handoff on this platform: BP6's rollup never recomputes what BP1–BP5 already computed; a BP's later notebook never re-derives a feature its own earlier notebook already engineered.</w:t>
      </w:r>
    </w:p>
    <w:p w14:paraId="4D684BF3" w14:textId="77777777" w:rsidR="003061AE" w:rsidRDefault="00000000">
      <w:pPr>
        <w:pStyle w:val="ListParagraph"/>
        <w:numPr>
          <w:ilvl w:val="0"/>
          <w:numId w:val="2"/>
        </w:numPr>
        <w:spacing w:after="80" w:line="264" w:lineRule="auto"/>
      </w:pPr>
      <w:r>
        <w:t>timer/timed instrumentation on every heavy step: every notebook prints the real measured elapsed time for each heavy operation — the only legitimate basis for any speed claim on this platform.</w:t>
      </w:r>
    </w:p>
    <w:p w14:paraId="35368DAF" w14:textId="77777777" w:rsidR="003061AE" w:rsidRDefault="003061AE">
      <w:pPr>
        <w:spacing w:after="120"/>
      </w:pPr>
    </w:p>
    <w:p w14:paraId="08E63557" w14:textId="77777777" w:rsidR="003061AE" w:rsidRDefault="00000000">
      <w:pPr>
        <w:pBdr>
          <w:left w:val="single" w:sz="16" w:space="8" w:color="B8860B"/>
        </w:pBdr>
        <w:shd w:val="clear" w:color="auto" w:fill="FBF1DC"/>
        <w:spacing w:before="60" w:after="160"/>
        <w:ind w:left="120"/>
      </w:pPr>
      <w:r>
        <w:rPr>
          <w:i/>
          <w:iCs/>
          <w:color w:val="5B4300"/>
          <w:sz w:val="20"/>
          <w:szCs w:val="20"/>
        </w:rPr>
        <w:t>FLAG — On “milliseconds to nanoseconds” (user's stated target, addressed honestly): a single vectorized Polars/NumPy expression over a column genuinely executes at microsecond-to-nanosecond-per-row scale, because it runs as compiled, SIMD-vectorized machine code rather than interpreted per-row Python — that per-operation bar is real, achievable, and is the mandated code-quality standard for every transformation in this project (</w:t>
      </w:r>
      <w:proofErr w:type="gramStart"/>
      <w:r>
        <w:rPr>
          <w:i/>
          <w:iCs/>
          <w:color w:val="5B4300"/>
          <w:sz w:val="20"/>
          <w:szCs w:val="20"/>
        </w:rPr>
        <w:t>never .apply</w:t>
      </w:r>
      <w:proofErr w:type="gramEnd"/>
      <w:r>
        <w:rPr>
          <w:i/>
          <w:iCs/>
          <w:color w:val="5B4300"/>
          <w:sz w:val="20"/>
          <w:szCs w:val="20"/>
        </w:rPr>
        <w:t>()</w:t>
      </w:r>
      <w:proofErr w:type="gramStart"/>
      <w:r>
        <w:rPr>
          <w:i/>
          <w:iCs/>
          <w:color w:val="5B4300"/>
          <w:sz w:val="20"/>
          <w:szCs w:val="20"/>
        </w:rPr>
        <w:t>, .</w:t>
      </w:r>
      <w:proofErr w:type="spellStart"/>
      <w:r>
        <w:rPr>
          <w:i/>
          <w:iCs/>
          <w:color w:val="5B4300"/>
          <w:sz w:val="20"/>
          <w:szCs w:val="20"/>
        </w:rPr>
        <w:t>iterrows</w:t>
      </w:r>
      <w:proofErr w:type="spellEnd"/>
      <w:proofErr w:type="gramEnd"/>
      <w:r>
        <w:rPr>
          <w:i/>
          <w:iCs/>
          <w:color w:val="5B4300"/>
          <w:sz w:val="20"/>
          <w:szCs w:val="20"/>
        </w:rPr>
        <w:t xml:space="preserve">(), or a manual loop, per Lesson #18). Total end-to-end wall-clock time for a full BP run against real data (up to ~17GB per file) is a separate, honest number: measured live via timer/timed on the user's own machine and reported as-is in that notebook's output and in Section 7A. No notebook or report on this platform claims a nanosecond TOTAL runtime — only genuinely </w:t>
      </w:r>
      <w:r>
        <w:rPr>
          <w:i/>
          <w:iCs/>
          <w:color w:val="5B4300"/>
          <w:sz w:val="20"/>
          <w:szCs w:val="20"/>
        </w:rPr>
        <w:lastRenderedPageBreak/>
        <w:t xml:space="preserve">nanosecond/microsecond-scale PER-OPERATION vectorized execution, the same zero-fabrication discipline that governs every other number this project reports. Full </w:t>
      </w:r>
      <w:proofErr w:type="gramStart"/>
      <w:r>
        <w:rPr>
          <w:i/>
          <w:iCs/>
          <w:color w:val="5B4300"/>
          <w:sz w:val="20"/>
          <w:szCs w:val="20"/>
        </w:rPr>
        <w:t>detail</w:t>
      </w:r>
      <w:proofErr w:type="gramEnd"/>
      <w:r>
        <w:rPr>
          <w:i/>
          <w:iCs/>
          <w:color w:val="5B4300"/>
          <w:sz w:val="20"/>
          <w:szCs w:val="20"/>
        </w:rPr>
        <w:t xml:space="preserve"> in LESSONS_LEARNED_APPLIED.md Lesson #19.</w:t>
      </w:r>
    </w:p>
    <w:p w14:paraId="0298F804" w14:textId="77777777" w:rsidR="003061AE" w:rsidRDefault="00000000">
      <w:pPr>
        <w:pStyle w:val="Heading1"/>
        <w:pBdr>
          <w:bottom w:val="single" w:sz="8" w:space="4" w:color="1F3864"/>
        </w:pBdr>
        <w:spacing w:before="400" w:after="160"/>
      </w:pPr>
      <w:r>
        <w:rPr>
          <w:b/>
          <w:bCs/>
          <w:color w:val="1F3864"/>
          <w:sz w:val="30"/>
          <w:szCs w:val="30"/>
        </w:rPr>
        <w:t>10. HYPER — Delivery Acceleration</w:t>
      </w:r>
    </w:p>
    <w:p w14:paraId="416F67C7" w14:textId="77777777" w:rsidR="003061AE" w:rsidRDefault="00000000">
      <w:pPr>
        <w:spacing w:after="140" w:line="276" w:lineRule="auto"/>
      </w:pPr>
      <w:r>
        <w:t>10 techniques adopted, 2 excepted — carried from AMEX's Hypersonic pass (full detail in LESSONS_LEARNED_APPLIED.md, Lesson #12):</w:t>
      </w:r>
    </w:p>
    <w:p w14:paraId="69ED0B38" w14:textId="77777777" w:rsidR="003061AE" w:rsidRDefault="00000000">
      <w:pPr>
        <w:pStyle w:val="ListParagraph"/>
        <w:numPr>
          <w:ilvl w:val="0"/>
          <w:numId w:val="2"/>
        </w:numPr>
        <w:spacing w:after="80" w:line="264" w:lineRule="auto"/>
      </w:pPr>
      <w:r>
        <w:t xml:space="preserve">One master notebook template cloned per BP; the same </w:t>
      </w:r>
      <w:proofErr w:type="spellStart"/>
      <w:r>
        <w:t>Dockerfile</w:t>
      </w:r>
      <w:proofErr w:type="spellEnd"/>
      <w:r>
        <w:t>/CI workflow/</w:t>
      </w:r>
      <w:proofErr w:type="spellStart"/>
      <w:r>
        <w:t>Makefile</w:t>
      </w:r>
      <w:proofErr w:type="spellEnd"/>
      <w:r>
        <w:t>/</w:t>
      </w:r>
      <w:proofErr w:type="spellStart"/>
      <w:r>
        <w:t>pyproject.toml</w:t>
      </w:r>
      <w:proofErr w:type="spellEnd"/>
      <w:r>
        <w:t xml:space="preserve"> reused across all 6 BPs</w:t>
      </w:r>
    </w:p>
    <w:p w14:paraId="45D45097" w14:textId="77777777" w:rsidR="003061AE" w:rsidRDefault="00000000">
      <w:pPr>
        <w:pStyle w:val="ListParagraph"/>
        <w:numPr>
          <w:ilvl w:val="0"/>
          <w:numId w:val="2"/>
        </w:numPr>
        <w:spacing w:after="80" w:line="264" w:lineRule="auto"/>
      </w:pPr>
      <w:r>
        <w:t>Notebook-writing, infra, and API/testing run as parallel work streams; batched commits across several notebooks</w:t>
      </w:r>
    </w:p>
    <w:p w14:paraId="7D24843F" w14:textId="77777777" w:rsidR="003061AE" w:rsidRDefault="00000000">
      <w:pPr>
        <w:pStyle w:val="ListParagraph"/>
        <w:numPr>
          <w:ilvl w:val="0"/>
          <w:numId w:val="2"/>
        </w:numPr>
        <w:spacing w:after="80" w:line="264" w:lineRule="auto"/>
      </w:pPr>
      <w:r>
        <w:t>One parametric notebook driven by configs/</w:t>
      </w:r>
      <w:proofErr w:type="spellStart"/>
      <w:r>
        <w:t>bpN</w:t>
      </w:r>
      <w:proofErr w:type="spellEnd"/>
      <w:r>
        <w:t>_*.</w:t>
      </w:r>
      <w:proofErr w:type="spellStart"/>
      <w:r>
        <w:t>yaml</w:t>
      </w:r>
      <w:proofErr w:type="spellEnd"/>
      <w:r>
        <w:t xml:space="preserve">; a shared </w:t>
      </w:r>
      <w:proofErr w:type="spellStart"/>
      <w:r>
        <w:t>src</w:t>
      </w:r>
      <w:proofErr w:type="spellEnd"/>
      <w:r>
        <w:t>/ component library built once</w:t>
      </w:r>
    </w:p>
    <w:p w14:paraId="7CF26B74" w14:textId="77777777" w:rsidR="003061AE" w:rsidRDefault="00000000">
      <w:pPr>
        <w:pStyle w:val="ListParagraph"/>
        <w:numPr>
          <w:ilvl w:val="0"/>
          <w:numId w:val="2"/>
        </w:numPr>
        <w:spacing w:after="80" w:line="264" w:lineRule="auto"/>
      </w:pPr>
      <w:r>
        <w:t>Auto-generated per-BP docs from docstrings; pre-commit hooks rejecting bad commits before push</w:t>
      </w:r>
    </w:p>
    <w:p w14:paraId="7B114A08" w14:textId="77777777" w:rsidR="003061AE" w:rsidRDefault="00000000">
      <w:pPr>
        <w:pStyle w:val="ListParagraph"/>
        <w:numPr>
          <w:ilvl w:val="0"/>
          <w:numId w:val="2"/>
        </w:numPr>
        <w:spacing w:after="80" w:line="264" w:lineRule="auto"/>
      </w:pPr>
      <w:r>
        <w:t>Parallel CI jobs; a per-BP incremental-validation gate before the next BP starts</w:t>
      </w:r>
    </w:p>
    <w:p w14:paraId="61520FB6" w14:textId="77777777" w:rsidR="003061AE" w:rsidRDefault="00000000">
      <w:pPr>
        <w:pBdr>
          <w:left w:val="single" w:sz="16" w:space="8" w:color="B8860B"/>
        </w:pBdr>
        <w:shd w:val="clear" w:color="auto" w:fill="FBF1DC"/>
        <w:spacing w:before="60" w:after="160"/>
        <w:ind w:left="120"/>
      </w:pPr>
      <w:r>
        <w:rPr>
          <w:i/>
          <w:iCs/>
          <w:color w:val="5B4300"/>
          <w:sz w:val="20"/>
          <w:szCs w:val="20"/>
        </w:rPr>
        <w:t>FLAG — Excepted (never applied on this project): smoke-test-only as a substitute for full coverage — this platform's tests stay full/bit-exact; unverified CLI scaffolding tools — hand-written instead.</w:t>
      </w:r>
    </w:p>
    <w:p w14:paraId="2431AE3B" w14:textId="77777777" w:rsidR="003061AE" w:rsidRDefault="00000000">
      <w:pPr>
        <w:pStyle w:val="Heading1"/>
        <w:pBdr>
          <w:bottom w:val="single" w:sz="8" w:space="4" w:color="1F3864"/>
        </w:pBdr>
        <w:spacing w:before="400" w:after="160"/>
      </w:pPr>
      <w:r>
        <w:rPr>
          <w:b/>
          <w:bCs/>
          <w:color w:val="1F3864"/>
          <w:sz w:val="30"/>
          <w:szCs w:val="30"/>
        </w:rPr>
        <w:t>11. Project Structure &amp; Governance</w:t>
      </w:r>
    </w:p>
    <w:p w14:paraId="20F5E39A" w14:textId="77777777" w:rsidR="003061AE" w:rsidRDefault="00000000">
      <w:pPr>
        <w:spacing w:after="140" w:line="276" w:lineRule="auto"/>
      </w:pPr>
      <w:r>
        <w:t>Folder layout: see PROJECT_STRUCTURE_LOCKED.md, re-locked 2026-09-29 to the 6-BP scope. Governance files at project root, added 2026-09-29 to match AMEX's Phase-2-hardening “Global Standard” pattern:</w:t>
      </w:r>
    </w:p>
    <w:p w14:paraId="14296071" w14:textId="77777777" w:rsidR="003061AE" w:rsidRDefault="00000000">
      <w:pPr>
        <w:pStyle w:val="ListParagraph"/>
        <w:numPr>
          <w:ilvl w:val="0"/>
          <w:numId w:val="2"/>
        </w:numPr>
        <w:spacing w:after="80" w:line="264" w:lineRule="auto"/>
      </w:pPr>
      <w:proofErr w:type="gramStart"/>
      <w:r>
        <w:t>.</w:t>
      </w:r>
      <w:proofErr w:type="spellStart"/>
      <w:r>
        <w:t>github</w:t>
      </w:r>
      <w:proofErr w:type="spellEnd"/>
      <w:proofErr w:type="gramEnd"/>
      <w:r>
        <w:t>/ISSUE_TEMPLATE/ (</w:t>
      </w:r>
      <w:proofErr w:type="spellStart"/>
      <w:r>
        <w:t>bug_report</w:t>
      </w:r>
      <w:proofErr w:type="spellEnd"/>
      <w:r>
        <w:t xml:space="preserve">, </w:t>
      </w:r>
      <w:proofErr w:type="spellStart"/>
      <w:r>
        <w:t>feature_request</w:t>
      </w:r>
      <w:proofErr w:type="spellEnd"/>
      <w:r>
        <w:t xml:space="preserve">, </w:t>
      </w:r>
      <w:proofErr w:type="spellStart"/>
      <w:r>
        <w:t>model_improvement</w:t>
      </w:r>
      <w:proofErr w:type="spellEnd"/>
      <w:r>
        <w:t>)</w:t>
      </w:r>
    </w:p>
    <w:p w14:paraId="12658C32" w14:textId="77777777" w:rsidR="003061AE" w:rsidRDefault="00000000">
      <w:pPr>
        <w:pStyle w:val="ListParagraph"/>
        <w:numPr>
          <w:ilvl w:val="0"/>
          <w:numId w:val="2"/>
        </w:numPr>
        <w:spacing w:after="80" w:line="264" w:lineRule="auto"/>
      </w:pPr>
      <w:proofErr w:type="gramStart"/>
      <w:r>
        <w:t>.</w:t>
      </w:r>
      <w:proofErr w:type="spellStart"/>
      <w:r>
        <w:t>github</w:t>
      </w:r>
      <w:proofErr w:type="spellEnd"/>
      <w:r>
        <w:t>/PULL_REQUEST_TEMPLATE.md</w:t>
      </w:r>
      <w:proofErr w:type="gramEnd"/>
      <w:r>
        <w:t xml:space="preserve">, </w:t>
      </w:r>
      <w:proofErr w:type="spellStart"/>
      <w:proofErr w:type="gramStart"/>
      <w:r>
        <w:t>pyproject.toml</w:t>
      </w:r>
      <w:proofErr w:type="spellEnd"/>
      <w:proofErr w:type="gramEnd"/>
      <w:r>
        <w:t xml:space="preserve">, </w:t>
      </w:r>
      <w:proofErr w:type="spellStart"/>
      <w:r>
        <w:t>Makefile</w:t>
      </w:r>
      <w:proofErr w:type="spellEnd"/>
    </w:p>
    <w:p w14:paraId="5CC01608" w14:textId="77777777" w:rsidR="003061AE" w:rsidRDefault="00000000">
      <w:pPr>
        <w:pStyle w:val="ListParagraph"/>
        <w:numPr>
          <w:ilvl w:val="0"/>
          <w:numId w:val="2"/>
        </w:numPr>
        <w:spacing w:after="80" w:line="264" w:lineRule="auto"/>
      </w:pPr>
      <w:r>
        <w:t>BENCHMARKS.md — consolidated real baseline-vs-model comparisons, populated only from real run numbers</w:t>
      </w:r>
    </w:p>
    <w:p w14:paraId="501A0FC4" w14:textId="77777777" w:rsidR="003061AE" w:rsidRDefault="00000000">
      <w:pPr>
        <w:pStyle w:val="ListParagraph"/>
        <w:numPr>
          <w:ilvl w:val="0"/>
          <w:numId w:val="2"/>
        </w:numPr>
        <w:spacing w:after="80" w:line="264" w:lineRule="auto"/>
      </w:pPr>
      <w:proofErr w:type="gramStart"/>
      <w:r>
        <w:t>.pre</w:t>
      </w:r>
      <w:proofErr w:type="gramEnd"/>
      <w:r>
        <w:t>-commit-</w:t>
      </w:r>
      <w:proofErr w:type="spellStart"/>
      <w:proofErr w:type="gramStart"/>
      <w:r>
        <w:t>config.yaml</w:t>
      </w:r>
      <w:proofErr w:type="spellEnd"/>
      <w:proofErr w:type="gramEnd"/>
    </w:p>
    <w:p w14:paraId="12DBAA66" w14:textId="77777777" w:rsidR="003061AE" w:rsidRDefault="00000000">
      <w:pPr>
        <w:pStyle w:val="ListParagraph"/>
        <w:numPr>
          <w:ilvl w:val="0"/>
          <w:numId w:val="2"/>
        </w:numPr>
        <w:spacing w:after="80" w:line="264" w:lineRule="auto"/>
      </w:pPr>
      <w:r>
        <w:t xml:space="preserve">CI split into </w:t>
      </w:r>
      <w:proofErr w:type="spellStart"/>
      <w:r>
        <w:t>ci.yml</w:t>
      </w:r>
      <w:proofErr w:type="spellEnd"/>
      <w:r>
        <w:t xml:space="preserve"> (lint/test/notebook-syntax) and code-</w:t>
      </w:r>
      <w:proofErr w:type="spellStart"/>
      <w:r>
        <w:t>quality.yml</w:t>
      </w:r>
      <w:proofErr w:type="spellEnd"/>
      <w:r>
        <w:t xml:space="preserve"> (bandit security scan of </w:t>
      </w:r>
      <w:proofErr w:type="spellStart"/>
      <w:r>
        <w:t>src</w:t>
      </w:r>
      <w:proofErr w:type="spellEnd"/>
      <w:r>
        <w:t>/ — extra weight given AML data sensitivity)</w:t>
      </w:r>
    </w:p>
    <w:p w14:paraId="1024B684" w14:textId="77777777" w:rsidR="003061AE" w:rsidRDefault="00000000">
      <w:pPr>
        <w:spacing w:after="140" w:line="276" w:lineRule="auto"/>
      </w:pPr>
      <w:r>
        <w:t xml:space="preserve">requirements.txt updated 2026-09-29: removed the now-dead GenAI/NLP stack (spacy, sentence-transformers, transformers, tokenizers); added python-pptx (was missing despite the five-format package requiring it), lime, imbalanced-learn, </w:t>
      </w:r>
      <w:proofErr w:type="spellStart"/>
      <w:r>
        <w:t>pytest-cov</w:t>
      </w:r>
      <w:proofErr w:type="spellEnd"/>
      <w:r>
        <w:t>, bandit.</w:t>
      </w:r>
    </w:p>
    <w:p w14:paraId="6B7AA6EA" w14:textId="77777777" w:rsidR="003061AE" w:rsidRDefault="00000000">
      <w:pPr>
        <w:pStyle w:val="Heading1"/>
        <w:pBdr>
          <w:bottom w:val="single" w:sz="8" w:space="4" w:color="1F3864"/>
        </w:pBdr>
        <w:spacing w:before="400" w:after="160"/>
      </w:pPr>
      <w:r>
        <w:rPr>
          <w:b/>
          <w:bCs/>
          <w:color w:val="1F3864"/>
          <w:sz w:val="30"/>
          <w:szCs w:val="30"/>
        </w:rPr>
        <w:t>12. CRISP-DM / AGILE / SMART / 6-Gate SOP</w:t>
      </w:r>
    </w:p>
    <w:p w14:paraId="5B624B5A" w14:textId="77777777" w:rsidR="003061AE" w:rsidRDefault="00000000">
      <w:pPr>
        <w:spacing w:after="140" w:line="276" w:lineRule="auto"/>
      </w:pPr>
      <w:r>
        <w:t>Each BP notebook lifecycle maps to CRISP-DM: Notebook 1 = Business Understanding; Notebook 2 = Data Preparation + Modeling; Notebook 3 = Evaluation + Deployment; Notebook 4 = compliance-specific reporting layered on top. The 6-Gate SOP (Gate 1 Business Understanding through Gate 6 Production Packaging/Governance) is the same governance overlay used on Home Credit, tracked per BP in the Evidence Ledger.</w:t>
      </w:r>
    </w:p>
    <w:p w14:paraId="64F1AEB5" w14:textId="77777777" w:rsidR="003061AE" w:rsidRDefault="00000000">
      <w:pPr>
        <w:spacing w:after="140" w:line="276" w:lineRule="auto"/>
      </w:pPr>
      <w:r>
        <w:t>AGILE sequencing: each BP is its own sprint-sized unit of work, one BP completed and validated before the next starts. SMART framing applies to every headline finding in every BP's Notebook 4: specific (a named metric), measurable (a real computed number), achievable (grounded in what the dataset can actually support), relevant (tied to a real regulatory or operational driver), time-bound (framed against a stated run-rate or reporting period).</w:t>
      </w:r>
    </w:p>
    <w:p w14:paraId="26C84EFD" w14:textId="77777777" w:rsidR="003061AE" w:rsidRDefault="00000000">
      <w:pPr>
        <w:pStyle w:val="Heading1"/>
        <w:pBdr>
          <w:bottom w:val="single" w:sz="8" w:space="4" w:color="1F3864"/>
        </w:pBdr>
        <w:spacing w:before="400" w:after="160"/>
      </w:pPr>
      <w:r>
        <w:rPr>
          <w:b/>
          <w:bCs/>
          <w:color w:val="1F3864"/>
          <w:sz w:val="30"/>
          <w:szCs w:val="30"/>
        </w:rPr>
        <w:lastRenderedPageBreak/>
        <w:t>13. GitHub / Kaggle Packaging</w:t>
      </w:r>
    </w:p>
    <w:p w14:paraId="6D8B15B3" w14:textId="77777777" w:rsidR="003061AE" w:rsidRDefault="00000000">
      <w:pPr>
        <w:pStyle w:val="ListParagraph"/>
        <w:numPr>
          <w:ilvl w:val="0"/>
          <w:numId w:val="2"/>
        </w:numPr>
        <w:spacing w:after="80" w:line="264" w:lineRule="auto"/>
      </w:pPr>
      <w:r>
        <w:t xml:space="preserve">git </w:t>
      </w:r>
      <w:proofErr w:type="spellStart"/>
      <w:r>
        <w:t>init</w:t>
      </w:r>
      <w:proofErr w:type="spellEnd"/>
      <w:r>
        <w:t>/commit never happens inside the mounted Documents folder (</w:t>
      </w:r>
      <w:proofErr w:type="spellStart"/>
      <w:r>
        <w:t>fuseblk</w:t>
      </w:r>
      <w:proofErr w:type="spellEnd"/>
      <w:r>
        <w:t xml:space="preserve"> blocks the unlink git's object store needs — Lesson #9); content is staged in </w:t>
      </w:r>
      <w:proofErr w:type="spellStart"/>
      <w:r>
        <w:t>github_repo</w:t>
      </w:r>
      <w:proofErr w:type="spellEnd"/>
      <w:r>
        <w:t>/, then committed and pushed from a real local disk path outside any mounted/proxied folder</w:t>
      </w:r>
    </w:p>
    <w:p w14:paraId="0BCC7369" w14:textId="77777777" w:rsidR="003061AE" w:rsidRDefault="00000000">
      <w:pPr>
        <w:pStyle w:val="ListParagraph"/>
        <w:numPr>
          <w:ilvl w:val="0"/>
          <w:numId w:val="2"/>
        </w:numPr>
        <w:spacing w:after="80" w:line="264" w:lineRule="auto"/>
      </w:pPr>
      <w:r>
        <w:t>A GitHub PAT is verified via a non-empty x-</w:t>
      </w:r>
      <w:proofErr w:type="spellStart"/>
      <w:r>
        <w:t>oauth</w:t>
      </w:r>
      <w:proofErr w:type="spellEnd"/>
      <w:r>
        <w:t>-scopes header containing “repo” before use (Lesson #10), and revoked after the push completes</w:t>
      </w:r>
    </w:p>
    <w:p w14:paraId="3D742E87" w14:textId="77777777" w:rsidR="003061AE" w:rsidRDefault="00000000">
      <w:pPr>
        <w:pStyle w:val="ListParagraph"/>
        <w:numPr>
          <w:ilvl w:val="0"/>
          <w:numId w:val="2"/>
        </w:numPr>
        <w:spacing w:after="80" w:line="264" w:lineRule="auto"/>
      </w:pPr>
      <w:r>
        <w:t>Kaggle: 50-character title hard cap (confirmed real constraint from Home Credit's MP3/MP4 pushes, both initially exceeded it)</w:t>
      </w:r>
    </w:p>
    <w:p w14:paraId="2D29D167" w14:textId="77777777" w:rsidR="003061AE" w:rsidRDefault="00000000">
      <w:pPr>
        <w:pStyle w:val="ListParagraph"/>
        <w:numPr>
          <w:ilvl w:val="0"/>
          <w:numId w:val="2"/>
        </w:numPr>
        <w:spacing w:after="80" w:line="264" w:lineRule="auto"/>
      </w:pPr>
      <w:r>
        <w:t>Any Kaggle-published notebook never embeds the author's real local file paths — an env-var fallback only, checked after the native /</w:t>
      </w:r>
      <w:proofErr w:type="spellStart"/>
      <w:r>
        <w:t>kaggle</w:t>
      </w:r>
      <w:proofErr w:type="spellEnd"/>
      <w:r>
        <w:t>/input resolution finds nothing</w:t>
      </w:r>
    </w:p>
    <w:p w14:paraId="38532686" w14:textId="77777777" w:rsidR="003061AE" w:rsidRDefault="00000000">
      <w:pPr>
        <w:pStyle w:val="Heading1"/>
        <w:pBdr>
          <w:bottom w:val="single" w:sz="8" w:space="4" w:color="1F3864"/>
        </w:pBdr>
        <w:spacing w:before="400" w:after="160"/>
      </w:pPr>
      <w:r>
        <w:rPr>
          <w:b/>
          <w:bCs/>
          <w:color w:val="1F3864"/>
          <w:sz w:val="30"/>
          <w:szCs w:val="30"/>
        </w:rPr>
        <w:t>14. Open Decisions Requiring Confirmation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200"/>
      </w:tblGrid>
      <w:tr w:rsidR="003061AE" w14:paraId="0DFD1050"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tcPr>
          <w:p w14:paraId="68F9AECE" w14:textId="77777777" w:rsidR="003061AE" w:rsidRDefault="00000000">
            <w:pPr>
              <w:jc w:val="center"/>
            </w:pPr>
            <w:r>
              <w:rPr>
                <w:b/>
                <w:bCs/>
                <w:color w:val="FFFFFF"/>
                <w:sz w:val="19"/>
                <w:szCs w:val="19"/>
              </w:rPr>
              <w:t>Item</w:t>
            </w:r>
          </w:p>
        </w:tc>
        <w:tc>
          <w:tcPr>
            <w:tcW w:w="5200" w:type="dxa"/>
            <w:shd w:val="clear" w:color="auto" w:fill="1F3864"/>
            <w:tcMar>
              <w:top w:w="80" w:type="dxa"/>
              <w:left w:w="100" w:type="dxa"/>
              <w:bottom w:w="80" w:type="dxa"/>
              <w:right w:w="100" w:type="dxa"/>
            </w:tcMar>
          </w:tcPr>
          <w:p w14:paraId="4DB403A8" w14:textId="77777777" w:rsidR="003061AE" w:rsidRDefault="00000000">
            <w:pPr>
              <w:jc w:val="center"/>
            </w:pPr>
            <w:r>
              <w:rPr>
                <w:b/>
                <w:bCs/>
                <w:color w:val="FFFFFF"/>
                <w:sz w:val="19"/>
                <w:szCs w:val="19"/>
              </w:rPr>
              <w:t>Status</w:t>
            </w:r>
          </w:p>
        </w:tc>
      </w:tr>
      <w:tr w:rsidR="003061AE" w14:paraId="194D5442"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40677D18" w14:textId="77777777" w:rsidR="003061AE" w:rsidRDefault="00000000">
            <w:r>
              <w:rPr>
                <w:color w:val="000000"/>
                <w:sz w:val="19"/>
                <w:szCs w:val="19"/>
              </w:rPr>
              <w:t>Dataset variant</w:t>
            </w:r>
          </w:p>
        </w:tc>
        <w:tc>
          <w:tcPr>
            <w:tcW w:w="5200" w:type="dxa"/>
            <w:shd w:val="clear" w:color="auto" w:fill="F2F2F2"/>
            <w:tcMar>
              <w:top w:w="80" w:type="dxa"/>
              <w:left w:w="100" w:type="dxa"/>
              <w:bottom w:w="80" w:type="dxa"/>
              <w:right w:w="100" w:type="dxa"/>
            </w:tcMar>
          </w:tcPr>
          <w:p w14:paraId="5D36C5C1" w14:textId="77777777" w:rsidR="003061AE" w:rsidRDefault="00000000">
            <w:r>
              <w:rPr>
                <w:color w:val="000000"/>
                <w:sz w:val="19"/>
                <w:szCs w:val="19"/>
              </w:rPr>
              <w:t>RESOLVED — HI-Small for primary build</w:t>
            </w:r>
          </w:p>
        </w:tc>
      </w:tr>
      <w:tr w:rsidR="003061AE" w14:paraId="64FF4710" w14:textId="77777777">
        <w:tblPrEx>
          <w:tblCellMar>
            <w:top w:w="0" w:type="dxa"/>
            <w:bottom w:w="0" w:type="dxa"/>
          </w:tblCellMar>
        </w:tblPrEx>
        <w:tc>
          <w:tcPr>
            <w:tcW w:w="4200" w:type="dxa"/>
            <w:shd w:val="clear" w:color="auto" w:fill="FFFFFF"/>
            <w:tcMar>
              <w:top w:w="80" w:type="dxa"/>
              <w:left w:w="100" w:type="dxa"/>
              <w:bottom w:w="80" w:type="dxa"/>
              <w:right w:w="100" w:type="dxa"/>
            </w:tcMar>
          </w:tcPr>
          <w:p w14:paraId="46A624F8" w14:textId="77777777" w:rsidR="003061AE" w:rsidRDefault="00000000">
            <w:r>
              <w:rPr>
                <w:color w:val="000000"/>
                <w:sz w:val="19"/>
                <w:szCs w:val="19"/>
              </w:rPr>
              <w:t>Per-BP notebook count</w:t>
            </w:r>
          </w:p>
        </w:tc>
        <w:tc>
          <w:tcPr>
            <w:tcW w:w="5200" w:type="dxa"/>
            <w:shd w:val="clear" w:color="auto" w:fill="FFFFFF"/>
            <w:tcMar>
              <w:top w:w="80" w:type="dxa"/>
              <w:left w:w="100" w:type="dxa"/>
              <w:bottom w:w="80" w:type="dxa"/>
              <w:right w:w="100" w:type="dxa"/>
            </w:tcMar>
          </w:tcPr>
          <w:p w14:paraId="6EE51263" w14:textId="77777777" w:rsidR="003061AE" w:rsidRDefault="00000000">
            <w:r>
              <w:rPr>
                <w:color w:val="000000"/>
                <w:sz w:val="19"/>
                <w:szCs w:val="19"/>
              </w:rPr>
              <w:t>RESOLVED — 4 notebooks</w:t>
            </w:r>
          </w:p>
        </w:tc>
      </w:tr>
      <w:tr w:rsidR="003061AE" w14:paraId="48DFC083"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30562E9E" w14:textId="77777777" w:rsidR="003061AE" w:rsidRDefault="00000000">
            <w:r>
              <w:rPr>
                <w:color w:val="000000"/>
                <w:sz w:val="19"/>
                <w:szCs w:val="19"/>
              </w:rPr>
              <w:t>Folder / BP structure</w:t>
            </w:r>
          </w:p>
        </w:tc>
        <w:tc>
          <w:tcPr>
            <w:tcW w:w="5200" w:type="dxa"/>
            <w:shd w:val="clear" w:color="auto" w:fill="F2F2F2"/>
            <w:tcMar>
              <w:top w:w="80" w:type="dxa"/>
              <w:left w:w="100" w:type="dxa"/>
              <w:bottom w:w="80" w:type="dxa"/>
              <w:right w:w="100" w:type="dxa"/>
            </w:tcMar>
          </w:tcPr>
          <w:p w14:paraId="75473C43" w14:textId="77777777" w:rsidR="003061AE" w:rsidRDefault="00000000">
            <w:r>
              <w:rPr>
                <w:color w:val="000000"/>
                <w:sz w:val="19"/>
                <w:szCs w:val="19"/>
              </w:rPr>
              <w:t>RESOLVED — clean rebuild to the 6-BP scaffold</w:t>
            </w:r>
          </w:p>
        </w:tc>
      </w:tr>
      <w:tr w:rsidR="003061AE" w14:paraId="1F5C5298" w14:textId="77777777">
        <w:tblPrEx>
          <w:tblCellMar>
            <w:top w:w="0" w:type="dxa"/>
            <w:bottom w:w="0" w:type="dxa"/>
          </w:tblCellMar>
        </w:tblPrEx>
        <w:tc>
          <w:tcPr>
            <w:tcW w:w="4200" w:type="dxa"/>
            <w:shd w:val="clear" w:color="auto" w:fill="FFFFFF"/>
            <w:tcMar>
              <w:top w:w="80" w:type="dxa"/>
              <w:left w:w="100" w:type="dxa"/>
              <w:bottom w:w="80" w:type="dxa"/>
              <w:right w:w="100" w:type="dxa"/>
            </w:tcMar>
          </w:tcPr>
          <w:p w14:paraId="4AE94A44" w14:textId="77777777" w:rsidR="003061AE" w:rsidRDefault="00000000">
            <w:r>
              <w:rPr>
                <w:color w:val="000000"/>
                <w:sz w:val="19"/>
                <w:szCs w:val="19"/>
              </w:rPr>
              <w:t>Project name</w:t>
            </w:r>
          </w:p>
        </w:tc>
        <w:tc>
          <w:tcPr>
            <w:tcW w:w="5200" w:type="dxa"/>
            <w:shd w:val="clear" w:color="auto" w:fill="FFFFFF"/>
            <w:tcMar>
              <w:top w:w="80" w:type="dxa"/>
              <w:left w:w="100" w:type="dxa"/>
              <w:bottom w:w="80" w:type="dxa"/>
              <w:right w:w="100" w:type="dxa"/>
            </w:tcMar>
          </w:tcPr>
          <w:p w14:paraId="72D2E306" w14:textId="77777777" w:rsidR="003061AE" w:rsidRDefault="00000000">
            <w:r>
              <w:rPr>
                <w:color w:val="000000"/>
                <w:sz w:val="19"/>
                <w:szCs w:val="19"/>
              </w:rPr>
              <w:t xml:space="preserve">RESOLVED — IBM AML </w:t>
            </w:r>
            <w:proofErr w:type="spellStart"/>
            <w:r>
              <w:rPr>
                <w:color w:val="000000"/>
                <w:sz w:val="19"/>
                <w:szCs w:val="19"/>
              </w:rPr>
              <w:t>RiskIQ</w:t>
            </w:r>
            <w:proofErr w:type="spellEnd"/>
          </w:p>
        </w:tc>
      </w:tr>
      <w:tr w:rsidR="003061AE" w14:paraId="3F0EEB35"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33D95CF9" w14:textId="77777777" w:rsidR="003061AE" w:rsidRDefault="00000000">
            <w:r>
              <w:rPr>
                <w:color w:val="000000"/>
                <w:sz w:val="19"/>
                <w:szCs w:val="19"/>
              </w:rPr>
              <w:t>Thermal-protection exact cadence</w:t>
            </w:r>
          </w:p>
        </w:tc>
        <w:tc>
          <w:tcPr>
            <w:tcW w:w="5200" w:type="dxa"/>
            <w:shd w:val="clear" w:color="auto" w:fill="F2F2F2"/>
            <w:tcMar>
              <w:top w:w="80" w:type="dxa"/>
              <w:left w:w="100" w:type="dxa"/>
              <w:bottom w:w="80" w:type="dxa"/>
              <w:right w:w="100" w:type="dxa"/>
            </w:tcMar>
          </w:tcPr>
          <w:p w14:paraId="34D0886F" w14:textId="77777777" w:rsidR="003061AE" w:rsidRDefault="00000000">
            <w:r>
              <w:rPr>
                <w:color w:val="000000"/>
                <w:sz w:val="19"/>
                <w:szCs w:val="19"/>
              </w:rPr>
              <w:t>RESOLVED 2026-09-29 — 12 seconds, user-confirmed</w:t>
            </w:r>
          </w:p>
        </w:tc>
      </w:tr>
      <w:tr w:rsidR="003061AE" w14:paraId="705BF37A" w14:textId="77777777">
        <w:tblPrEx>
          <w:tblCellMar>
            <w:top w:w="0" w:type="dxa"/>
            <w:bottom w:w="0" w:type="dxa"/>
          </w:tblCellMar>
        </w:tblPrEx>
        <w:tc>
          <w:tcPr>
            <w:tcW w:w="4200" w:type="dxa"/>
            <w:shd w:val="clear" w:color="auto" w:fill="FFFFFF"/>
            <w:tcMar>
              <w:top w:w="80" w:type="dxa"/>
              <w:left w:w="100" w:type="dxa"/>
              <w:bottom w:w="80" w:type="dxa"/>
              <w:right w:w="100" w:type="dxa"/>
            </w:tcMar>
          </w:tcPr>
          <w:p w14:paraId="3A6224C6" w14:textId="77777777" w:rsidR="003061AE" w:rsidRDefault="00000000">
            <w:r>
              <w:rPr>
                <w:color w:val="000000"/>
                <w:sz w:val="19"/>
                <w:szCs w:val="19"/>
              </w:rPr>
              <w:t>GitHub repo name</w:t>
            </w:r>
          </w:p>
        </w:tc>
        <w:tc>
          <w:tcPr>
            <w:tcW w:w="5200" w:type="dxa"/>
            <w:shd w:val="clear" w:color="auto" w:fill="FFFFFF"/>
            <w:tcMar>
              <w:top w:w="80" w:type="dxa"/>
              <w:left w:w="100" w:type="dxa"/>
              <w:bottom w:w="80" w:type="dxa"/>
              <w:right w:w="100" w:type="dxa"/>
            </w:tcMar>
          </w:tcPr>
          <w:p w14:paraId="62299592" w14:textId="77777777" w:rsidR="003061AE" w:rsidRDefault="00000000">
            <w:r>
              <w:rPr>
                <w:color w:val="000000"/>
                <w:sz w:val="19"/>
                <w:szCs w:val="19"/>
              </w:rPr>
              <w:t xml:space="preserve">RESOLVED 2026-09-29 — </w:t>
            </w:r>
            <w:proofErr w:type="spellStart"/>
            <w:r>
              <w:rPr>
                <w:color w:val="000000"/>
                <w:sz w:val="19"/>
                <w:szCs w:val="19"/>
              </w:rPr>
              <w:t>IBM_AML_RiskIQ_Enterprise_Suite</w:t>
            </w:r>
            <w:proofErr w:type="spellEnd"/>
            <w:r>
              <w:rPr>
                <w:color w:val="000000"/>
                <w:sz w:val="19"/>
                <w:szCs w:val="19"/>
              </w:rPr>
              <w:t>, user-confirmed</w:t>
            </w:r>
          </w:p>
        </w:tc>
      </w:tr>
    </w:tbl>
    <w:p w14:paraId="12988FAD" w14:textId="77777777" w:rsidR="003061AE" w:rsidRDefault="003061AE">
      <w:pPr>
        <w:spacing w:after="120"/>
      </w:pPr>
    </w:p>
    <w:p w14:paraId="01CC992C" w14:textId="77777777" w:rsidR="003061AE" w:rsidRDefault="00000000">
      <w:pPr>
        <w:spacing w:after="140" w:line="276" w:lineRule="auto"/>
      </w:pPr>
      <w:r>
        <w:t>All open decisions are now resolved. Nothing outstanding blocks Notebook 00 / BP1 build start.</w:t>
      </w:r>
    </w:p>
    <w:p w14:paraId="211CDEBD" w14:textId="77777777" w:rsidR="003061AE" w:rsidRDefault="00000000">
      <w:pPr>
        <w:pStyle w:val="Heading1"/>
        <w:pBdr>
          <w:bottom w:val="single" w:sz="8" w:space="4" w:color="1F3864"/>
        </w:pBdr>
        <w:spacing w:before="400" w:after="160"/>
      </w:pPr>
      <w:r>
        <w:rPr>
          <w:b/>
          <w:bCs/>
          <w:color w:val="1F3864"/>
          <w:sz w:val="30"/>
          <w:szCs w:val="30"/>
        </w:rPr>
        <w:t>15. Lineage &amp; Sources</w:t>
      </w:r>
    </w:p>
    <w:p w14:paraId="6B99C383" w14:textId="77777777" w:rsidR="003061AE" w:rsidRDefault="00000000">
      <w:pPr>
        <w:spacing w:after="140" w:line="276" w:lineRule="auto"/>
      </w:pPr>
      <w:r>
        <w:t xml:space="preserve">Built from the original v1.0 plan (2026-09-23), the real device-verified PROJECT_STRUCTURE_LOCKED.md and LESSONS_LEARNED_APPLIED.md (both already present on-device, predating this session — read and reconciled with, not overwritten wholesale, 2026-09-29), and the standing methodology documented for AMEX </w:t>
      </w:r>
      <w:proofErr w:type="spellStart"/>
      <w:r>
        <w:t>RiskIQ</w:t>
      </w:r>
      <w:proofErr w:type="spellEnd"/>
      <w:r>
        <w:t xml:space="preserve"> and Home Credit </w:t>
      </w:r>
      <w:proofErr w:type="spellStart"/>
      <w:r>
        <w:t>RiskIQ</w:t>
      </w:r>
      <w:proofErr w:type="spellEnd"/>
      <w:r>
        <w:t xml:space="preserve"> (both independently re-read this session). Fraud Shield and Customer360 Navigator remain named as the platforms this project's original folder scaffold was mirrored from 1:1; their detailed build methodology was not independently re-verified in this session beyond that structural match — no dedicated memory record for either exists to check against, honestly noted rather than assumed.</w:t>
      </w:r>
    </w:p>
    <w:sectPr w:rsidR="003061A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2FE4"/>
    <w:multiLevelType w:val="hybridMultilevel"/>
    <w:tmpl w:val="01741004"/>
    <w:lvl w:ilvl="0" w:tplc="E33C1C64">
      <w:start w:val="1"/>
      <w:numFmt w:val="bullet"/>
      <w:lvlText w:val="•"/>
      <w:lvlJc w:val="left"/>
      <w:pPr>
        <w:ind w:left="420" w:hanging="260"/>
      </w:pPr>
    </w:lvl>
    <w:lvl w:ilvl="1" w:tplc="76005FC2">
      <w:start w:val="1"/>
      <w:numFmt w:val="bullet"/>
      <w:lvlText w:val="◦"/>
      <w:lvlJc w:val="left"/>
      <w:pPr>
        <w:ind w:left="840" w:hanging="260"/>
      </w:pPr>
    </w:lvl>
    <w:lvl w:ilvl="2" w:tplc="31D66CFA">
      <w:numFmt w:val="decimal"/>
      <w:lvlText w:val=""/>
      <w:lvlJc w:val="left"/>
    </w:lvl>
    <w:lvl w:ilvl="3" w:tplc="153AC49E">
      <w:numFmt w:val="decimal"/>
      <w:lvlText w:val=""/>
      <w:lvlJc w:val="left"/>
    </w:lvl>
    <w:lvl w:ilvl="4" w:tplc="81A4F918">
      <w:numFmt w:val="decimal"/>
      <w:lvlText w:val=""/>
      <w:lvlJc w:val="left"/>
    </w:lvl>
    <w:lvl w:ilvl="5" w:tplc="AE2EB61E">
      <w:numFmt w:val="decimal"/>
      <w:lvlText w:val=""/>
      <w:lvlJc w:val="left"/>
    </w:lvl>
    <w:lvl w:ilvl="6" w:tplc="3D2C1CEC">
      <w:numFmt w:val="decimal"/>
      <w:lvlText w:val=""/>
      <w:lvlJc w:val="left"/>
    </w:lvl>
    <w:lvl w:ilvl="7" w:tplc="DB7A59CE">
      <w:numFmt w:val="decimal"/>
      <w:lvlText w:val=""/>
      <w:lvlJc w:val="left"/>
    </w:lvl>
    <w:lvl w:ilvl="8" w:tplc="B2AADA08">
      <w:numFmt w:val="decimal"/>
      <w:lvlText w:val=""/>
      <w:lvlJc w:val="left"/>
    </w:lvl>
  </w:abstractNum>
  <w:abstractNum w:abstractNumId="1" w15:restartNumberingAfterBreak="0">
    <w:nsid w:val="20EB1BFA"/>
    <w:multiLevelType w:val="hybridMultilevel"/>
    <w:tmpl w:val="E0EE98A2"/>
    <w:lvl w:ilvl="0" w:tplc="FE76BFC2">
      <w:start w:val="1"/>
      <w:numFmt w:val="bullet"/>
      <w:lvlText w:val="●"/>
      <w:lvlJc w:val="left"/>
      <w:pPr>
        <w:ind w:left="720" w:hanging="360"/>
      </w:pPr>
    </w:lvl>
    <w:lvl w:ilvl="1" w:tplc="1520B874">
      <w:start w:val="1"/>
      <w:numFmt w:val="bullet"/>
      <w:lvlText w:val="○"/>
      <w:lvlJc w:val="left"/>
      <w:pPr>
        <w:ind w:left="1440" w:hanging="360"/>
      </w:pPr>
    </w:lvl>
    <w:lvl w:ilvl="2" w:tplc="DDBC0DBA">
      <w:start w:val="1"/>
      <w:numFmt w:val="bullet"/>
      <w:lvlText w:val="■"/>
      <w:lvlJc w:val="left"/>
      <w:pPr>
        <w:ind w:left="2160" w:hanging="360"/>
      </w:pPr>
    </w:lvl>
    <w:lvl w:ilvl="3" w:tplc="0E147FDE">
      <w:start w:val="1"/>
      <w:numFmt w:val="bullet"/>
      <w:lvlText w:val="●"/>
      <w:lvlJc w:val="left"/>
      <w:pPr>
        <w:ind w:left="2880" w:hanging="360"/>
      </w:pPr>
    </w:lvl>
    <w:lvl w:ilvl="4" w:tplc="FDEE33DE">
      <w:start w:val="1"/>
      <w:numFmt w:val="bullet"/>
      <w:lvlText w:val="○"/>
      <w:lvlJc w:val="left"/>
      <w:pPr>
        <w:ind w:left="3600" w:hanging="360"/>
      </w:pPr>
    </w:lvl>
    <w:lvl w:ilvl="5" w:tplc="14660C0A">
      <w:start w:val="1"/>
      <w:numFmt w:val="bullet"/>
      <w:lvlText w:val="■"/>
      <w:lvlJc w:val="left"/>
      <w:pPr>
        <w:ind w:left="4320" w:hanging="360"/>
      </w:pPr>
    </w:lvl>
    <w:lvl w:ilvl="6" w:tplc="39D0655E">
      <w:start w:val="1"/>
      <w:numFmt w:val="bullet"/>
      <w:lvlText w:val="●"/>
      <w:lvlJc w:val="left"/>
      <w:pPr>
        <w:ind w:left="5040" w:hanging="360"/>
      </w:pPr>
    </w:lvl>
    <w:lvl w:ilvl="7" w:tplc="35BE1990">
      <w:start w:val="1"/>
      <w:numFmt w:val="bullet"/>
      <w:lvlText w:val="●"/>
      <w:lvlJc w:val="left"/>
      <w:pPr>
        <w:ind w:left="5760" w:hanging="360"/>
      </w:pPr>
    </w:lvl>
    <w:lvl w:ilvl="8" w:tplc="2CC86988">
      <w:start w:val="1"/>
      <w:numFmt w:val="bullet"/>
      <w:lvlText w:val="●"/>
      <w:lvlJc w:val="left"/>
      <w:pPr>
        <w:ind w:left="6480" w:hanging="360"/>
      </w:pPr>
    </w:lvl>
  </w:abstractNum>
  <w:num w:numId="1" w16cid:durableId="874848135">
    <w:abstractNumId w:val="1"/>
    <w:lvlOverride w:ilvl="0">
      <w:startOverride w:val="1"/>
    </w:lvlOverride>
  </w:num>
  <w:num w:numId="2" w16cid:durableId="1061171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1AE"/>
    <w:rsid w:val="003061AE"/>
    <w:rsid w:val="005B6C87"/>
    <w:rsid w:val="009C1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D8B80"/>
  <w15:docId w15:val="{EF855E7A-BD8E-4632-9A8D-6790E2E61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4524</Words>
  <Characters>25787</Characters>
  <Application>Microsoft Office Word</Application>
  <DocSecurity>0</DocSecurity>
  <Lines>214</Lines>
  <Paragraphs>60</Paragraphs>
  <ScaleCrop>false</ScaleCrop>
  <Company/>
  <LinksUpToDate>false</LinksUpToDate>
  <CharactersWithSpaces>30251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NANDAGOPAL R</cp:lastModifiedBy>
  <cp:revision>2</cp:revision>
  <dcterms:created xsi:type="dcterms:W3CDTF">2026-09-29T13:52:00Z</dcterms:created>
  <dcterms:modified xsi:type="dcterms:W3CDTF">2026-09-29T13:52:00Z</dcterms:modified>
</cp:coreProperties>
</file>