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b/>
          <w:bCs/>
          <w:color w:val="1F3864"/>
          <w:sz w:val="56"/>
          <w:szCs w:val="56"/>
        </w:rPr>
        <w:t xml:space="preserve">IBM AML RiskIQ</w:t>
      </w:r>
    </w:p>
    <w:p>
      <w:pPr>
        <w:spacing w:after="40"/>
        <w:jc w:val="center"/>
      </w:pPr>
      <w:r>
        <w:rPr>
          <w:b/>
          <w:bCs/>
          <w:color w:val="B8860B"/>
          <w:sz w:val="40"/>
          <w:szCs w:val="40"/>
        </w:rPr>
        <w:t xml:space="preserve">Enterprise Suite</w:t>
      </w:r>
    </w:p>
    <w:p>
      <w:pPr>
        <w:spacing w:after="500"/>
        <w:jc w:val="center"/>
      </w:pPr>
      <w:r>
        <w:rPr>
          <w:color w:val="595959"/>
          <w:sz w:val="30"/>
          <w:szCs w:val="30"/>
        </w:rPr>
        <w:t xml:space="preserve">Master Execution Plan  —  v2.0</w:t>
      </w:r>
    </w:p>
    <w:p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 xml:space="preserve">AI-Driven Anti-Money Laundering &amp; Financial Crime Intelligence Platform</w:t>
      </w:r>
    </w:p>
    <w:p>
      <w:pPr>
        <w:spacing w:after="600"/>
        <w:jc w:val="center"/>
      </w:pPr>
      <w:r>
        <w:rPr>
          <w:b/>
          <w:bCs/>
          <w:color w:val="1F3864"/>
          <w:sz w:val="20"/>
          <w:szCs w:val="20"/>
        </w:rPr>
        <w:t xml:space="preserve">6 Business Problems  |  4 Build Phases  |  30 Notebooks</w:t>
      </w:r>
    </w:p>
    <w:p>
      <w:pPr>
        <w:spacing w:after="20"/>
        <w:jc w:val="center"/>
      </w:pPr>
      <w:r>
        <w:rPr>
          <w:sz w:val="20"/>
          <w:szCs w:val="20"/>
        </w:rPr>
        <w:t xml:space="preserve">Prepared for: Nandagopal</w:t>
      </w:r>
    </w:p>
    <w:p>
      <w:pPr>
        <w:spacing w:after="20"/>
        <w:jc w:val="center"/>
      </w:pPr>
      <w:r>
        <w:rPr>
          <w:sz w:val="20"/>
          <w:szCs w:val="20"/>
        </w:rPr>
        <w:t xml:space="preserve">Date: September 29, 2026</w:t>
      </w:r>
    </w:p>
    <w:p>
      <w:pPr>
        <w:spacing w:after="20"/>
        <w:jc w:val="center"/>
      </w:pPr>
      <w:r>
        <w:rPr>
          <w:i/>
          <w:iCs/>
          <w:color w:val="595959"/>
          <w:sz w:val="18"/>
          <w:szCs w:val="18"/>
        </w:rPr>
        <w:t xml:space="preserve">Supersedes v1.0 (September 23, 2026) on every conflicting point</w:t>
      </w:r>
    </w:p>
    <w:p>
      <w:pPr>
        <w:spacing w:after="20"/>
        <w:jc w:val="center"/>
      </w:pPr>
      <w:r>
        <w:rPr>
          <w:i/>
          <w:iCs/>
          <w:color w:val="595959"/>
          <w:sz w:val="18"/>
          <w:szCs w:val="18"/>
        </w:rPr>
        <w:t xml:space="preserve">Methodology mirrored from: AMEX RiskIQ, Home Credit RiskIQ, Fraud Shield, Customer360 Navigator Enterprise Suite</w:t>
      </w:r>
    </w:p>
    <w:p>
      <w:pPr>
        <w:pageBreakBefore/>
      </w:pP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40" w:line="276"/>
      </w:pPr>
      <w:r>
        <w:rPr>
          <w:sz w:val="21"/>
          <w:szCs w:val="21"/>
        </w:rPr>
        <w:t xml:space="preserve">This plan locks in a 6-Business-Problem scope, replacing v1.0's 8-BP draft after a real feasibility review against the actual dataset: each of the 6 BPs here has independent, real ground truth or a fully computable structural signal in the IBM AML dataset — no proxy labels, no unvalidated composites.</w:t>
      </w:r>
    </w:p>
    <w:p>
      <w:pPr>
        <w:spacing w:after="140" w:line="276"/>
      </w:pPr>
      <w:r>
        <w:rPr>
          <w:sz w:val="21"/>
          <w:szCs w:val="21"/>
        </w:rPr>
        <w:t xml:space="preserve">Four BPs from the original draft were dropped on that review: Account/Entity AML Risk Scoring and Alert Escalation/SAR-Filing Prediction (both lack an independent ground-truth label in this dataset — only Is Laundering exists), GenAI SAR Narrative Assistant (a generation task with nothing to validate output against), and Alert Prioritization &amp; Case Decision Engine (a composite/policy layer, not an independently trained model). Two BPs were added because the dataset directly supports them and they are real, high-priority named functions at top-tier banks: Structuring/Smurfing Detection and Correspondent Banking &amp; Cross-Border Wire Risk.</w:t>
      </w:r>
    </w:p>
    <w:p>
      <w:pPr>
        <w:spacing w:after="140" w:line="276"/>
      </w:pPr>
      <w:r>
        <w:rPr>
          <w:sz w:val="21"/>
          <w:szCs w:val="21"/>
        </w:rPr>
        <w:t xml:space="preserve">Every standing rule from the four prior platforms carries forward unchanged: zero-fabrication, the Claude execution-boundary rule, WARP (extended here with thermal protection), HYPER, the 6-Gate SOP mapped to CRISP-DM, the two-gate verdict architecture, and the Evidence Ledger. Fifteen concrete, real-bug-derived lessons from the AMEX and Home Credit builds are consolidated in LESSONS_LEARNED_APPLIED.md at the project root and referenced throughout rather than repeated in full.</w:t>
      </w:r>
    </w:p>
    <w:p>
      <w:pPr>
        <w:pBdr>
          <w:left w:val="single" w:color="B8860B" w:sz="16" w:space="8"/>
        </w:pBdr>
        <w:shd w:fill="FBF1DC" w:color="auto" w:val="clear"/>
        <w:spacing w:after="160" w:before="60"/>
        <w:ind w:left="120"/>
      </w:pPr>
      <w:r>
        <w:rPr>
          <w:i/>
          <w:iCs/>
          <w:color w:val="5B4300"/>
          <w:sz w:val="20"/>
          <w:szCs w:val="20"/>
        </w:rPr>
        <w:t xml:space="preserve">FLAG — This is v2.0 of the plan. v1.0 (2026-09-23) proposed the 8-BP scope as an unconfirmed default; it has since been reviewed problem-by-problem against real dataset ground-truth availability and cross-checked against real AML terminology from primary regulatory sources. This version is the confirmed, final scope.</w:t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2. Confirmed Foundations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2.1 Dataset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</w:t>
            </w:r>
          </w:p>
        </w:tc>
        <w:tc>
          <w:tcPr>
            <w:tcW w:type="dxa" w:w="6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Kaggle — “IBM Transactions for Anti Money Laundering (AML)” (ealtman2019)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Provenance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IBM Research / Altman et al., NeurIPS 2023 (arXiv:2306.16424)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Nature</w:t>
            </w:r>
          </w:p>
        </w:tc>
        <w:tc>
          <w:tcPr>
            <w:tcW w:type="dxa" w:w="6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Fully synthetic transaction data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Variants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total: HI-Small, HI-Medium, HI-Large, LI-Small, LI-Medium, LI-Large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Confirmed genuine on-device</w:t>
            </w:r>
          </w:p>
        </w:tc>
        <w:tc>
          <w:tcPr>
            <w:tcW w:type="dxa" w:w="6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C:\Users\rnand\Downloads\IBM AML RISKIQ DATASET\ — real headers verified for all 3 file types per variant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Row-count cross-check vs. published paper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HI-Small, LI-Small, HI-Medium, LI-Medium: near-exact match to Table 4. HI-Large / LI-Large: not independently row-counted (check interrupted, not retried)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schema (Trans.csv)</w:t>
            </w:r>
          </w:p>
        </w:tc>
        <w:tc>
          <w:tcPr>
            <w:tcW w:type="dxa" w:w="6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Timestamp, From Bank, Account, To Bank, Account.1, Amount Received, Receiving Currency, Amount Paid, Payment Currency, Payment Format, Is Laundering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schema (accounts.csv)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 Name, Bank ID, Account Number, Entity ID, Entity Name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Typologies (Patterns.txt, real ground truth)</w:t>
            </w:r>
          </w:p>
        </w:tc>
        <w:tc>
          <w:tcPr>
            <w:tcW w:type="dxa" w:w="6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8: fan-out, fan-in, gather-scatter, scatter-gather, cycle, random, bipartite, stack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target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HI-Small for all primary development — config-driven re-point to Medium/Large once proven correct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2.2 Environment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Project root: C:\Users\rnand\Documents\IBM_AML_RiskIQ_Enterprise_Suite\ (Windows, connected as the “Documents” folder)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Folder structure re-locked 2026-09-29 to the 6-BP scope — see PROJECT_STRUCTURE_LOCKED.md for the full layout and the no-rename-after-first-write rule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src/utils/ is scaffolded (folder + README only) but not yet populated with real code — Notebook 00 and BP1 Notebook 1 will deliver the first real project_root.py and performance_setup.py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Top-level layout: docs/, data/{raw,processed,external}, notebooks/, src/{typology,features,models,reporting,utils}, tests/, models/, reports/, powerbi/, configs/, .github/workflows/, logs/, github_repo/ (staged push mirror), kaggle/, linkedin/</w:t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3. Business Problem Portfolio — 6 BPs, All Independently Ground-Truth-Verifiable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300"/>
        <w:gridCol w:w="2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BP</w:t>
            </w:r>
          </w:p>
        </w:tc>
        <w:tc>
          <w:tcPr>
            <w:tcW w:type="dxa" w:w="3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Business Problem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Real-world name (verified)</w:t>
            </w:r>
          </w:p>
        </w:tc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Ground truth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BP1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Transaction Monitoring &amp; Suspicious Activity Detection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“Transaction monitoring system” (Fed consent order, AmEx Bank Int'l)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 Laundering — real, direct label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BP2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Typology &amp; Red-Flag Pattern Detection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“Red flags” (FinCEN assessment, JPMorgan Chase)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Patterns.txt — real, 8 typologies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BP3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Transaction Network &amp; Graph Intelligence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independently confirmed as AMEX/JPM-specific term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 graph structure — real, no label needed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BP4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Structuring &amp; Smurfing Detection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BSA structuring statute, 31 U.S.C. §5324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Amount/timing patterns vs. Is Laundering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BP5</w:t>
            </w:r>
          </w:p>
        </w:tc>
        <w:tc>
          <w:tcPr>
            <w:tcW w:type="dxa" w:w="3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Correspondent Banking &amp; Cross-Border Wire Risk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Industry-wide priority post-HSBC/SCB/Danske actions</w:t>
            </w:r>
          </w:p>
        </w:tc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From/To Bank + country-tagged accounts.csv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BP6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Enterprise AML Compliance Monitoring &amp; Regulatory Reporting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“AML Compliance Program” (JPMorgan Chase official page)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Pure rollup of BP1–BP5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3.1 Dropped from the original 8-BP draft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Account/Entity AML Risk Scoring — real terminology at AMEX (“customer assessment risk-ratings”), but accounts.csv carries no independent risk label; would be a proxy built by aggregating BP1's own label upward, not independently validated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Alert Escalation / SAR-Filing Prediction — no independent SAR-filed/not-filed label exists anywhere in this dataset, only Is Laundering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GenAI SAR Narrative Assistant — a generation task with no ground truth to validate output against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Alert Prioritization &amp; Case Decision Engine — a composite/policy layer over the other BPs' scores, not an independently trained or validated model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3.2 Phase grouping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400"/>
        <w:gridCol w:w="4900"/>
      </w:tblGrid>
      <w:tr>
        <w:trPr>
          <w:tblHeader/>
        </w:trPr>
        <w:tc>
          <w:tcPr>
            <w:tcW w:type="dxa" w:w="3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BPs</w:t>
            </w:r>
          </w:p>
        </w:tc>
        <w:tc>
          <w:tcPr>
            <w:tcW w:type="dxa" w:w="4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 — Detection Foundation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BP1, BP2</w:t>
            </w:r>
          </w:p>
        </w:tc>
        <w:tc>
          <w:tcPr>
            <w:tcW w:type="dxa" w:w="4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upstream dependency; both train directly against real dataset labels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2 — Network &amp; Specialized Typology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BP3, BP4</w:t>
            </w:r>
          </w:p>
        </w:tc>
        <w:tc>
          <w:tcPr>
            <w:tcW w:type="dxa" w:w="4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BP3 soft-depends on BP1's entity scores; BP4 reuses BP2's typology groundwork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3 — Cross-Border Intelligence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BP5</w:t>
            </w:r>
          </w:p>
        </w:tc>
        <w:tc>
          <w:tcPr>
            <w:tcW w:type="dxa" w:w="4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Independently trainable, consumes BP1–BP4 as contextual features where useful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4 — Executive &amp; Regulatory Intelligence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BP6</w:t>
            </w:r>
          </w:p>
        </w:tc>
        <w:tc>
          <w:tcPr>
            <w:tcW w:type="dxa" w:w="4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Pure rollup, built last, reads every prior BP's own summary JSON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4. Per-Business-Problem Notebook Lifecycle</w:t>
      </w:r>
    </w:p>
    <w:p>
      <w:pPr>
        <w:spacing w:after="140" w:line="276"/>
      </w:pPr>
      <w:r>
        <w:rPr>
          <w:sz w:val="21"/>
          <w:szCs w:val="21"/>
        </w:rPr>
        <w:t xml:space="preserve">4 notebooks per BP — confirmed choice, AMEX pattern, matches the already-drafted BP1 Notebook 1.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67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Notebook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 Understanding &amp; Policy</w:t>
            </w:r>
          </w:p>
        </w:tc>
        <w:tc>
          <w:tcPr>
            <w:tcW w:type="dxa" w:w="6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Frames the business question, defines outcome-free policy/thresholds, documents every ASSUMPTION with a source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Engineering &amp; Modeling</w:t>
            </w:r>
          </w:p>
        </w:tc>
        <w:tc>
          <w:tcPr>
            <w:tcW w:type="dxa" w:w="6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Builds features (incl. graph features for BP3), runs the model-benchmark spec (Section 5), selects champion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Statistical Validation &amp; Deployment</w:t>
            </w:r>
          </w:p>
        </w:tc>
        <w:tc>
          <w:tcPr>
            <w:tcW w:type="dxa" w:w="6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Bootstrap CI, calibration, leakage/boundary checks, deployable FastAPI scorer + live self-test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Compliance-Impact Reporting &amp; Packaging</w:t>
            </w:r>
          </w:p>
        </w:tc>
        <w:tc>
          <w:tcPr>
            <w:tcW w:type="dxa" w:w="6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That BP's own executive rollup: five-format package (Section 7)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4.1 Standing lifecycle rules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Zero-fabrication and the execution-boundary rule (Claude writes notebooks/src only, never executes — not even a fixture — in the sandbox; all real numbers come from the user's own run)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One markdown intro cell + one code cell per notebook; idempotent overwrite-in-place outputs; RANDOM_SEED = 42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Two-gate verdict architecture: structural [CHECK] gate vs. a separately named statistical-robustness gate, never forced onto an ill-fitting test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configure_performance() called as the literal first executable step, before any heavy import (Lesson #5)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 stale __pycache__ check after every src/ change (Lesson #6); every computed ratio gets an explicit undefined-count check, never a silent impute (Lesson #7)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 BP's report package is gated only on the structural [CHECK] gate, never on the statistical-robustness verdict (Lesson #14); no threshold is ever quietly tuned toward a target verdict (Lesson #15)</w:t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5. Model Benchmark Specification — AML-Adapted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5.1 Imbalance handling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PR-AUC (never ROC-AUC alone) as the primary champion-selection metric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Cost-sensitive class weighting, never naive resampling as the default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Decision threshold from a real cost curve, not the default 0.5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5.2 Candidate set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Stage A (screen, real single split): LightGBM, XGBoost, CatBoost, Random Forest, plus Isolation Forest as an unsupervised comparator (reported, never blended in)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Stage B (5-fold CV, top-2 supervised): champion = higher mean CV PR-AUC; SHAP + LIME for the champion only; formal CV report with per-fold variance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5.3 Graph / network leakage discipline (Lesson #11)</w:t>
      </w:r>
    </w:p>
    <w:p>
      <w:pPr>
        <w:spacing w:after="140" w:line="276"/>
      </w:pPr>
      <w:r>
        <w:rPr>
          <w:sz w:val="21"/>
          <w:szCs w:val="21"/>
        </w:rPr>
        <w:t xml:space="preserve">Every graph feature (BP3, and any BP reusing an entity-level graph feature) is computed only from the train-time snapshot; no test-period edges, aggregates, or community-detection output may leak into training features. Enforced as its own structural [CHECK] gate, documented per-BP in that BP's configs/bpN_*.yaml.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5.4 Deployable scoring services (AMEX Phase-2-hardening pattern)</w:t>
      </w:r>
    </w:p>
    <w:p>
      <w:pPr>
        <w:spacing w:after="140" w:line="276"/>
      </w:pPr>
      <w:r>
        <w:rPr>
          <w:sz w:val="21"/>
          <w:szCs w:val="21"/>
        </w:rPr>
        <w:t xml:space="preserve">Each BP that reaches Notebook 3 gets a FastAPI service wrapping its real scoring function, verified bit-identical to direct computation, with a self-test that checks every real row it can reach — never one sample row (Lesson #4) — and reports a magnitude column on any mismatch. Any weighted-sum reconstruction must replicate the source notebook's real iteration order exactly (Lesson #3); any consumed value must be full-float-precision, never display-rounded or independently recomputed (Lesson #2).</w:t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6. Regulatory &amp; Compliance Framework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3700"/>
      </w:tblGrid>
      <w:tr>
        <w:trPr>
          <w:tblHeader/>
        </w:trPr>
        <w:tc>
          <w:tcPr>
            <w:tcW w:type="dxa" w:w="5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3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Applies to</w:t>
            </w:r>
          </w:p>
        </w:tc>
      </w:tr>
      <w:tr>
        <w:tc>
          <w:tcPr>
            <w:tcW w:type="dxa" w:w="5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Bank Secrecy Act (31 U.S.C. §5311)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Platform-wide</w:t>
            </w:r>
          </w:p>
        </w:tc>
      </w:tr>
      <w:tr>
        <w:tc>
          <w:tcPr>
            <w:tcW w:type="dxa" w:w="5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BSA structuring statute (31 U.S.C. §5324)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BP4</w:t>
            </w:r>
          </w:p>
        </w:tc>
      </w:tr>
      <w:tr>
        <w:tc>
          <w:tcPr>
            <w:tcW w:type="dxa" w:w="5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PATRIOT Act §326 (CIP), §314(a)/(b)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BP1, BP5</w:t>
            </w:r>
          </w:p>
        </w:tc>
      </w:tr>
      <w:tr>
        <w:tc>
          <w:tcPr>
            <w:tcW w:type="dxa" w:w="5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FinCEN SAR filing requirements (31 CFR §1020.320)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BP1, BP2 (evidence only — not a SAR-prediction model)</w:t>
            </w:r>
          </w:p>
        </w:tc>
      </w:tr>
      <w:tr>
        <w:tc>
          <w:tcPr>
            <w:tcW w:type="dxa" w:w="5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OFAC sanctions-list screening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BP1, BP5</w:t>
            </w:r>
          </w:p>
        </w:tc>
      </w:tr>
      <w:tr>
        <w:tc>
          <w:tcPr>
            <w:tcW w:type="dxa" w:w="5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FFIEC BSA/AML Examination Manual (5 pillars)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Platform-wide</w:t>
            </w:r>
          </w:p>
        </w:tc>
      </w:tr>
      <w:tr>
        <w:tc>
          <w:tcPr>
            <w:tcW w:type="dxa" w:w="5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FATF 40 Recommendations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BP2, BP6</w:t>
            </w:r>
          </w:p>
        </w:tc>
      </w:tr>
      <w:tr>
        <w:tc>
          <w:tcPr>
            <w:tcW w:type="dxa" w:w="5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Wolfsberg AML Principles (correspondent banking)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BP5, BP6</w:t>
            </w:r>
          </w:p>
        </w:tc>
      </w:tr>
      <w:tr>
        <w:tc>
          <w:tcPr>
            <w:tcW w:type="dxa" w:w="5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 11-7 Model Risk Management</w:t>
            </w:r>
          </w:p>
        </w:tc>
        <w:tc>
          <w:tcPr>
            <w:tcW w:type="dxa" w:w="3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model-bearing BP</w:t>
            </w:r>
          </w:p>
        </w:tc>
      </w:tr>
      <w:tr>
        <w:tc>
          <w:tcPr>
            <w:tcW w:type="dxa" w:w="5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GDPR / cross-border data handling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BP3, BP5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6.1 Fairness / bias testing</w:t>
      </w:r>
    </w:p>
    <w:p>
      <w:pPr>
        <w:spacing w:after="140" w:line="276"/>
      </w:pPr>
      <w:r>
        <w:rPr>
          <w:sz w:val="21"/>
          <w:szCs w:val="21"/>
        </w:rPr>
        <w:t xml:space="preserve">Unchanged from v1.0: the confirmed schema carries no demographic fields, so an ECOA/FCRA-style disparate-impact test is not computable here. Flagged “Not Possible — Data Limitation,” never silently skipped.</w:t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7. Deliverables Package per Business Problem</w:t>
      </w:r>
    </w:p>
    <w:p>
      <w:pPr>
        <w:spacing w:after="140" w:line="276"/>
      </w:pPr>
      <w:r>
        <w:rPr>
          <w:sz w:val="21"/>
          <w:szCs w:val="21"/>
        </w:rPr>
        <w:t xml:space="preserve">Every BP closes with a five-format executive package, generated by the shared src/reporting/report_builder.py module (Home Credit's proven pattern — built once, imported by every BP, never hand-coded per notebook):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Standalone deployable FastAPI scoring service (Section 5.4)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Word report + Excel workbook (real formulas, an Assumptions sheet built first with yellow fill / blue font for every hardcoded input, AutoFilter, recalc-verified)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Interactive HTML dashboard — Chart.js bundled locally, never CDN-loaded; real slicers/filters, KPI tiles, vanilla-JS interactivity, not static images; the dataviz skill's validated CVD-tested palette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PowerPoint executive deck (board/investigator-briefing version of the same real numbers)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PDF export, rendered from the Word report or deck — never a separately authored source of numbers</w:t>
      </w:r>
    </w:p>
    <w:p>
      <w:pPr>
        <w:spacing w:after="140" w:line="276"/>
      </w:pPr>
      <w:r>
        <w:rPr>
          <w:sz w:val="21"/>
          <w:szCs w:val="21"/>
        </w:rPr>
        <w:t xml:space="preserve">Metrics reframed to compliance-impact terms: false-positive reduction (investigator hours saved), true-positive/typology-confirmation uplift, alert-to-case conversion ratio where applicable, illustrative regulatory-exposure-avoidance explicitly labeled ASSUMPTION. Dollar figures always with B/M shorthand. MODEL_CARD.md + CHANGELOG.md per BP. Docker packaging per BP with the build context documented in the Dockerfile header and MODEL_CARD.md.</w:t>
      </w:r>
    </w:p>
    <w:p>
      <w:pPr>
        <w:pBdr>
          <w:left w:val="single" w:color="B8860B" w:sz="16" w:space="8"/>
        </w:pBdr>
        <w:shd w:fill="FBF1DC" w:color="auto" w:val="clear"/>
        <w:spacing w:after="160" w:before="60"/>
        <w:ind w:left="120"/>
      </w:pPr>
      <w:r>
        <w:rPr>
          <w:i/>
          <w:iCs/>
          <w:color w:val="5B4300"/>
          <w:sz w:val="20"/>
          <w:szCs w:val="20"/>
        </w:rPr>
        <w:t xml:space="preserve">FLAG — The moment a BP's HTML dashboard is committed to github_repo/, that BP's own README and the root README both get a “Live Dashboard” link added immediately — GitHub's file browser only shows raw source for .html; only a linked GitHub Pages URL renders it (Lesson #13).</w:t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8. Executive Rollup Architecture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Per-BP rollup: each BP's own Notebook 4 is that problem's executive rollup — its own five-format package, not a raw results dump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Platform-wide rollup: 4 phase-level rollup notebooks + 1 platform-level master rollup, pure pass-throughs reading each BP's own already-computed summary JSON, recomputing nothing</w:t>
      </w:r>
    </w:p>
    <w:p>
      <w:pPr>
        <w:spacing w:after="140" w:line="276"/>
      </w:pPr>
      <w:r>
        <w:rPr>
          <w:sz w:val="21"/>
          <w:szCs w:val="21"/>
        </w:rPr>
        <w:t xml:space="preserve">Both the phase-level rollups and the platform-level master rollup ship the identical five-format package used at BP level, scaled to phase-wide and platform-wide numbers.</w:t>
      </w:r>
    </w:p>
    <w:p>
      <w:pPr>
        <w:spacing w:after="140" w:line="276"/>
      </w:pPr>
      <w:r>
        <w:rPr>
          <w:sz w:val="21"/>
          <w:szCs w:val="21"/>
        </w:rPr>
        <w:t xml:space="preserve">Three financial categories never blended, in every rollup: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BENEFIT — summed into a headline run-rate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COST CONTEXT — informational only, never summed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PORTFOLIO SCALE — volume context only</w:t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9. WARP — Resource Governance (Extended: Thermal Protection)</w:t>
      </w:r>
    </w:p>
    <w:p>
      <w:pPr>
        <w:spacing w:after="140" w:line="276"/>
      </w:pPr>
      <w:r>
        <w:rPr>
          <w:sz w:val="21"/>
          <w:szCs w:val="21"/>
        </w:rPr>
        <w:t xml:space="preserve">Unchanged core: configure_performance() sets a hardware-detected thread ceiling via env vars (OMP_NUM_THREADS, OPENBLAS_NUM_THREADS, MKL_NUM_THREADS, NUMEXPR_NUM_THREADS, POLARS_MAX_THREADS, RAYON_NUM_THREADS) before any heavy import — a safety CAP at ~92% of logical cores and ~92% of RAM, never 100%, never a floor to force by padding workload. No GPU/NPU path exists in this stack for WARP to activate.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9.1 New — thermal protection</w:t>
      </w:r>
    </w:p>
    <w:p>
      <w:pPr>
        <w:spacing w:after="140" w:line="276"/>
      </w:pPr>
      <w:r>
        <w:rPr>
          <w:sz w:val="21"/>
          <w:szCs w:val="21"/>
        </w:rPr>
        <w:t xml:space="preserve">Added at the user's explicit request: a thermal_checkpoint() context manager in performance_setup.py inserts a real time.sleep(12) pause (midpoint of the requested 10–15s range — an explicit ASSUMPTION, flagged for correction) after any operation tagged heavy: a full CSV/Parquet load, a model .fit() call, a graph-construction step. Not applied after every cell — only after genuinely heavy operations. This code runs on the user's machine when the notebook runs; Claude never executes it. Not yet written to disk as of this plan's date — queued as part of Notebook 00's build.</w:t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10. HYPER — Delivery Acceleration</w:t>
      </w:r>
    </w:p>
    <w:p>
      <w:pPr>
        <w:spacing w:after="140" w:line="276"/>
      </w:pPr>
      <w:r>
        <w:rPr>
          <w:sz w:val="21"/>
          <w:szCs w:val="21"/>
        </w:rPr>
        <w:t xml:space="preserve">10 techniques adopted, 2 excepted — carried from AMEX's Hypersonic pass (full detail in LESSONS_LEARNED_APPLIED.md, Lesson #12):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One master notebook template cloned per BP; the same Dockerfile/CI workflow/Makefile/pyproject.toml reused across all 6 BPs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Notebook-writing, infra, and API/testing run as parallel work streams; batched commits across several notebooks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One parametric notebook driven by configs/bpN_*.yaml; a shared src/ component library built once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Auto-generated per-BP docs from docstrings; pre-commit hooks rejecting bad commits before push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Parallel CI jobs; a per-BP incremental-validation gate before the next BP starts</w:t>
      </w:r>
    </w:p>
    <w:p>
      <w:pPr>
        <w:pBdr>
          <w:left w:val="single" w:color="B8860B" w:sz="16" w:space="8"/>
        </w:pBdr>
        <w:shd w:fill="FBF1DC" w:color="auto" w:val="clear"/>
        <w:spacing w:after="160" w:before="60"/>
        <w:ind w:left="120"/>
      </w:pPr>
      <w:r>
        <w:rPr>
          <w:i/>
          <w:iCs/>
          <w:color w:val="5B4300"/>
          <w:sz w:val="20"/>
          <w:szCs w:val="20"/>
        </w:rPr>
        <w:t xml:space="preserve">FLAG — Excepted (never applied on this project): smoke-test-only as a substitute for full coverage — this platform's tests stay full/bit-exact; unverified CLI scaffolding tools — hand-written instead.</w:t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11. Project Structure &amp; Governance</w:t>
      </w:r>
    </w:p>
    <w:p>
      <w:pPr>
        <w:spacing w:after="140" w:line="276"/>
      </w:pPr>
      <w:r>
        <w:rPr>
          <w:sz w:val="21"/>
          <w:szCs w:val="21"/>
        </w:rPr>
        <w:t xml:space="preserve">Folder layout: see PROJECT_STRUCTURE_LOCKED.md, re-locked 2026-09-29 to the 6-BP scope. Governance files at project root, added 2026-09-29 to match AMEX's Phase-2-hardening “Global Standard” pattern: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.github/ISSUE_TEMPLATE/ (bug_report, feature_request, model_improvement)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.github/PULL_REQUEST_TEMPLATE.md, pyproject.toml, Makefile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BENCHMARKS.md — consolidated real baseline-vs-model comparisons, populated only from real run numbers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.pre-commit-config.yaml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CI split into ci.yml (lint/test/notebook-syntax) and code-quality.yml (bandit security scan of src/ — extra weight given AML data sensitivity)</w:t>
      </w:r>
    </w:p>
    <w:p>
      <w:pPr>
        <w:spacing w:after="140" w:line="276"/>
      </w:pPr>
      <w:r>
        <w:rPr>
          <w:sz w:val="21"/>
          <w:szCs w:val="21"/>
        </w:rPr>
        <w:t xml:space="preserve">requirements.txt updated 2026-09-29: removed the now-dead GenAI/NLP stack (spacy, sentence-transformers, transformers, tokenizers); added python-pptx (was missing despite the five-format package requiring it), lime, imbalanced-learn, pytest-cov, bandit.</w:t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12. CRISP-DM / AGILE / SMART / 6-Gate SOP</w:t>
      </w:r>
    </w:p>
    <w:p>
      <w:pPr>
        <w:spacing w:after="140" w:line="276"/>
      </w:pPr>
      <w:r>
        <w:rPr>
          <w:sz w:val="21"/>
          <w:szCs w:val="21"/>
        </w:rPr>
        <w:t xml:space="preserve">Each BP notebook lifecycle maps to CRISP-DM: Notebook 1 = Business Understanding; Notebook 2 = Data Preparation + Modeling; Notebook 3 = Evaluation + Deployment; Notebook 4 = compliance-specific reporting layered on top. The 6-Gate SOP (Gate 1 Business Understanding through Gate 6 Production Packaging/Governance) is the same governance overlay used on Home Credit, tracked per BP in the Evidence Ledger.</w:t>
      </w:r>
    </w:p>
    <w:p>
      <w:pPr>
        <w:spacing w:after="140" w:line="276"/>
      </w:pPr>
      <w:r>
        <w:rPr>
          <w:sz w:val="21"/>
          <w:szCs w:val="21"/>
        </w:rPr>
        <w:t xml:space="preserve">AGILE sequencing: each BP is its own sprint-sized unit of work, one BP completed and validated before the next starts. SMART framing applies to every headline finding in every BP's Notebook 4: specific (a named metric), measurable (a real computed number), achievable (grounded in what the dataset can actually support), relevant (tied to a real regulatory or operational driver), time-bound (framed against a stated run-rate or reporting period).</w:t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13. GitHub / Kaggle Packaging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git init/commit never happens inside the mounted Documents folder (fuseblk blocks the unlink git's object store needs — Lesson #9); content is staged in github_repo/, then committed and pushed from a real local disk path outside any mounted/proxied folder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 GitHub PAT is verified via a non-empty x-oauth-scopes header containing “repo” before use (Lesson #10), and revoked after the push completes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Kaggle: 50-character title hard cap (confirmed real constraint from Home Credit's MP3/MP4 pushes, both initially exceeded it)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Any Kaggle-published notebook never embeds the author's real local file paths — an env-var fallback only, checked after the native /kaggle/input resolution finds nothing</w:t>
      </w:r>
    </w:p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14. Open Decisions Requiring Confirmation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 variant</w:t>
            </w:r>
          </w:p>
        </w:tc>
        <w:tc>
          <w:tcPr>
            <w:tcW w:type="dxa" w:w="5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RESOLVED — HI-Small for primary build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Per-BP notebook count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RESOLVED — 4 notebooks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Folder / BP structure</w:t>
            </w:r>
          </w:p>
        </w:tc>
        <w:tc>
          <w:tcPr>
            <w:tcW w:type="dxa" w:w="5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RESOLVED — clean rebuild to the 6-BP scaffold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RESOLVED — IBM AML RiskIQ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Thermal-protection exact cadence</w:t>
            </w:r>
          </w:p>
        </w:tc>
        <w:tc>
          <w:tcPr>
            <w:tcW w:type="dxa" w:w="5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— 12-second pause is Claude's ASSUMPTION; confirm or correct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repo name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— proposed IBM_AML_RiskIQ_Enterprise_Suite, not yet reconfirmed against the 6-BP scope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400"/>
      </w:pPr>
      <w:r>
        <w:rPr>
          <w:b/>
          <w:bCs/>
          <w:color w:val="1F3864"/>
          <w:sz w:val="30"/>
          <w:szCs w:val="30"/>
        </w:rPr>
        <w:t xml:space="preserve">15. Lineage &amp; Sources</w:t>
      </w:r>
    </w:p>
    <w:p>
      <w:pPr>
        <w:spacing w:after="140" w:line="276"/>
      </w:pPr>
      <w:r>
        <w:rPr>
          <w:sz w:val="21"/>
          <w:szCs w:val="21"/>
        </w:rPr>
        <w:t xml:space="preserve">Built from the original v1.0 plan (2026-09-23), the real device-verified PROJECT_STRUCTURE_LOCKED.md and LESSONS_LEARNED_APPLIED.md (both already present on-device, predating this session — read and reconciled with, not overwritten wholesale, 2026-09-29), and the standing methodology documented for AMEX RiskIQ and Home Credit RiskIQ (both independently re-read this session). Fraud Shield and Customer360 Navigator remain named as the platforms this project's original folder scaffold was mirrored from 1:1; their detailed build methodology was not independently re-verified in this session beyond that structural match — no dedicated memory record for either exists to check against, honestly noted rather than assumed.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2026-09-29T11:22:17.712Z</dcterms:created>
  <dcterms:modified xsi:type="dcterms:W3CDTF">2026-09-29T11:22:17.726Z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