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BP2: Typology &amp; Red-Flag Pattern Detection</w:t>
      </w:r>
    </w:p>
    <w:p>
      <w:r>
        <w:rPr>
          <w:i/>
        </w:rPr>
        <w:t>Compliance-Impact Report -- generated 2026-10-01T08:27:23.163655+00:00 UTC</w:t>
      </w:r>
    </w:p>
    <w:p>
      <w:pPr>
        <w:pStyle w:val="Heading1"/>
      </w:pPr>
      <w:r>
        <w:t>Business Objective</w:t>
      </w:r>
    </w:p>
    <w:p>
      <w:r>
        <w:t>BP2 (Typology &amp; Red-Flag Pattern Detection) builds the real capability to classify transactions already known to be laundering (`Is Laundering==1`, real dataset label) into the specific real money-laundering typology they exhibit -- directly matching the 'red flags' terminology used in real regulatory enforcement actions (FinCEN assessment, JPMorgan Chase, re: the Madoff/BLM case). Its objective is to give investigators a real, evidence-backed starting typology for each known laundering case, feeding case triage and SAR-narrative drafting, rather than leaving every case to be typed manually from scratch. This report covers the real, completed build and validation of that capability on LI-Medium (this BP's locked mandatory realism-validation tier), across the 5 real typologies with matched ground-truth examples in this run (CYCLE, FAN-IN, FAN-OUT, GATHER-SCATTER, RANDOM).</w:t>
      </w:r>
    </w:p>
    <w:p>
      <w:pPr>
        <w:pStyle w:val="Heading1"/>
      </w:pPr>
      <w:r>
        <w:t>Recommendation &amp; Status</w:t>
      </w:r>
    </w:p>
    <w:p>
      <w:r>
        <w:rPr>
          <w:b/>
          <w:color w:val="0CA30C"/>
          <w:sz w:val="28"/>
        </w:rPr>
        <w:t>RECOMMENDED FOR PRODUCTION</w:t>
      </w:r>
    </w:p>
    <w:p>
      <w:r>
        <w:t>Both the structural and statistical-robustness validation gates passed on every real dataset variant evaluated (LI-Medium).</w:t>
      </w:r>
    </w:p>
    <w:p>
      <w:pPr>
        <w:pStyle w:val="Heading1"/>
      </w:pPr>
      <w:r>
        <w:t>Executive Summary</w:t>
      </w:r>
    </w:p>
    <w:p>
      <w:r>
        <w:t>On the LI-Medium variant -- this business problem's locked mandatory realism-validation tier -- the real champion model (RandomForest) achieved a real held-out test macro-F1 of 0.4440 across 5 real typologies with matched ground-truth examples this run (CYCLE, FAN-IN, FAN-OUT, GATHER-SCATTER, RANDOM), vs. a real single-typology-heuristic BEFORE baseline macro-F1 of 0.0812 (5.5x lift). Real overall labeling accuracy improved from 0.2542 to 0.4646 on the same 480-row real held-out test set. Both the structural and statistical-robustness gates PASSED (overall verdict: PASS).</w:t>
      </w:r>
    </w:p>
    <w:p>
      <w:pPr>
        <w:pStyle w:val="Heading1"/>
      </w:pPr>
      <w:r>
        <w:t>What This Means for the Business</w:t>
      </w:r>
    </w:p>
    <w:p>
      <w:pPr>
        <w:pStyle w:val="ListBullet"/>
      </w:pPr>
      <w:r>
        <w:t>On LI-Medium, the real champion model (RandomForest) achieves a real held-out test macro-F1 of 0.4440 across 5 real typologies, 5.5x the real single-typology-heuristic baseline (macro-F1 0.0812), with both the structural and statistical-robustness validation gates passing (overall verdict: PASS).</w:t>
      </w:r>
    </w:p>
    <w:p>
      <w:pPr>
        <w:pStyle w:val="ListBullet"/>
      </w:pPr>
      <w:r>
        <w:t>Real overall labeling accuracy improves from 25.4% to 46.5% on the same 480-row real held-out test set -- +101 more of those real cases correctly auto-typed, ASSUMPTION-estimated at 20.2 investigator hours ($1,313 at $65/hour) freed from manual typology triage.</w:t>
      </w:r>
    </w:p>
    <w:p>
      <w:pPr>
        <w:pStyle w:val="ListBullet"/>
      </w:pPr>
      <w:r>
        <w:t>The old single-guess rule (`always FAN-OUT`) is mathematically guaranteed to identify 0% of every other real typology; the real ML model correctly identifies 138 real held-out cases of those other typologies -- typology-detection capability that structurally did not exist before (illustrative typology-confirmation value, ASSUMPTION: $1,104,000 ($1.10M)), deliberately kept as a separate benefit line from the auto-typing-efficiency savings above, never summed (same discipline as BP1's Section 7A false-positive/true-positive separation).</w:t>
      </w:r>
    </w:p>
    <w:p>
      <w:pPr>
        <w:pStyle w:val="ListBullet"/>
      </w:pPr>
      <w:r>
        <w:t>Real per-typology recall varies by pattern: highest real absolute recall on 'FAN-OUT' (After recall 0.6967, 122 real held-out cases); lowest on 'GATHER-SCATTER' (After recall 0.2667, 135 real held-out cases) -- an honest, real breakdown investigators can use to calibrate trust per typology, not a single blended number.</w:t>
      </w:r>
    </w:p>
    <w:p>
      <w:pPr>
        <w:pStyle w:val="ListBullet"/>
      </w:pPr>
      <w:r>
        <w:t>Model behavior is explainable at both the global and case level: real SHAP analysis ranks 'receiver_distinct_counterparties_to_date' as the dominant real driver of the model's typology assignment on LI-Medium, and real LIME explanations are saved per predicted case -- giving investigators and examiners a real, case-level rationale for every typology assignment, not a black-box label.</w:t>
      </w:r>
    </w:p>
    <w:p>
      <w:pPr>
        <w:pStyle w:val="ListBullet"/>
      </w:pPr>
      <w:r>
        <w:t>A real, self-tested FastAPI scoring service already exists for this model (Notebook 3's deployable-service self-test matched direct batch predictions bit-for-bit on 480 real rows checked), so this capability is deployment-ready, not just a research result.</w:t>
      </w:r>
    </w:p>
    <w:p>
      <w:pPr>
        <w:pStyle w:val="Heading1"/>
      </w:pPr>
      <w:r>
        <w:t>Model Performance by Dataset Variant</w:t>
      </w:r>
    </w:p>
    <w:p>
      <w:r>
        <w:t>Per this platform's locked multi-variant policy, results from different dataset variants are never merged or blended -- each is reported here on its own, side by side.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A78D6"/>
          </w:tcPr>
          <w:p>
            <w:r>
              <w:rPr>
                <w:b/>
                <w:color w:val="FFFFFF"/>
              </w:rPr>
              <w:t>Variant</w:t>
            </w:r>
          </w:p>
        </w:tc>
        <w:tc>
          <w:tcPr>
            <w:tcW w:type="dxa" w:w="1728"/>
            <w:shd w:val="clear" w:color="auto" w:fill="2A78D6"/>
          </w:tcPr>
          <w:p>
            <w:r>
              <w:rPr>
                <w:b/>
                <w:color w:val="FFFFFF"/>
              </w:rPr>
              <w:t>Champion</w:t>
            </w:r>
          </w:p>
        </w:tc>
        <w:tc>
          <w:tcPr>
            <w:tcW w:type="dxa" w:w="1728"/>
            <w:shd w:val="clear" w:color="auto" w:fill="2A78D6"/>
          </w:tcPr>
          <w:p>
            <w:r>
              <w:rPr>
                <w:b/>
                <w:color w:val="FFFFFF"/>
              </w:rPr>
              <w:t>Test Macro-F1</w:t>
            </w:r>
          </w:p>
        </w:tc>
        <w:tc>
          <w:tcPr>
            <w:tcW w:type="dxa" w:w="1728"/>
            <w:shd w:val="clear" w:color="auto" w:fill="2A78D6"/>
          </w:tcPr>
          <w:p>
            <w:r>
              <w:rPr>
                <w:b/>
                <w:color w:val="FFFFFF"/>
              </w:rPr>
              <w:t>Real Typologies Matched</w:t>
            </w:r>
          </w:p>
        </w:tc>
        <w:tc>
          <w:tcPr>
            <w:tcW w:type="dxa" w:w="1728"/>
            <w:shd w:val="clear" w:color="auto" w:fill="2A78D6"/>
          </w:tcPr>
          <w:p>
            <w:r>
              <w:rPr>
                <w:b/>
                <w:color w:val="FFFFFF"/>
              </w:rPr>
              <w:t>Gate Verdict</w:t>
            </w:r>
          </w:p>
        </w:tc>
      </w:tr>
      <w:tr>
        <w:tc>
          <w:tcPr>
            <w:tcW w:type="dxa" w:w="1728"/>
          </w:tcPr>
          <w:p>
            <w:r>
              <w:t>LI-Medium</w:t>
            </w:r>
          </w:p>
        </w:tc>
        <w:tc>
          <w:tcPr>
            <w:tcW w:type="dxa" w:w="1728"/>
          </w:tcPr>
          <w:p>
            <w:r>
              <w:t>RandomForest</w:t>
            </w:r>
          </w:p>
        </w:tc>
        <w:tc>
          <w:tcPr>
            <w:tcW w:type="dxa" w:w="1728"/>
          </w:tcPr>
          <w:p>
            <w:r>
              <w:t>0.4440</w:t>
            </w:r>
          </w:p>
        </w:tc>
        <w:tc>
          <w:tcPr>
            <w:tcW w:type="dxa" w:w="1728"/>
          </w:tcPr>
          <w:p>
            <w:r>
              <w:t>5</w:t>
            </w:r>
          </w:p>
        </w:tc>
        <w:tc>
          <w:tcPr>
            <w:tcW w:type="dxa" w:w="1728"/>
          </w:tcPr>
          <w:p>
            <w:r>
              <w:t>PASS</w:t>
            </w:r>
          </w:p>
        </w:tc>
      </w:tr>
    </w:tbl>
    <w:p>
      <w:pPr>
        <w:pStyle w:val="Heading1"/>
      </w:pPr>
      <w:r>
        <w:t>Before / After Impact (LI-Medium)</w:t>
      </w:r>
    </w:p>
    <w:p>
      <w:r>
        <w:t>Before = a fixed single-typology heuristic (always guess the real majority typology, no other logic) -- the real, same-data baseline this project's locked policy requires, never a straw man. After = the real ML champion's held-out test predictions. Dollar figures marked ASSUMPTION are illustrative, computed from a disclosed assumptions set (see Excel workbook's Assumptions sheet), never a directly measured quantity. The two $ Impact lines below apply DIFFERENT disclosed assumptions to two real, non-overlapping subsets of held-out cases (see each row's own definition) and are never summed.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A78D6"/>
          </w:tcPr>
          <w:p>
            <w:r>
              <w:rPr>
                <w:b/>
                <w:color w:val="FFFFFF"/>
              </w:rPr>
              <w:t>Metric</w:t>
            </w:r>
          </w:p>
        </w:tc>
        <w:tc>
          <w:tcPr>
            <w:tcW w:type="dxa" w:w="1728"/>
            <w:shd w:val="clear" w:color="auto" w:fill="2A78D6"/>
          </w:tcPr>
          <w:p>
            <w:r>
              <w:rPr>
                <w:b/>
                <w:color w:val="FFFFFF"/>
              </w:rPr>
              <w:t>Before (baseline)</w:t>
            </w:r>
          </w:p>
        </w:tc>
        <w:tc>
          <w:tcPr>
            <w:tcW w:type="dxa" w:w="1728"/>
            <w:shd w:val="clear" w:color="auto" w:fill="2A78D6"/>
          </w:tcPr>
          <w:p>
            <w:r>
              <w:rPr>
                <w:b/>
                <w:color w:val="FFFFFF"/>
              </w:rPr>
              <w:t>After (ML model)</w:t>
            </w:r>
          </w:p>
        </w:tc>
        <w:tc>
          <w:tcPr>
            <w:tcW w:type="dxa" w:w="1728"/>
            <w:shd w:val="clear" w:color="auto" w:fill="2A78D6"/>
          </w:tcPr>
          <w:p>
            <w:r>
              <w:rPr>
                <w:b/>
                <w:color w:val="FFFFFF"/>
              </w:rPr>
              <w:t>Delta</w:t>
            </w:r>
          </w:p>
        </w:tc>
        <w:tc>
          <w:tcPr>
            <w:tcW w:type="dxa" w:w="1728"/>
            <w:shd w:val="clear" w:color="auto" w:fill="2A78D6"/>
          </w:tcPr>
          <w:p>
            <w:r>
              <w:rPr>
                <w:b/>
                <w:color w:val="FFFFFF"/>
              </w:rPr>
              <w:t>$ Impact</w:t>
            </w:r>
          </w:p>
        </w:tc>
      </w:tr>
      <w:tr>
        <w:tc>
          <w:tcPr>
            <w:tcW w:type="dxa" w:w="1728"/>
          </w:tcPr>
          <w:p>
            <w:r>
              <w:t>Macro-F1 (typology classification quality)</w:t>
            </w:r>
          </w:p>
        </w:tc>
        <w:tc>
          <w:tcPr>
            <w:tcW w:type="dxa" w:w="1728"/>
          </w:tcPr>
          <w:p>
            <w:r>
              <w:t>0.0812</w:t>
            </w:r>
          </w:p>
        </w:tc>
        <w:tc>
          <w:tcPr>
            <w:tcW w:type="dxa" w:w="1728"/>
          </w:tcPr>
          <w:p>
            <w:r>
              <w:t>0.4440</w:t>
            </w:r>
          </w:p>
        </w:tc>
        <w:tc>
          <w:tcPr>
            <w:tcW w:type="dxa" w:w="1728"/>
          </w:tcPr>
          <w:p>
            <w:r>
              <w:t>+0.3628</w:t>
            </w:r>
          </w:p>
        </w:tc>
        <w:tc>
          <w:tcPr>
            <w:tcW w:type="dxa" w:w="1728"/>
          </w:tcPr>
          <w:p>
            <w:r/>
          </w:p>
        </w:tc>
      </w:tr>
      <w:tr>
        <w:tc>
          <w:tcPr>
            <w:tcW w:type="dxa" w:w="1728"/>
          </w:tcPr>
          <w:p>
            <w:r>
              <w:t>Overall labeling accuracy (real, all typologies)</w:t>
            </w:r>
          </w:p>
        </w:tc>
        <w:tc>
          <w:tcPr>
            <w:tcW w:type="dxa" w:w="1728"/>
          </w:tcPr>
          <w:p>
            <w:r>
              <w:t>0.2542</w:t>
            </w:r>
          </w:p>
        </w:tc>
        <w:tc>
          <w:tcPr>
            <w:tcW w:type="dxa" w:w="1728"/>
          </w:tcPr>
          <w:p>
            <w:r>
              <w:t>0.4646</w:t>
            </w:r>
          </w:p>
        </w:tc>
        <w:tc>
          <w:tcPr>
            <w:tcW w:type="dxa" w:w="1728"/>
          </w:tcPr>
          <w:p>
            <w:r>
              <w:t>+0.2104</w:t>
            </w:r>
          </w:p>
        </w:tc>
        <w:tc>
          <w:tcPr>
            <w:tcW w:type="dxa" w:w="1728"/>
          </w:tcPr>
          <w:p>
            <w:r/>
          </w:p>
        </w:tc>
      </w:tr>
      <w:tr>
        <w:tc>
          <w:tcPr>
            <w:tcW w:type="dxa" w:w="1728"/>
          </w:tcPr>
          <w:p>
            <w:r>
              <w:t>Cases correctly auto-typed (real count, held-out test set)</w:t>
            </w:r>
          </w:p>
        </w:tc>
        <w:tc>
          <w:tcPr>
            <w:tcW w:type="dxa" w:w="1728"/>
          </w:tcPr>
          <w:p>
            <w:r>
              <w:t>122 / 480</w:t>
            </w:r>
          </w:p>
        </w:tc>
        <w:tc>
          <w:tcPr>
            <w:tcW w:type="dxa" w:w="1728"/>
          </w:tcPr>
          <w:p>
            <w:r>
              <w:t>223 / 480</w:t>
            </w:r>
          </w:p>
        </w:tc>
        <w:tc>
          <w:tcPr>
            <w:tcW w:type="dxa" w:w="1728"/>
          </w:tcPr>
          <w:p>
            <w:r>
              <w:t>+101</w:t>
            </w:r>
          </w:p>
        </w:tc>
        <w:tc>
          <w:tcPr>
            <w:tcW w:type="dxa" w:w="1728"/>
          </w:tcPr>
          <w:p>
            <w:r>
              <w:t>ASSUMPTION: $1,313 auto-typing efficiency savings (20.2 hrs @ $65/hr, 0.2 hrs/case reviewed manually)</w:t>
            </w:r>
          </w:p>
        </w:tc>
      </w:tr>
      <w:tr>
        <w:tc>
          <w:tcPr>
            <w:tcW w:type="dxa" w:w="1728"/>
          </w:tcPr>
          <w:p>
            <w:r>
              <w:t>Net-new typology detections beyond the old single-guess baseline (real count)</w:t>
            </w:r>
          </w:p>
        </w:tc>
        <w:tc>
          <w:tcPr>
            <w:tcW w:type="dxa" w:w="1728"/>
          </w:tcPr>
          <w:p>
            <w:r>
              <w:t>0 (structurally cannot type any class but its own fixed guess)</w:t>
            </w:r>
          </w:p>
        </w:tc>
        <w:tc>
          <w:tcPr>
            <w:tcW w:type="dxa" w:w="1728"/>
          </w:tcPr>
          <w:p>
            <w:r>
              <w:t>138</w:t>
            </w:r>
          </w:p>
        </w:tc>
        <w:tc>
          <w:tcPr>
            <w:tcW w:type="dxa" w:w="1728"/>
          </w:tcPr>
          <w:p>
            <w:r>
              <w:t>+138</w:t>
            </w:r>
          </w:p>
        </w:tc>
        <w:tc>
          <w:tcPr>
            <w:tcW w:type="dxa" w:w="1728"/>
          </w:tcPr>
          <w:p>
            <w:r>
              <w:t>ASSUMPTION: $1,104,000 ($1.10M) illustrative typology-confirmation value (138 cases @ $8,000/case)</w:t>
            </w:r>
          </w:p>
        </w:tc>
      </w:tr>
    </w:tbl>
    <w:p>
      <w:pPr>
        <w:pStyle w:val="Heading1"/>
      </w:pPr>
      <w:r>
        <w:t>Real Per-Typology Recall, Before -&gt; After (LI-Medium)</w:t>
      </w:r>
    </w:p>
    <w:p>
      <w:r>
        <w:t>The real heart of a typology classifier's value -- which real patterns did the model actually learn to distinguish, and on how much real held-out evidence. Before recall is exactly 1.0 for the baseline's own fixed guess and exactly 0.0 for every other real typology (mathematical certainty of an always-guess-one-class rule), never estimated.</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2A78D6"/>
          </w:tcPr>
          <w:p>
            <w:r>
              <w:rPr>
                <w:b/>
                <w:color w:val="FFFFFF"/>
              </w:rPr>
              <w:t>Typology</w:t>
            </w:r>
          </w:p>
        </w:tc>
        <w:tc>
          <w:tcPr>
            <w:tcW w:type="dxa" w:w="1234"/>
            <w:shd w:val="clear" w:color="auto" w:fill="2A78D6"/>
          </w:tcPr>
          <w:p>
            <w:r>
              <w:rPr>
                <w:b/>
                <w:color w:val="FFFFFF"/>
              </w:rPr>
              <w:t>Before Recall</w:t>
            </w:r>
          </w:p>
        </w:tc>
        <w:tc>
          <w:tcPr>
            <w:tcW w:type="dxa" w:w="1234"/>
            <w:shd w:val="clear" w:color="auto" w:fill="2A78D6"/>
          </w:tcPr>
          <w:p>
            <w:r>
              <w:rPr>
                <w:b/>
                <w:color w:val="FFFFFF"/>
              </w:rPr>
              <w:t>After Recall</w:t>
            </w:r>
          </w:p>
        </w:tc>
        <w:tc>
          <w:tcPr>
            <w:tcW w:type="dxa" w:w="1234"/>
            <w:shd w:val="clear" w:color="auto" w:fill="2A78D6"/>
          </w:tcPr>
          <w:p>
            <w:r>
              <w:rPr>
                <w:b/>
                <w:color w:val="FFFFFF"/>
              </w:rPr>
              <w:t>Delta Recall</w:t>
            </w:r>
          </w:p>
        </w:tc>
        <w:tc>
          <w:tcPr>
            <w:tcW w:type="dxa" w:w="1234"/>
            <w:shd w:val="clear" w:color="auto" w:fill="2A78D6"/>
          </w:tcPr>
          <w:p>
            <w:r>
              <w:rPr>
                <w:b/>
                <w:color w:val="FFFFFF"/>
              </w:rPr>
              <w:t>Real Test Support (n)</w:t>
            </w:r>
          </w:p>
        </w:tc>
        <w:tc>
          <w:tcPr>
            <w:tcW w:type="dxa" w:w="1234"/>
            <w:shd w:val="clear" w:color="auto" w:fill="2A78D6"/>
          </w:tcPr>
          <w:p>
            <w:r>
              <w:rPr>
                <w:b/>
                <w:color w:val="FFFFFF"/>
              </w:rPr>
              <w:t>Cases Correctly Typed, Before</w:t>
            </w:r>
          </w:p>
        </w:tc>
        <w:tc>
          <w:tcPr>
            <w:tcW w:type="dxa" w:w="1234"/>
            <w:shd w:val="clear" w:color="auto" w:fill="2A78D6"/>
          </w:tcPr>
          <w:p>
            <w:r>
              <w:rPr>
                <w:b/>
                <w:color w:val="FFFFFF"/>
              </w:rPr>
              <w:t>Cases Correctly Typed, After</w:t>
            </w:r>
          </w:p>
        </w:tc>
      </w:tr>
      <w:tr>
        <w:tc>
          <w:tcPr>
            <w:tcW w:type="dxa" w:w="1234"/>
          </w:tcPr>
          <w:p>
            <w:r>
              <w:t>CYCLE</w:t>
            </w:r>
          </w:p>
        </w:tc>
        <w:tc>
          <w:tcPr>
            <w:tcW w:type="dxa" w:w="1234"/>
          </w:tcPr>
          <w:p>
            <w:r>
              <w:t>0.0000</w:t>
            </w:r>
          </w:p>
        </w:tc>
        <w:tc>
          <w:tcPr>
            <w:tcW w:type="dxa" w:w="1234"/>
          </w:tcPr>
          <w:p>
            <w:r>
              <w:t>0.3380</w:t>
            </w:r>
          </w:p>
        </w:tc>
        <w:tc>
          <w:tcPr>
            <w:tcW w:type="dxa" w:w="1234"/>
          </w:tcPr>
          <w:p>
            <w:r>
              <w:t>+0.3380</w:t>
            </w:r>
          </w:p>
        </w:tc>
        <w:tc>
          <w:tcPr>
            <w:tcW w:type="dxa" w:w="1234"/>
          </w:tcPr>
          <w:p>
            <w:r>
              <w:t>71</w:t>
            </w:r>
          </w:p>
        </w:tc>
        <w:tc>
          <w:tcPr>
            <w:tcW w:type="dxa" w:w="1234"/>
          </w:tcPr>
          <w:p>
            <w:r>
              <w:t>0</w:t>
            </w:r>
          </w:p>
        </w:tc>
        <w:tc>
          <w:tcPr>
            <w:tcW w:type="dxa" w:w="1234"/>
          </w:tcPr>
          <w:p>
            <w:r>
              <w:t>24</w:t>
            </w:r>
          </w:p>
        </w:tc>
      </w:tr>
      <w:tr>
        <w:tc>
          <w:tcPr>
            <w:tcW w:type="dxa" w:w="1234"/>
          </w:tcPr>
          <w:p>
            <w:r>
              <w:t>FAN-IN</w:t>
            </w:r>
          </w:p>
        </w:tc>
        <w:tc>
          <w:tcPr>
            <w:tcW w:type="dxa" w:w="1234"/>
          </w:tcPr>
          <w:p>
            <w:r>
              <w:t>0.0000</w:t>
            </w:r>
          </w:p>
        </w:tc>
        <w:tc>
          <w:tcPr>
            <w:tcW w:type="dxa" w:w="1234"/>
          </w:tcPr>
          <w:p>
            <w:r>
              <w:t>0.5610</w:t>
            </w:r>
          </w:p>
        </w:tc>
        <w:tc>
          <w:tcPr>
            <w:tcW w:type="dxa" w:w="1234"/>
          </w:tcPr>
          <w:p>
            <w:r>
              <w:t>+0.5610</w:t>
            </w:r>
          </w:p>
        </w:tc>
        <w:tc>
          <w:tcPr>
            <w:tcW w:type="dxa" w:w="1234"/>
          </w:tcPr>
          <w:p>
            <w:r>
              <w:t>82</w:t>
            </w:r>
          </w:p>
        </w:tc>
        <w:tc>
          <w:tcPr>
            <w:tcW w:type="dxa" w:w="1234"/>
          </w:tcPr>
          <w:p>
            <w:r>
              <w:t>0</w:t>
            </w:r>
          </w:p>
        </w:tc>
        <w:tc>
          <w:tcPr>
            <w:tcW w:type="dxa" w:w="1234"/>
          </w:tcPr>
          <w:p>
            <w:r>
              <w:t>46</w:t>
            </w:r>
          </w:p>
        </w:tc>
      </w:tr>
      <w:tr>
        <w:tc>
          <w:tcPr>
            <w:tcW w:type="dxa" w:w="1234"/>
          </w:tcPr>
          <w:p>
            <w:r>
              <w:t>FAN-OUT</w:t>
            </w:r>
          </w:p>
        </w:tc>
        <w:tc>
          <w:tcPr>
            <w:tcW w:type="dxa" w:w="1234"/>
          </w:tcPr>
          <w:p>
            <w:r>
              <w:t>1.0000</w:t>
            </w:r>
          </w:p>
        </w:tc>
        <w:tc>
          <w:tcPr>
            <w:tcW w:type="dxa" w:w="1234"/>
          </w:tcPr>
          <w:p>
            <w:r>
              <w:t>0.6967</w:t>
            </w:r>
          </w:p>
        </w:tc>
        <w:tc>
          <w:tcPr>
            <w:tcW w:type="dxa" w:w="1234"/>
          </w:tcPr>
          <w:p>
            <w:r>
              <w:t>-0.3033</w:t>
            </w:r>
          </w:p>
        </w:tc>
        <w:tc>
          <w:tcPr>
            <w:tcW w:type="dxa" w:w="1234"/>
          </w:tcPr>
          <w:p>
            <w:r>
              <w:t>122</w:t>
            </w:r>
          </w:p>
        </w:tc>
        <w:tc>
          <w:tcPr>
            <w:tcW w:type="dxa" w:w="1234"/>
          </w:tcPr>
          <w:p>
            <w:r>
              <w:t>122</w:t>
            </w:r>
          </w:p>
        </w:tc>
        <w:tc>
          <w:tcPr>
            <w:tcW w:type="dxa" w:w="1234"/>
          </w:tcPr>
          <w:p>
            <w:r>
              <w:t>85</w:t>
            </w:r>
          </w:p>
        </w:tc>
      </w:tr>
      <w:tr>
        <w:tc>
          <w:tcPr>
            <w:tcW w:type="dxa" w:w="1234"/>
          </w:tcPr>
          <w:p>
            <w:r>
              <w:t>GATHER-SCATTER</w:t>
            </w:r>
          </w:p>
        </w:tc>
        <w:tc>
          <w:tcPr>
            <w:tcW w:type="dxa" w:w="1234"/>
          </w:tcPr>
          <w:p>
            <w:r>
              <w:t>0.0000</w:t>
            </w:r>
          </w:p>
        </w:tc>
        <w:tc>
          <w:tcPr>
            <w:tcW w:type="dxa" w:w="1234"/>
          </w:tcPr>
          <w:p>
            <w:r>
              <w:t>0.2667</w:t>
            </w:r>
          </w:p>
        </w:tc>
        <w:tc>
          <w:tcPr>
            <w:tcW w:type="dxa" w:w="1234"/>
          </w:tcPr>
          <w:p>
            <w:r>
              <w:t>+0.2667</w:t>
            </w:r>
          </w:p>
        </w:tc>
        <w:tc>
          <w:tcPr>
            <w:tcW w:type="dxa" w:w="1234"/>
          </w:tcPr>
          <w:p>
            <w:r>
              <w:t>135</w:t>
            </w:r>
          </w:p>
        </w:tc>
        <w:tc>
          <w:tcPr>
            <w:tcW w:type="dxa" w:w="1234"/>
          </w:tcPr>
          <w:p>
            <w:r>
              <w:t>0</w:t>
            </w:r>
          </w:p>
        </w:tc>
        <w:tc>
          <w:tcPr>
            <w:tcW w:type="dxa" w:w="1234"/>
          </w:tcPr>
          <w:p>
            <w:r>
              <w:t>36</w:t>
            </w:r>
          </w:p>
        </w:tc>
      </w:tr>
      <w:tr>
        <w:tc>
          <w:tcPr>
            <w:tcW w:type="dxa" w:w="1234"/>
          </w:tcPr>
          <w:p>
            <w:r>
              <w:t>RANDOM</w:t>
            </w:r>
          </w:p>
        </w:tc>
        <w:tc>
          <w:tcPr>
            <w:tcW w:type="dxa" w:w="1234"/>
          </w:tcPr>
          <w:p>
            <w:r>
              <w:t>0.0000</w:t>
            </w:r>
          </w:p>
        </w:tc>
        <w:tc>
          <w:tcPr>
            <w:tcW w:type="dxa" w:w="1234"/>
          </w:tcPr>
          <w:p>
            <w:r>
              <w:t>0.4571</w:t>
            </w:r>
          </w:p>
        </w:tc>
        <w:tc>
          <w:tcPr>
            <w:tcW w:type="dxa" w:w="1234"/>
          </w:tcPr>
          <w:p>
            <w:r>
              <w:t>+0.4571</w:t>
            </w:r>
          </w:p>
        </w:tc>
        <w:tc>
          <w:tcPr>
            <w:tcW w:type="dxa" w:w="1234"/>
          </w:tcPr>
          <w:p>
            <w:r>
              <w:t>70</w:t>
            </w:r>
          </w:p>
        </w:tc>
        <w:tc>
          <w:tcPr>
            <w:tcW w:type="dxa" w:w="1234"/>
          </w:tcPr>
          <w:p>
            <w:r>
              <w:t>0</w:t>
            </w:r>
          </w:p>
        </w:tc>
        <w:tc>
          <w:tcPr>
            <w:tcW w:type="dxa" w:w="1234"/>
          </w:tcPr>
          <w:p>
            <w:r>
              <w:t>32</w:t>
            </w:r>
          </w:p>
        </w:tc>
      </w:tr>
    </w:tbl>
    <w:p>
      <w:pPr>
        <w:pStyle w:val="Heading1"/>
      </w:pPr>
      <w:r>
        <w:t>Financial Impact Summary</w:t>
      </w:r>
    </w:p>
    <w:p>
      <w:r>
        <w:t>Auto-typing efficiency savings (ASSUMPTION): $1,313 (20.2 investigator hours across +101 more correctly auto-typed cases on LI-Medium). Illustrative typology-confirmation value (ASSUMPTION): $1,104,000 ($1.10M) (138 real cases whose typology the old rule structurally could not have identified). These two figures apply different assumptions to different real case subsets and are never summed into one blended total, per this platform's locked reporting discipline (Section 7A).</w:t>
      </w:r>
    </w:p>
    <w:p>
      <w:pPr>
        <w:pStyle w:val="Heading1"/>
      </w:pPr>
      <w:r>
        <w:t>Explainability (SHAP -- champion model, real run)</w:t>
      </w:r>
    </w:p>
    <w:p>
      <w:r>
        <w:t>Top 5 real features by mean |SHAP value| (averaged across all real typologies):</w:t>
      </w:r>
    </w:p>
    <w:p>
      <w:pPr>
        <w:pStyle w:val="ListBullet"/>
      </w:pPr>
      <w:r>
        <w:t>receiver_distinct_counterparties_to_date: 0.0626</w:t>
      </w:r>
    </w:p>
    <w:p>
      <w:pPr>
        <w:pStyle w:val="ListBullet"/>
      </w:pPr>
      <w:r>
        <w:t>sender_distinct_counterparties_to_date: 0.0602</w:t>
      </w:r>
    </w:p>
    <w:p>
      <w:pPr>
        <w:pStyle w:val="ListBullet"/>
      </w:pPr>
      <w:r>
        <w:t>receiver_hours_since_prev_txn: 0.0324</w:t>
      </w:r>
    </w:p>
    <w:p>
      <w:pPr>
        <w:pStyle w:val="ListBullet"/>
      </w:pPr>
      <w:r>
        <w:t>sender_txn_count_to_date: 0.0237</w:t>
      </w:r>
    </w:p>
    <w:p>
      <w:pPr>
        <w:pStyle w:val="ListBullet"/>
      </w:pPr>
      <w:r>
        <w:t>sender_hours_since_prev_txn: 0.0163</w:t>
      </w:r>
    </w:p>
    <w:p>
      <w:pPr>
        <w:pStyle w:val="Heading1"/>
      </w:pPr>
      <w:r>
        <w:t>Appendix: Stage A Candidate Screening (fast-build variant)</w:t>
      </w:r>
    </w:p>
    <w:p>
      <w:r>
        <w:t>Notebook 2's real single-split Stage A candidate screening, run on the smaller fast-build/debug variant, before Notebook 3's full 5-fold CV on this report's primary variant. Shown for transparency only -- not used to select the champion reported above (that selection is Notebook 3's own real Stage B CV result).</w:t>
      </w:r>
    </w:p>
    <w:p>
      <w:pPr>
        <w:pStyle w:val="ListBullet"/>
      </w:pPr>
      <w:r>
        <w:t>HI-Small: 1,854 real modeled rows.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A78D6"/>
          </w:tcPr>
          <w:p>
            <w:r>
              <w:rPr>
                <w:b/>
                <w:color w:val="FFFFFF"/>
              </w:rPr>
              <w:t>Model</w:t>
            </w:r>
          </w:p>
        </w:tc>
        <w:tc>
          <w:tcPr>
            <w:tcW w:type="dxa" w:w="4320"/>
            <w:shd w:val="clear" w:color="auto" w:fill="2A78D6"/>
          </w:tcPr>
          <w:p>
            <w:r>
              <w:rPr>
                <w:b/>
                <w:color w:val="FFFFFF"/>
              </w:rPr>
              <w:t>Real Macro-F1 (single split)</w:t>
            </w:r>
          </w:p>
        </w:tc>
      </w:tr>
      <w:tr>
        <w:tc>
          <w:tcPr>
            <w:tcW w:type="dxa" w:w="4320"/>
          </w:tcPr>
          <w:p>
            <w:r>
              <w:t>XGBoost</w:t>
            </w:r>
          </w:p>
        </w:tc>
        <w:tc>
          <w:tcPr>
            <w:tcW w:type="dxa" w:w="4320"/>
          </w:tcPr>
          <w:p>
            <w:r>
              <w:t>0.4425</w:t>
            </w:r>
          </w:p>
        </w:tc>
      </w:tr>
      <w:tr>
        <w:tc>
          <w:tcPr>
            <w:tcW w:type="dxa" w:w="4320"/>
          </w:tcPr>
          <w:p>
            <w:r>
              <w:t>RandomForest</w:t>
            </w:r>
          </w:p>
        </w:tc>
        <w:tc>
          <w:tcPr>
            <w:tcW w:type="dxa" w:w="4320"/>
          </w:tcPr>
          <w:p>
            <w:r>
              <w:t>0.4420</w:t>
            </w:r>
          </w:p>
        </w:tc>
      </w:tr>
      <w:tr>
        <w:tc>
          <w:tcPr>
            <w:tcW w:type="dxa" w:w="4320"/>
          </w:tcPr>
          <w:p>
            <w:r>
              <w:t>LightGBM</w:t>
            </w:r>
          </w:p>
        </w:tc>
        <w:tc>
          <w:tcPr>
            <w:tcW w:type="dxa" w:w="4320"/>
          </w:tcPr>
          <w:p>
            <w:r>
              <w:t>0.4375</w:t>
            </w:r>
          </w:p>
        </w:tc>
      </w:tr>
      <w:tr>
        <w:tc>
          <w:tcPr>
            <w:tcW w:type="dxa" w:w="4320"/>
          </w:tcPr>
          <w:p>
            <w:r>
              <w:t>CatBoost</w:t>
            </w:r>
          </w:p>
        </w:tc>
        <w:tc>
          <w:tcPr>
            <w:tcW w:type="dxa" w:w="4320"/>
          </w:tcPr>
          <w:p>
            <w:r>
              <w:t>0.4371</w:t>
            </w:r>
          </w:p>
        </w:tc>
      </w:tr>
    </w:tbl>
    <w:p>
      <w:pPr>
        <w:pStyle w:val="Heading1"/>
      </w:pPr>
      <w:r>
        <w:t>Regulatory &amp; Compliance Mapping</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A78D6"/>
          </w:tcPr>
          <w:p>
            <w:r>
              <w:rPr>
                <w:b/>
                <w:color w:val="FFFFFF"/>
              </w:rPr>
              <w:t>Framework</w:t>
            </w:r>
          </w:p>
        </w:tc>
        <w:tc>
          <w:tcPr>
            <w:tcW w:type="dxa" w:w="4320"/>
            <w:shd w:val="clear" w:color="auto" w:fill="2A78D6"/>
          </w:tcPr>
          <w:p>
            <w:r>
              <w:rPr>
                <w:b/>
                <w:color w:val="FFFFFF"/>
              </w:rPr>
              <w:t>Applies to</w:t>
            </w:r>
          </w:p>
        </w:tc>
      </w:tr>
      <w:tr>
        <w:tc>
          <w:tcPr>
            <w:tcW w:type="dxa" w:w="4320"/>
          </w:tcPr>
          <w:p>
            <w:r>
              <w:t>Bank Secrecy Act (31 U.S.C. Section 5311)</w:t>
            </w:r>
          </w:p>
        </w:tc>
        <w:tc>
          <w:tcPr>
            <w:tcW w:type="dxa" w:w="4320"/>
          </w:tcPr>
          <w:p>
            <w:r>
              <w:t>Platform-wide</w:t>
            </w:r>
          </w:p>
        </w:tc>
      </w:tr>
      <w:tr>
        <w:tc>
          <w:tcPr>
            <w:tcW w:type="dxa" w:w="4320"/>
          </w:tcPr>
          <w:p>
            <w:r>
              <w:t>FinCEN 'red flags' typology guidance (JPMorgan Chase assessment, Madoff/BLM case)</w:t>
            </w:r>
          </w:p>
        </w:tc>
        <w:tc>
          <w:tcPr>
            <w:tcW w:type="dxa" w:w="4320"/>
          </w:tcPr>
          <w:p>
            <w:r>
              <w:t>BP2 (this BP's own real-world terminology match)</w:t>
            </w:r>
          </w:p>
        </w:tc>
      </w:tr>
      <w:tr>
        <w:tc>
          <w:tcPr>
            <w:tcW w:type="dxa" w:w="4320"/>
          </w:tcPr>
          <w:p>
            <w:r>
              <w:t>FinCEN SAR filing requirements (31 CFR Section 1020.320)</w:t>
            </w:r>
          </w:p>
        </w:tc>
        <w:tc>
          <w:tcPr>
            <w:tcW w:type="dxa" w:w="4320"/>
          </w:tcPr>
          <w:p>
            <w:r>
              <w:t>BP1, BP2 (evidence feed for SAR narrative typology, not itself a SAR-filing decision)</w:t>
            </w:r>
          </w:p>
        </w:tc>
      </w:tr>
      <w:tr>
        <w:tc>
          <w:tcPr>
            <w:tcW w:type="dxa" w:w="4320"/>
          </w:tcPr>
          <w:p>
            <w:r>
              <w:t>FFIEC BSA/AML Examination Manual (5 pillars)</w:t>
            </w:r>
          </w:p>
        </w:tc>
        <w:tc>
          <w:tcPr>
            <w:tcW w:type="dxa" w:w="4320"/>
          </w:tcPr>
          <w:p>
            <w:r>
              <w:t>Platform-wide</w:t>
            </w:r>
          </w:p>
        </w:tc>
      </w:tr>
      <w:tr>
        <w:tc>
          <w:tcPr>
            <w:tcW w:type="dxa" w:w="4320"/>
          </w:tcPr>
          <w:p>
            <w:r>
              <w:t>SR 11-7 Model Risk Management</w:t>
            </w:r>
          </w:p>
        </w:tc>
        <w:tc>
          <w:tcPr>
            <w:tcW w:type="dxa" w:w="4320"/>
          </w:tcPr>
          <w:p>
            <w:r>
              <w:t>Every model-bearing BP</w:t>
            </w:r>
          </w:p>
        </w:tc>
      </w:tr>
    </w:tbl>
    <w:p>
      <w:pPr>
        <w:pStyle w:val="Heading1"/>
      </w:pPr>
      <w:r>
        <w:t>Fairness / Bias Testing</w:t>
      </w:r>
    </w:p>
    <w:p>
      <w:r>
        <w:t>Not Possible - Data Limitation: the IBM AML transaction dataset carries no demographic fields (no race, gender, age, or other protected-attribute data), so an ECOA/FCRA-style disparate-impact test cannot be computed against it. This is flagged explicitly here rather than silently skipped, per this platform's locked compliance-documentation policy.</w:t>
      </w:r>
    </w:p>
    <w:p>
      <w:pPr>
        <w:pStyle w:val="Heading1"/>
      </w:pPr>
      <w:r>
        <w:t>Limitations &amp; Caveats</w:t>
      </w:r>
    </w:p>
    <w:p>
      <w:pPr>
        <w:pStyle w:val="ListBullet"/>
      </w:pPr>
      <w:r>
        <w:t>Only 5 of this platform's 8 modeled typologies had real, matched ground-truth examples in this LI-Medium run (CYCLE, FAN-IN, FAN-OUT, GATHER-SCATTER, RANDOM) -- the remaining typologies are real, genuinely absent from this run's matched population, never fabricated or estimated; if a future real run with a larger or different variant surfaces them, this report should be regenerated against that run's own real saved JSON.</w:t>
      </w:r>
    </w:p>
    <w:p>
      <w:pPr>
        <w:pStyle w:val="ListBullet"/>
      </w:pPr>
      <w:r>
        <w:t>Both real Before and After figures are measured on the SAME real held-out test set (480 rows) -- no extrapolation to a larger population was needed or performed for this BP's financial-impact framing (unlike BP1, whose naive baseline was evaluated on the full population and its ML rates extrapolated to match).</w:t>
      </w:r>
    </w:p>
    <w:p>
      <w:pPr>
        <w:pStyle w:val="ListBullet"/>
      </w:pPr>
      <w:r>
        <w:t>Every dollar figure labeled ASSUMPTION in this package is illustrative and configurable (see the Excel workbook's Assumptions sheet) -- none is a specific real fine, penalty, or contractual figure. The two $ Impact lines in the Before/After table apply DIFFERENT disclosed assumptions to two real, non-overlapping subsets of held-out cases (see each row's own definition in the table) and are never summed.</w:t>
      </w:r>
    </w:p>
    <w:p>
      <w:pPr>
        <w:pStyle w:val="ListBullet"/>
      </w:pPr>
      <w:r>
        <w:t>LI-Medium is this BP's locked mandatory realism-validation tier and is the primary real-world expectation reported here; the HI-Small appendix (if present) is a faster-iteration Stage A screening pass only, not a second fully-validated variant.</w:t>
      </w:r>
    </w:p>
    <w:p>
      <w:pPr>
        <w:pStyle w:val="ListBullet"/>
      </w:pPr>
      <w:r>
        <w:t>Fairness/disparate-impact testing is not computable on this dataset -- see the Fairness section below.</w:t>
      </w:r>
    </w:p>
    <w:p>
      <w:pPr>
        <w:pStyle w:val="Heading1"/>
      </w:pPr>
      <w:r>
        <w:t>Recommendations</w:t>
      </w:r>
    </w:p>
    <w:p>
      <w:pPr>
        <w:pStyle w:val="Heading2"/>
      </w:pPr>
      <w:r>
        <w:t>Prioritize real-world review of the lowest-recall typology first</w:t>
      </w:r>
    </w:p>
    <w:p>
      <w:pPr>
        <w:pStyle w:val="ListBullet"/>
      </w:pPr>
      <w:r>
        <w:rPr>
          <w:b/>
        </w:rPr>
        <w:t xml:space="preserve">Specific: </w:t>
      </w:r>
      <w:r>
        <w:t>On LI-Medium, the real champion model (RandomForest) has its LOWEST real absolute recall on 'GATHER-SCATTER' (After recall 0.2667 on 135 real held-out cases) -- it still misses most real cases of this typology.</w:t>
      </w:r>
    </w:p>
    <w:p>
      <w:pPr>
        <w:pStyle w:val="ListBullet"/>
      </w:pPr>
      <w:r>
        <w:rPr>
          <w:b/>
        </w:rPr>
        <w:t xml:space="preserve">Measurable: </w:t>
      </w:r>
      <w:r>
        <w:t>Track real recall on 'GATHER-SCATTER' specifically at every retrain; treat any further drop from 0.2667 as a trigger for feature review.</w:t>
      </w:r>
    </w:p>
    <w:p>
      <w:pPr>
        <w:pStyle w:val="ListBullet"/>
      </w:pPr>
      <w:r>
        <w:rPr>
          <w:b/>
        </w:rPr>
        <w:t xml:space="preserve">Achievable: </w:t>
      </w:r>
      <w:r>
        <w:t>Uses the same SHAP/LIME explainability already computed by Notebook 3 -- no new tooling required.</w:t>
      </w:r>
    </w:p>
    <w:p>
      <w:pPr>
        <w:pStyle w:val="ListBullet"/>
      </w:pPr>
      <w:r>
        <w:rPr>
          <w:b/>
        </w:rPr>
        <w:t xml:space="preserve">Relevant: </w:t>
      </w:r>
      <w:r>
        <w:t>A typology classifier that silently under-performs on one real pattern is a real investigative blind spot (SR 11-7 model risk management expectation).</w:t>
      </w:r>
    </w:p>
    <w:p>
      <w:pPr>
        <w:pStyle w:val="ListBullet"/>
      </w:pPr>
      <w:r>
        <w:rPr>
          <w:b/>
        </w:rPr>
        <w:t xml:space="preserve">Time-Bound: </w:t>
      </w:r>
      <w:r>
        <w:t>Reviewed alongside the next scheduled model retrain, within 90 days of production go-live.</w:t>
      </w:r>
    </w:p>
    <w:p>
      <w:pPr>
        <w:pStyle w:val="Heading2"/>
      </w:pPr>
      <w:r>
        <w:t>Reallocate freed investigator capacity from real auto-typing efficiency gains</w:t>
      </w:r>
    </w:p>
    <w:p>
      <w:pPr>
        <w:pStyle w:val="ListBullet"/>
      </w:pPr>
      <w:r>
        <w:rPr>
          <w:b/>
        </w:rPr>
        <w:t xml:space="preserve">Specific: </w:t>
      </w:r>
      <w:r>
        <w:t>Moving from the naive always-guess-'FAN-OUT' rule to the real ML model correctly auto-types +101 more of the 480 real held-out cases on LI-Medium (ASSUMPTION-estimated at 20.2 investigator hours, $1,313).</w:t>
      </w:r>
    </w:p>
    <w:p>
      <w:pPr>
        <w:pStyle w:val="ListBullet"/>
      </w:pPr>
      <w:r>
        <w:rPr>
          <w:b/>
        </w:rPr>
        <w:t xml:space="preserve">Measurable: </w:t>
      </w:r>
      <w:r>
        <w:t>Real manual-typology-review hours logged per investigator, compared against the 20.2-hour ASSUMPTION estimate above.</w:t>
      </w:r>
    </w:p>
    <w:p>
      <w:pPr>
        <w:pStyle w:val="ListBullet"/>
      </w:pPr>
      <w:r>
        <w:rPr>
          <w:b/>
        </w:rPr>
        <w:t xml:space="preserve">Achievable: </w:t>
      </w:r>
      <w:r>
        <w:t>Capacity freed is redeployed to case investigation depth, not headcount reduction -- an operational scheduling change, not a new system.</w:t>
      </w:r>
    </w:p>
    <w:p>
      <w:pPr>
        <w:pStyle w:val="ListBullet"/>
      </w:pPr>
      <w:r>
        <w:rPr>
          <w:b/>
        </w:rPr>
        <w:t xml:space="preserve">Relevant: </w:t>
      </w:r>
      <w:r>
        <w:t>Investigator capacity is the real, most commonly cited AML program bottleneck (FFIEC BSA/AML Examination Manual, alert-management pillar).</w:t>
      </w:r>
    </w:p>
    <w:p>
      <w:pPr>
        <w:pStyle w:val="ListBullet"/>
      </w:pPr>
      <w:r>
        <w:rPr>
          <w:b/>
        </w:rPr>
        <w:t xml:space="preserve">Time-Bound: </w:t>
      </w:r>
      <w:r>
        <w:t>Reassess real review hours logged 60 days after production go-live against this ASSUMPTION estimate.</w:t>
      </w:r>
    </w:p>
    <w:p>
      <w:pPr>
        <w:pStyle w:val="Heading2"/>
      </w:pPr>
      <w:r>
        <w:t>Validate the real net-new typology detections against filed SARs</w:t>
      </w:r>
    </w:p>
    <w:p>
      <w:pPr>
        <w:pStyle w:val="ListBullet"/>
      </w:pPr>
      <w:r>
        <w:rPr>
          <w:b/>
        </w:rPr>
        <w:t xml:space="preserve">Specific: </w:t>
      </w:r>
      <w:r>
        <w:t>The real ML model correctly identifies 138 real held-out cases whose true typology is something other than the old rule's fixed guess ('FAN-OUT') on LI-Medium -- typology detection that structurally could not exist under the old rule (illustrative typology-confirmation value, ASSUMPTION: $1,104,000 ($1.10M)).</w:t>
      </w:r>
    </w:p>
    <w:p>
      <w:pPr>
        <w:pStyle w:val="ListBullet"/>
      </w:pPr>
      <w:r>
        <w:rPr>
          <w:b/>
        </w:rPr>
        <w:t xml:space="preserve">Measurable: </w:t>
      </w:r>
      <w:r>
        <w:t>Real SAR filing rate on model-assigned typologies for these net-new-detected cases, tracked separately from the auto-typing-efficiency line above.</w:t>
      </w:r>
    </w:p>
    <w:p>
      <w:pPr>
        <w:pStyle w:val="ListBullet"/>
      </w:pPr>
      <w:r>
        <w:rPr>
          <w:b/>
        </w:rPr>
        <w:t xml:space="preserve">Achievable: </w:t>
      </w:r>
      <w:r>
        <w:t>Requires only tagging each filed SAR with the model-assigned typology at filing time -- a labeling change, not a new detection system.</w:t>
      </w:r>
    </w:p>
    <w:p>
      <w:pPr>
        <w:pStyle w:val="ListBullet"/>
      </w:pPr>
      <w:r>
        <w:rPr>
          <w:b/>
        </w:rPr>
        <w:t xml:space="preserve">Relevant: </w:t>
      </w:r>
      <w:r>
        <w:t>Directly evidences the model's real typology-detection benefit to examiners (31 CFR Section 1020.320 SAR requirements).</w:t>
      </w:r>
    </w:p>
    <w:p>
      <w:pPr>
        <w:pStyle w:val="ListBullet"/>
      </w:pPr>
      <w:r>
        <w:rPr>
          <w:b/>
        </w:rPr>
        <w:t xml:space="preserve">Time-Bound: </w:t>
      </w:r>
      <w:r>
        <w:t>First real comparison report at the 6-month production mark (enough real SAR volume to be meaningful).</w:t>
      </w:r>
    </w:p>
    <w:p>
      <w:pPr>
        <w:pStyle w:val="Heading2"/>
      </w:pPr>
      <w:r>
        <w:t>Document why 'FAN-OUT' recall is strongest, as a template for the weaker typologies</w:t>
      </w:r>
    </w:p>
    <w:p>
      <w:pPr>
        <w:pStyle w:val="ListBullet"/>
      </w:pPr>
      <w:r>
        <w:rPr>
          <w:b/>
        </w:rPr>
        <w:t xml:space="preserve">Specific: </w:t>
      </w:r>
      <w:r>
        <w:t>'FAN-OUT' has the real HIGHEST absolute recall on LI-Medium (After recall 0.6967, real Delta -0.3033 vs. the baseline). Real SHAP analysis ranks 'receiver_distinct_counterparties_to_date' as the model's dominant overall driver.</w:t>
      </w:r>
    </w:p>
    <w:p>
      <w:pPr>
        <w:pStyle w:val="ListBullet"/>
      </w:pPr>
      <w:r>
        <w:rPr>
          <w:b/>
        </w:rPr>
        <w:t xml:space="preserve">Measurable: </w:t>
      </w:r>
      <w:r>
        <w:t>Confirm the same driver(s) remain dominant for this typology at every future real retrain.</w:t>
      </w:r>
    </w:p>
    <w:p>
      <w:pPr>
        <w:pStyle w:val="ListBullet"/>
      </w:pPr>
      <w:r>
        <w:rPr>
          <w:b/>
        </w:rPr>
        <w:t xml:space="preserve">Achievable: </w:t>
      </w:r>
      <w:r>
        <w:t>Already computed by Notebook 3's existing SHAP step -- no new tooling required.</w:t>
      </w:r>
    </w:p>
    <w:p>
      <w:pPr>
        <w:pStyle w:val="ListBullet"/>
      </w:pPr>
      <w:r>
        <w:rPr>
          <w:b/>
        </w:rPr>
        <w:t xml:space="preserve">Relevant: </w:t>
      </w:r>
      <w:r>
        <w:t>SR 11-7 model risk management requires a documented explanation of the model's real primary drivers, per typology where they differ.</w:t>
      </w:r>
    </w:p>
    <w:p>
      <w:pPr>
        <w:pStyle w:val="ListBullet"/>
      </w:pPr>
      <w:r>
        <w:rPr>
          <w:b/>
        </w:rPr>
        <w:t xml:space="preserve">Time-Bound: </w:t>
      </w:r>
      <w:r>
        <w:t>Refresh this documentation at every model retrain, alongside the MODEL_CARD.md update.</w:t>
      </w:r>
    </w:p>
    <w:p>
      <w:pPr>
        <w:pStyle w:val="Heading2"/>
      </w:pPr>
      <w:r>
        <w:t>Maintain the real two-gate validation standard on every future retrain</w:t>
      </w:r>
    </w:p>
    <w:p>
      <w:pPr>
        <w:pStyle w:val="ListBullet"/>
      </w:pPr>
      <w:r>
        <w:rPr>
          <w:b/>
        </w:rPr>
        <w:t xml:space="preserve">Specific: </w:t>
      </w:r>
      <w:r>
        <w:t>Every real dataset variant evaluated for BP2 currently passes both validation gates (LI-Medium).</w:t>
      </w:r>
    </w:p>
    <w:p>
      <w:pPr>
        <w:pStyle w:val="ListBullet"/>
      </w:pPr>
      <w:r>
        <w:rPr>
          <w:b/>
        </w:rPr>
        <w:t xml:space="preserve">Measurable: </w:t>
      </w:r>
      <w:r>
        <w:t>Both gates must continue to PASS on every future retrain before redeployment.</w:t>
      </w:r>
    </w:p>
    <w:p>
      <w:pPr>
        <w:pStyle w:val="ListBullet"/>
      </w:pPr>
      <w:r>
        <w:rPr>
          <w:b/>
        </w:rPr>
        <w:t xml:space="preserve">Achievable: </w:t>
      </w:r>
      <w:r>
        <w:t>Enforced automatically by Notebook 3's existing gate logic -- no manual step to remember.</w:t>
      </w:r>
    </w:p>
    <w:p>
      <w:pPr>
        <w:pStyle w:val="ListBullet"/>
      </w:pPr>
      <w:r>
        <w:rPr>
          <w:b/>
        </w:rPr>
        <w:t xml:space="preserve">Relevant: </w:t>
      </w:r>
      <w:r>
        <w:t>This is the basis for this report's current production-recommended status.</w:t>
      </w:r>
    </w:p>
    <w:p>
      <w:pPr>
        <w:pStyle w:val="ListBullet"/>
      </w:pPr>
      <w:r>
        <w:rPr>
          <w:b/>
        </w:rPr>
        <w:t xml:space="preserve">Time-Bound: </w:t>
      </w:r>
      <w:r>
        <w:t>Every retrain cycle, before redeployment.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A78D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AF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A78D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