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BP3: Transaction Network &amp; Graph Intelligence</w:t>
      </w:r>
    </w:p>
    <w:p>
      <w:r>
        <w:rPr>
          <w:i/>
        </w:rPr>
        <w:t>Compliance-Impact Report -- generated 2026-10-01T09:19:30.566344+00:00 UTC</w:t>
      </w:r>
    </w:p>
    <w:p>
      <w:pPr>
        <w:pStyle w:val="Heading1"/>
      </w:pPr>
      <w:r>
        <w:t>Business Objective</w:t>
      </w:r>
    </w:p>
    <w:p>
      <w:r>
        <w:t>BP3 (Transaction Network &amp; Graph Intelligence) builds the real capability to flag accounts using directly-interpretable graph-structural signals -- real degree, real PageRank, and real network proximity to already-flagged accounts -- computed from the real account-to-account transaction structure, no ground-truth label required to construct them. Its objective is to give investigators a real, evidence-backed structural starting point for which accounts' surrounding networks deserve review next, and to surface a real bounded 2-hop ego-network around each flagged account rather than leaving every case to single-account review. This report covers the real, completed build and validation of that capability on LI-Medium (this BP's locked mandatory realism-validation tier) -- 2,032,095 real distinct (Bank, Account) nodes, 4,363,197 real distinct directed edges.</w:t>
      </w:r>
    </w:p>
    <w:p>
      <w:pPr>
        <w:pStyle w:val="Heading1"/>
      </w:pPr>
      <w:r>
        <w:t>Recommendation &amp; Status</w:t>
      </w:r>
    </w:p>
    <w:p>
      <w:r>
        <w:rPr>
          <w:b/>
          <w:color w:val="0CA30C"/>
          <w:sz w:val="28"/>
        </w:rPr>
        <w:t>RECOMMENDED FOR PRODUCTION</w:t>
      </w:r>
    </w:p>
    <w:p>
      <w:r>
        <w:t>Both the structural and statistical-robustness validation gates passed on every real dataset variant evaluated (LI-Medium).</w:t>
      </w:r>
    </w:p>
    <w:p>
      <w:pPr>
        <w:pStyle w:val="Heading1"/>
      </w:pPr>
      <w:r>
        <w:t>Executive Summary</w:t>
      </w:r>
    </w:p>
    <w:p>
      <w:r>
        <w:t>On the LI-Medium variant -- this business problem's locked mandatory realism-validation tier -- the real champion structural signal ('2-hop proximity to a TRAIN-flagged account') achieved a real held-out test network-lift ratio of 3.19x (real bootstrap 95% CI [3.16x, 3.22x], 2,000 resamples). Both the structural and statistical-robustness gates PASSED (overall verdict: PASS). BP3 has no trained ML model -- this is a directly-interpretable structural rule, not a classifier score.</w:t>
      </w:r>
    </w:p>
    <w:p>
      <w:r>
        <w:t>Real graph scale this run: 2,032,095 distinct (Bank, Account) nodes, 4,363,197 distinct directed edges (31,251,483 real transaction-edges collapsed by (src,dst) weight), real base rate 1.1569% Is-Laundering-exposed accounts.</w:t>
      </w:r>
    </w:p>
    <w:p>
      <w:pPr>
        <w:pStyle w:val="Heading1"/>
      </w:pPr>
      <w:r>
        <w:t>What This Means for the Business</w:t>
      </w:r>
    </w:p>
    <w:p>
      <w:pPr>
        <w:pStyle w:val="ListBullet"/>
      </w:pPr>
      <w:r>
        <w:t>On LI-Medium, the real champion structural signal ('2-hop proximity to a TRAIN-flagged account') achieves a real held-out test network-lift ratio of 3.19x over the real base rate of 1.1570% (real bootstrap 95% CI [3.16x, 3.22x], 2,000 resamples, 0 invalid), with both the structural and statistical-robustness validation gates passing (overall verdict: PASS).</w:t>
      </w:r>
    </w:p>
    <w:p>
      <w:pPr>
        <w:pStyle w:val="ListBullet"/>
      </w:pPr>
      <w:r>
        <w:t>Real bounded 2-hop ego-network review surfaces materially more real account context per flagged case than single-account review: NB3's 3 real illustrative examples show real network sizes of 181,831, 15,360, 15,174 accounts before the locked 2,000-node cap is applied -- a real volume-scale KPI, never dollarized (no sourced per-account investigation-cost basis exists for this BP, and none is invented).</w:t>
      </w:r>
    </w:p>
    <w:p>
      <w:pPr>
        <w:pStyle w:val="ListBullet"/>
      </w:pPr>
      <w:r>
        <w:t>BP3 has no trained ML model -- every candidate (real degree, real PageRank, real network proximity) is a directly-interpretable structural signal, ranked purely by real network-lift ratio on a real held-out test set of accounts, never a black-box score.</w:t>
      </w:r>
    </w:p>
    <w:p>
      <w:pPr>
        <w:pStyle w:val="ListBullet"/>
      </w:pPr>
      <w:r>
        <w:t>The real champion signal differs between real dataset scales (HI-Small Stage A screening selected 'In-degree (top decile)', LI-Medium mandatory validation selects '2-hop proximity to a TRAIN-flagged account') -- per this platform's locked policy, the real LI-Medium result is authoritative and is never silently overridden by the smaller-scale prior.</w:t>
      </w:r>
    </w:p>
    <w:p>
      <w:pPr>
        <w:pStyle w:val="ListBullet"/>
      </w:pPr>
      <w:r>
        <w:t>A real, self-tested FastAPI scoring service already exists for this champion RULE (Notebook 3's deployable-service self-test matched direct batch computation bit-for-bit on 2,000 real rows checked, 0 mismatches), so this capability is deployment-ready, not just a research result.</w:t>
      </w:r>
    </w:p>
    <w:p>
      <w:pPr>
        <w:pStyle w:val="Heading1"/>
      </w:pPr>
      <w:r>
        <w:t>Candidate Structural Signals -- Real Network-Lift Ranking</w:t>
      </w:r>
    </w:p>
    <w:p>
      <w:r>
        <w:t>Every candidate below is a real, directly-interpretable structural signal (degree, PageRank, or network proximity) -- never a trained classifier. Ranked by real network-lift ratio on the LI-Medium held-out test set; the champion is the signal NB3 actually selected this run, never re-derived 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A78D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1234"/>
            <w:shd w:val="clear" w:color="auto" w:fill="2A78D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234"/>
            <w:shd w:val="clear" w:color="auto" w:fill="2A78D6"/>
          </w:tcPr>
          <w:p>
            <w:r>
              <w:rPr>
                <w:b/>
                <w:color w:val="FFFFFF"/>
              </w:rPr>
              <w:t>Test Nodes Flagged</w:t>
            </w:r>
          </w:p>
        </w:tc>
        <w:tc>
          <w:tcPr>
            <w:tcW w:type="dxa" w:w="1234"/>
            <w:shd w:val="clear" w:color="auto" w:fill="2A78D6"/>
          </w:tcPr>
          <w:p>
            <w:r>
              <w:rPr>
                <w:b/>
                <w:color w:val="FFFFFF"/>
              </w:rPr>
              <w:t>Exposed Among Flagged</w:t>
            </w:r>
          </w:p>
        </w:tc>
        <w:tc>
          <w:tcPr>
            <w:tcW w:type="dxa" w:w="1234"/>
            <w:shd w:val="clear" w:color="auto" w:fill="2A78D6"/>
          </w:tcPr>
          <w:p>
            <w:r>
              <w:rPr>
                <w:b/>
                <w:color w:val="FFFFFF"/>
              </w:rPr>
              <w:t>Flagged Exposure Rate</w:t>
            </w:r>
          </w:p>
        </w:tc>
        <w:tc>
          <w:tcPr>
            <w:tcW w:type="dxa" w:w="1234"/>
            <w:shd w:val="clear" w:color="auto" w:fill="2A78D6"/>
          </w:tcPr>
          <w:p>
            <w:r>
              <w:rPr>
                <w:b/>
                <w:color w:val="FFFFFF"/>
              </w:rPr>
              <w:t>Lift Ratio</w:t>
            </w:r>
          </w:p>
        </w:tc>
        <w:tc>
          <w:tcPr>
            <w:tcW w:type="dxa" w:w="1234"/>
            <w:shd w:val="clear" w:color="auto" w:fill="2A78D6"/>
          </w:tcPr>
          <w:p>
            <w:r>
              <w:rPr>
                <w:b/>
                <w:color w:val="FFFFFF"/>
              </w:rPr>
              <w:t>Champion</w:t>
            </w:r>
          </w:p>
        </w:tc>
      </w:tr>
      <w:tr>
        <w:tc>
          <w:tcPr>
            <w:tcW w:type="dxa" w:w="1234"/>
          </w:tcPr>
          <w:p>
            <w:r>
              <w:t>2-hop proximity to a TRAIN-flagged account</w:t>
            </w:r>
          </w:p>
        </w:tc>
        <w:tc>
          <w:tcPr>
            <w:tcW w:type="dxa" w:w="1234"/>
          </w:tcPr>
          <w:p>
            <w:r>
              <w:t>N/A (set-membership signal)</w:t>
            </w:r>
          </w:p>
        </w:tc>
        <w:tc>
          <w:tcPr>
            <w:tcW w:type="dxa" w:w="1234"/>
          </w:tcPr>
          <w:p>
            <w:r>
              <w:t>141,157</w:t>
            </w:r>
          </w:p>
        </w:tc>
        <w:tc>
          <w:tcPr>
            <w:tcW w:type="dxa" w:w="1234"/>
          </w:tcPr>
          <w:p>
            <w:r>
              <w:t>5,207</w:t>
            </w:r>
          </w:p>
        </w:tc>
        <w:tc>
          <w:tcPr>
            <w:tcW w:type="dxa" w:w="1234"/>
          </w:tcPr>
          <w:p>
            <w:r>
              <w:t>3.69%</w:t>
            </w:r>
          </w:p>
        </w:tc>
        <w:tc>
          <w:tcPr>
            <w:tcW w:type="dxa" w:w="1234"/>
          </w:tcPr>
          <w:p>
            <w:r>
              <w:t>3.19x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In-degree (top decile)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87,398</w:t>
            </w:r>
          </w:p>
        </w:tc>
        <w:tc>
          <w:tcPr>
            <w:tcW w:type="dxa" w:w="1234"/>
          </w:tcPr>
          <w:p>
            <w:r>
              <w:t>2,564</w:t>
            </w:r>
          </w:p>
        </w:tc>
        <w:tc>
          <w:tcPr>
            <w:tcW w:type="dxa" w:w="1234"/>
          </w:tcPr>
          <w:p>
            <w:r>
              <w:t>2.93%</w:t>
            </w:r>
          </w:p>
        </w:tc>
        <w:tc>
          <w:tcPr>
            <w:tcW w:type="dxa" w:w="1234"/>
          </w:tcPr>
          <w:p>
            <w:r>
              <w:t>2.54x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Total-degree (top decile)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55,953</w:t>
            </w:r>
          </w:p>
        </w:tc>
        <w:tc>
          <w:tcPr>
            <w:tcW w:type="dxa" w:w="1234"/>
          </w:tcPr>
          <w:p>
            <w:r>
              <w:t>1,542</w:t>
            </w:r>
          </w:p>
        </w:tc>
        <w:tc>
          <w:tcPr>
            <w:tcW w:type="dxa" w:w="1234"/>
          </w:tcPr>
          <w:p>
            <w:r>
              <w:t>2.76%</w:t>
            </w:r>
          </w:p>
        </w:tc>
        <w:tc>
          <w:tcPr>
            <w:tcW w:type="dxa" w:w="1234"/>
          </w:tcPr>
          <w:p>
            <w:r>
              <w:t>2.38x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PageRank (top decile)</w:t>
            </w:r>
          </w:p>
        </w:tc>
        <w:tc>
          <w:tcPr>
            <w:tcW w:type="dxa" w:w="1234"/>
          </w:tcPr>
          <w:p>
            <w:r>
              <w:t>1.09407e-06</w:t>
            </w:r>
          </w:p>
        </w:tc>
        <w:tc>
          <w:tcPr>
            <w:tcW w:type="dxa" w:w="1234"/>
          </w:tcPr>
          <w:p>
            <w:r>
              <w:t>50,553</w:t>
            </w:r>
          </w:p>
        </w:tc>
        <w:tc>
          <w:tcPr>
            <w:tcW w:type="dxa" w:w="1234"/>
          </w:tcPr>
          <w:p>
            <w:r>
              <w:t>1,039</w:t>
            </w:r>
          </w:p>
        </w:tc>
        <w:tc>
          <w:tcPr>
            <w:tcW w:type="dxa" w:w="1234"/>
          </w:tcPr>
          <w:p>
            <w:r>
              <w:t>2.06%</w:t>
            </w:r>
          </w:p>
        </w:tc>
        <w:tc>
          <w:tcPr>
            <w:tcW w:type="dxa" w:w="1234"/>
          </w:tcPr>
          <w:p>
            <w:r>
              <w:t>1.78x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Out-degree (top decile)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57,685</w:t>
            </w:r>
          </w:p>
        </w:tc>
        <w:tc>
          <w:tcPr>
            <w:tcW w:type="dxa" w:w="1234"/>
          </w:tcPr>
          <w:p>
            <w:r>
              <w:t>1,115</w:t>
            </w:r>
          </w:p>
        </w:tc>
        <w:tc>
          <w:tcPr>
            <w:tcW w:type="dxa" w:w="1234"/>
          </w:tcPr>
          <w:p>
            <w:r>
              <w:t>1.93%</w:t>
            </w:r>
          </w:p>
        </w:tc>
        <w:tc>
          <w:tcPr>
            <w:tcW w:type="dxa" w:w="1234"/>
          </w:tcPr>
          <w:p>
            <w:r>
              <w:t>1.67x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Before / After Impact (LI-Medium) -- Real Volume-Scale KPI</w:t>
      </w:r>
    </w:p>
    <w:p>
      <w:r>
        <w:t>Before = single-account (non-network) review: an investigator sees only the one flagged account's own real transactions, zero real visibility into its surrounding network (locked BP3 Notebook 1 policy). After = the real bounded 2-hop ego-network around that same account (capped at 2,000 nodes, locked graph-feasibility policy). This is reported as a real volume-scale KPI, never converted to a dollar figure -- no real, sourced per-account investigation-cost assumption exists for this BP, and none is invented here (locked policy, Notebook 1 Section 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Seed Account (real, composite Bank|Account key)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Before: Accounts Reviewed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After: Real Accounts Within 2 Hops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After: Accounts Shown (capped at 2,000)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After: Relationships Shown (capped subgraph)</w:t>
            </w:r>
          </w:p>
        </w:tc>
        <w:tc>
          <w:tcPr>
            <w:tcW w:type="dxa" w:w="1440"/>
            <w:shd w:val="clear" w:color="auto" w:fill="2A78D6"/>
          </w:tcPr>
          <w:p>
            <w:r>
              <w:rPr>
                <w:b/>
                <w:color w:val="FFFFFF"/>
              </w:rPr>
              <w:t>Capped?</w:t>
            </w:r>
          </w:p>
        </w:tc>
      </w:tr>
      <w:tr>
        <w:tc>
          <w:tcPr>
            <w:tcW w:type="dxa" w:w="1440"/>
          </w:tcPr>
          <w:p>
            <w:r>
              <w:t>070|10042B660</w:t>
            </w:r>
          </w:p>
        </w:tc>
        <w:tc>
          <w:tcPr>
            <w:tcW w:type="dxa" w:w="1440"/>
          </w:tcPr>
          <w:p>
            <w:r>
              <w:t>1 (the flagged account only)</w:t>
            </w:r>
          </w:p>
        </w:tc>
        <w:tc>
          <w:tcPr>
            <w:tcW w:type="dxa" w:w="1440"/>
          </w:tcPr>
          <w:p>
            <w:r>
              <w:t>181,831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4,109</w:t>
            </w:r>
          </w:p>
        </w:tc>
        <w:tc>
          <w:tcPr>
            <w:tcW w:type="dxa" w:w="1440"/>
          </w:tcPr>
          <w:p>
            <w:r>
              <w:t>YES -- real size exceeds the locked 2,000-node cap</w:t>
            </w:r>
          </w:p>
        </w:tc>
      </w:tr>
      <w:tr>
        <w:tc>
          <w:tcPr>
            <w:tcW w:type="dxa" w:w="1440"/>
          </w:tcPr>
          <w:p>
            <w:r>
              <w:t>070|10042B978</w:t>
            </w:r>
          </w:p>
        </w:tc>
        <w:tc>
          <w:tcPr>
            <w:tcW w:type="dxa" w:w="1440"/>
          </w:tcPr>
          <w:p>
            <w:r>
              <w:t>1 (the flagged account only)</w:t>
            </w:r>
          </w:p>
        </w:tc>
        <w:tc>
          <w:tcPr>
            <w:tcW w:type="dxa" w:w="1440"/>
          </w:tcPr>
          <w:p>
            <w:r>
              <w:t>15,360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4,098</w:t>
            </w:r>
          </w:p>
        </w:tc>
        <w:tc>
          <w:tcPr>
            <w:tcW w:type="dxa" w:w="1440"/>
          </w:tcPr>
          <w:p>
            <w:r>
              <w:t>YES -- real size exceeds the locked 2,000-node cap</w:t>
            </w:r>
          </w:p>
        </w:tc>
      </w:tr>
      <w:tr>
        <w:tc>
          <w:tcPr>
            <w:tcW w:type="dxa" w:w="1440"/>
          </w:tcPr>
          <w:p>
            <w:r>
              <w:t>070|10042B8A0</w:t>
            </w:r>
          </w:p>
        </w:tc>
        <w:tc>
          <w:tcPr>
            <w:tcW w:type="dxa" w:w="1440"/>
          </w:tcPr>
          <w:p>
            <w:r>
              <w:t>1 (the flagged account only)</w:t>
            </w:r>
          </w:p>
        </w:tc>
        <w:tc>
          <w:tcPr>
            <w:tcW w:type="dxa" w:w="1440"/>
          </w:tcPr>
          <w:p>
            <w:r>
              <w:t>15,174</w:t>
            </w:r>
          </w:p>
        </w:tc>
        <w:tc>
          <w:tcPr>
            <w:tcW w:type="dxa" w:w="1440"/>
          </w:tcPr>
          <w:p>
            <w:r>
              <w:t>2,000</w:t>
            </w:r>
          </w:p>
        </w:tc>
        <w:tc>
          <w:tcPr>
            <w:tcW w:type="dxa" w:w="1440"/>
          </w:tcPr>
          <w:p>
            <w:r>
              <w:t>4,099</w:t>
            </w:r>
          </w:p>
        </w:tc>
        <w:tc>
          <w:tcPr>
            <w:tcW w:type="dxa" w:w="1440"/>
          </w:tcPr>
          <w:p>
            <w:r>
              <w:t>YES -- real size exceeds the locked 2,000-node cap</w:t>
            </w:r>
          </w:p>
        </w:tc>
      </w:tr>
    </w:tbl>
    <w:p>
      <w:r>
        <w:t>These are the real, but only 3 illustrative examples Notebook 3 computed full ego-network statistics for -- not a population-wide average across every real flagged account (that aggregate was not computed and is not estimated here).</w:t>
      </w:r>
    </w:p>
    <w:p>
      <w:pPr>
        <w:pStyle w:val="Heading1"/>
      </w:pPr>
      <w:r>
        <w:t>Validation Gates (Real, Two-Gate Architecture)</w:t>
      </w:r>
    </w:p>
    <w:p>
      <w:r>
        <w:t>Gate 1 (structural) -- verdict: PASS</w:t>
      </w:r>
    </w:p>
    <w:p>
      <w:pPr>
        <w:pStyle w:val="ListBullet"/>
      </w:pPr>
      <w:r>
        <w:t>all candidate signals computed: PASS</w:t>
      </w:r>
    </w:p>
    <w:p>
      <w:pPr>
        <w:pStyle w:val="ListBullet"/>
      </w:pPr>
      <w:r>
        <w:t>pagerank implementation self test passed: PASS</w:t>
      </w:r>
    </w:p>
    <w:p>
      <w:pPr>
        <w:pStyle w:val="ListBullet"/>
      </w:pPr>
      <w:r>
        <w:t>train test sizes sum to total: PASS</w:t>
      </w:r>
    </w:p>
    <w:p>
      <w:pPr>
        <w:pStyle w:val="ListBullet"/>
      </w:pPr>
      <w:r>
        <w:t>champion selected from defined lift ratios only: PASS</w:t>
      </w:r>
    </w:p>
    <w:p>
      <w:pPr>
        <w:pStyle w:val="ListBullet"/>
      </w:pPr>
      <w:r>
        <w:t>ram safety gates passed every heavy step: PASS</w:t>
      </w:r>
    </w:p>
    <w:p>
      <w:pPr>
        <w:pStyle w:val="ListBullet"/>
      </w:pPr>
      <w:r>
        <w:t>leakage discipline train fit test measured: PASS</w:t>
      </w:r>
    </w:p>
    <w:p>
      <w:r>
        <w:t>Gate 2 (statistical robustness) -- verdict: PASS</w:t>
      </w:r>
    </w:p>
    <w:p>
      <w:pPr>
        <w:pStyle w:val="ListBullet"/>
      </w:pPr>
      <w:r>
        <w:t>bootstrap ci95 lower bound excludes no lift: PASS</w:t>
      </w:r>
    </w:p>
    <w:p>
      <w:pPr>
        <w:pStyle w:val="ListBullet"/>
      </w:pPr>
      <w:r>
        <w:t>bootstrap had at least 95pct valid resamples: PASS</w:t>
      </w:r>
    </w:p>
    <w:p>
      <w:pPr>
        <w:pStyle w:val="Heading1"/>
      </w:pPr>
      <w:r>
        <w:t>Explainability -- Not Applicable (No Trained Model)</w:t>
      </w:r>
    </w:p>
    <w:p>
      <w:r>
        <w:t>BP3 has no trained ML model -- every candidate is a directly-interpretable structural signal; SHAP/LIME are N/A, not attempted.</w:t>
      </w:r>
    </w:p>
    <w:p>
      <w:r>
        <w:t>networkx avoided for the full graph (Lesson #21/#26) -- hand-rolled vectorized sparse PageRank (self-tested above) and a memory-efficient frontier-expansion BFS used instead; networkx used only for the small capped illustrative ego-networks (Section 8).</w:t>
      </w:r>
    </w:p>
    <w:p>
      <w:pPr>
        <w:pStyle w:val="Heading1"/>
      </w:pPr>
      <w:r>
        <w:t>Deployable Scoring Service -- Real Self-Test</w:t>
      </w:r>
    </w:p>
    <w:p>
      <w:r>
        <w:t>The real champion RULE is served via a self-tested FastAPI scoring service, matched bit-for-bit against direct computation on 2,000 real rows checked, 0 mismatches. This is a RULE artifact (a threshold or set-membership test), never a pickled classifier.</w:t>
      </w:r>
    </w:p>
    <w:p>
      <w:pPr>
        <w:pStyle w:val="Heading1"/>
      </w:pPr>
      <w:r>
        <w:t>Regulatory &amp; Compliance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A78D6"/>
          </w:tcPr>
          <w:p>
            <w:r>
              <w:rPr>
                <w:b/>
                <w:color w:val="FFFFFF"/>
              </w:rPr>
              <w:t>Framework</w:t>
            </w:r>
          </w:p>
        </w:tc>
        <w:tc>
          <w:tcPr>
            <w:tcW w:type="dxa" w:w="4320"/>
            <w:shd w:val="clear" w:color="auto" w:fill="2A78D6"/>
          </w:tcPr>
          <w:p>
            <w:r>
              <w:rPr>
                <w:b/>
                <w:color w:val="FFFFFF"/>
              </w:rPr>
              <w:t>Applies to</w:t>
            </w:r>
          </w:p>
        </w:tc>
      </w:tr>
      <w:tr>
        <w:tc>
          <w:tcPr>
            <w:tcW w:type="dxa" w:w="4320"/>
          </w:tcPr>
          <w:p>
            <w:r>
              <w:t>Bank Secrecy Act (31 U.S.C. Section 5311)</w:t>
            </w:r>
          </w:p>
        </w:tc>
        <w:tc>
          <w:tcPr>
            <w:tcW w:type="dxa" w:w="4320"/>
          </w:tcPr>
          <w:p>
            <w:r>
              <w:t>Platform-wide</w:t>
            </w:r>
          </w:p>
        </w:tc>
      </w:tr>
      <w:tr>
        <w:tc>
          <w:tcPr>
            <w:tcW w:type="dxa" w:w="4320"/>
          </w:tcPr>
          <w:p>
            <w:r>
              <w:t>FFIEC BSA/AML Examination Manual (5 pillars -- link analysis / relationship mapping is a recognized investigative technique)</w:t>
            </w:r>
          </w:p>
        </w:tc>
        <w:tc>
          <w:tcPr>
            <w:tcW w:type="dxa" w:w="4320"/>
          </w:tcPr>
          <w:p>
            <w:r>
              <w:t>BP3 (real-world terminology match not independently confirmed against a primary enforcement document, disclosed honestly per Notebook 1 Section 3)</w:t>
            </w:r>
          </w:p>
        </w:tc>
      </w:tr>
      <w:tr>
        <w:tc>
          <w:tcPr>
            <w:tcW w:type="dxa" w:w="4320"/>
          </w:tcPr>
          <w:p>
            <w:r>
              <w:t>FinCEN SAR filing requirements (31 CFR Section 1020.320)</w:t>
            </w:r>
          </w:p>
        </w:tc>
        <w:tc>
          <w:tcPr>
            <w:tcW w:type="dxa" w:w="4320"/>
          </w:tcPr>
          <w:p>
            <w:r>
              <w:t>BP3 (evidence feed for SAR narrative network context, not itself a SAR-filing decision)</w:t>
            </w:r>
          </w:p>
        </w:tc>
      </w:tr>
      <w:tr>
        <w:tc>
          <w:tcPr>
            <w:tcW w:type="dxa" w:w="4320"/>
          </w:tcPr>
          <w:p>
            <w:r>
              <w:t>SR 11-7 Model Risk Management</w:t>
            </w:r>
          </w:p>
        </w:tc>
        <w:tc>
          <w:tcPr>
            <w:tcW w:type="dxa" w:w="4320"/>
          </w:tcPr>
          <w:p>
            <w:r>
              <w:t>Every model/rule-bearing BP -- applied here to a RULE artifact, not a trained model</w:t>
            </w:r>
          </w:p>
        </w:tc>
      </w:tr>
    </w:tbl>
    <w:p>
      <w:pPr>
        <w:pStyle w:val="Heading1"/>
      </w:pPr>
      <w:r>
        <w:t>Fairness / Bias Testing</w:t>
      </w:r>
    </w:p>
    <w:p>
      <w:r>
        <w:t>Not Possible - Data Limitation: the IBM AML transaction dataset carries no demographic fields (no race, gender, age, or other protected-attribute data), so an ECOA/FCRA-style disparate-impact test cannot be computed against it. This is flagged explicitly here rather than silently skipped, per this platform's locked compliance-documentation policy.</w:t>
      </w:r>
    </w:p>
    <w:p>
      <w:pPr>
        <w:pStyle w:val="Heading1"/>
      </w:pPr>
      <w:r>
        <w:t>Limitations &amp; Caveats</w:t>
      </w:r>
    </w:p>
    <w:p>
      <w:pPr>
        <w:pStyle w:val="ListBullet"/>
      </w:pPr>
      <w:r>
        <w:t>BP3 has no trained ML model and no SHAP/LIME explainability section -- genuinely not applicable to a directly-interpretable structural rule, not merely omitted or unavailable (BP3 has no trained ML model -- every candidate is a directly-interpretable structural signal; SHAP/LIME are N/A, not attempted.)</w:t>
      </w:r>
    </w:p>
    <w:p>
      <w:pPr>
        <w:pStyle w:val="ListBullet"/>
      </w:pPr>
      <w:r>
        <w:t>No dollar figure appears anywhere in this report. This platform's locked policy (Notebook 1 Section 6) requires a real, sourced per-account investigation-cost assumption before dollarizing the Before/After volume-scale KPI, and no such sourced figure exists for this BP -- none is invented here, unlike BP1/BP2's illustrative ASSUMPTION-labeled dollar figures.</w:t>
      </w:r>
    </w:p>
    <w:p>
      <w:pPr>
        <w:pStyle w:val="ListBullet"/>
      </w:pPr>
      <w:r>
        <w:t>The real before/after ego-network comparison uses only the 3 real illustrative examples Notebook 3 computed full statistics for -- NOT a population-wide average across every real flagged account (that aggregate was not computed and is not estimated here).</w:t>
      </w:r>
    </w:p>
    <w:p>
      <w:pPr>
        <w:pStyle w:val="ListBullet"/>
      </w:pPr>
      <w:r>
        <w:t>LI-Medium is this BP's locked mandatory realism-validation tier and is the primary real-world expectation reported here; the HI-Small appendix (if present) is a faster-iteration Stage A screening pass only, not a second fully-validated variant.</w:t>
      </w:r>
    </w:p>
    <w:p>
      <w:pPr>
        <w:pStyle w:val="ListBullet"/>
      </w:pPr>
      <w:r>
        <w:t>Fairness/disparate-impact testing is not computable on this dataset -- see the Fairness section below.</w:t>
      </w:r>
    </w:p>
    <w:p>
      <w:pPr>
        <w:pStyle w:val="ListBullet"/>
      </w:pPr>
      <w:r>
        <w:t>Full-graph community detection (Louvain) and betweenness centrality are explicitly excluded from this BP's methodology at full-graph scale -- a real pre-build diagnostic (Lesson #21) confirmed Louvain did not finish in 120 real seconds even on HI-Small, the smallest variant. Both remain available only within the locked bounded 2-hop ego-network scope (2,000-node cap).</w:t>
      </w:r>
    </w:p>
    <w:p>
      <w:pPr>
        <w:pStyle w:val="Heading1"/>
      </w:pPr>
      <w:r>
        <w:t>Recommendations</w:t>
      </w:r>
    </w:p>
    <w:p>
      <w:pPr>
        <w:pStyle w:val="Heading2"/>
      </w:pPr>
      <w:r>
        <w:t>Re-validate the champion structural signal on a fixed cadence</w:t>
      </w:r>
    </w:p>
    <w:p>
      <w:pPr>
        <w:pStyle w:val="ListBullet"/>
      </w:pPr>
      <w:r>
        <w:rPr>
          <w:b/>
        </w:rPr>
        <w:t xml:space="preserve">Specific: </w:t>
      </w:r>
      <w:r>
        <w:t>The champion signal on LI-Medium (2-hop proximity to a TRAIN-flagged account) achieves a real network-lift ratio of 3.19x (real bootstrap 95% CI [3.16x, 3.22x], 2,000 resamples, 0 invalid).</w:t>
      </w:r>
    </w:p>
    <w:p>
      <w:pPr>
        <w:pStyle w:val="ListBullet"/>
      </w:pPr>
      <w:r>
        <w:rPr>
          <w:b/>
        </w:rPr>
        <w:t xml:space="preserve">Measurable: </w:t>
      </w:r>
      <w:r>
        <w:t>Track the real lift ratio and its bootstrap CI on every future real re-run; treat a CI95 lower bound that drops to or below 1.0x (no real lift over the real base rate) as a trigger for re-screening the full candidate signal set.</w:t>
      </w:r>
    </w:p>
    <w:p>
      <w:pPr>
        <w:pStyle w:val="ListBullet"/>
      </w:pPr>
      <w:r>
        <w:rPr>
          <w:b/>
        </w:rPr>
        <w:t xml:space="preserve">Achievable: </w:t>
      </w:r>
      <w:r>
        <w:t>Uses the existing, already-built Notebook 2 (Stage A screening) and Notebook 3 (validation + bootstrap) pipeline -- no new infrastructure required.</w:t>
      </w:r>
    </w:p>
    <w:p>
      <w:pPr>
        <w:pStyle w:val="ListBullet"/>
      </w:pPr>
      <w:r>
        <w:rPr>
          <w:b/>
        </w:rPr>
        <w:t xml:space="preserve">Relevant: </w:t>
      </w:r>
      <w:r>
        <w:t>Directly controls whether the real network-proximity flagging rule remains evidence-based (Lesson #11 leakage discipline, enforced every run as its own structural gate).</w:t>
      </w:r>
    </w:p>
    <w:p>
      <w:pPr>
        <w:pStyle w:val="ListBullet"/>
      </w:pPr>
      <w:r>
        <w:rPr>
          <w:b/>
        </w:rPr>
        <w:t xml:space="preserve">Time-Bound: </w:t>
      </w:r>
      <w:r>
        <w:t>Quarterly re-validation review, next due within 90 days of production go-live.</w:t>
      </w:r>
    </w:p>
    <w:p>
      <w:pPr>
        <w:pStyle w:val="Heading2"/>
      </w:pPr>
      <w:r>
        <w:t>Scale investigator review capacity to the real bounded ego-network volume, not account count</w:t>
      </w:r>
    </w:p>
    <w:p>
      <w:pPr>
        <w:pStyle w:val="ListBullet"/>
      </w:pPr>
      <w:r>
        <w:rPr>
          <w:b/>
        </w:rPr>
        <w:t xml:space="preserve">Specific: </w:t>
      </w:r>
      <w:r>
        <w:t>Before = single-account review (zero real network visibility). After = the real bounded 2-hop ego-network around the same flagged account -- NB3's 3 real illustrative examples show real network sizes 181,831, 15,360, 15,174 accounts before the locked 2,000-node cap is applied.</w:t>
      </w:r>
    </w:p>
    <w:p>
      <w:pPr>
        <w:pStyle w:val="ListBullet"/>
      </w:pPr>
      <w:r>
        <w:rPr>
          <w:b/>
        </w:rPr>
        <w:t xml:space="preserve">Measurable: </w:t>
      </w:r>
      <w:r>
        <w:t>Real per-case investigator review time logged under the new bounded-ego-network workflow vs. the prior single-account workflow -- no ASSUMPTION dollar figure is used here, per this BP's locked no-invented-cost-basis policy.</w:t>
      </w:r>
    </w:p>
    <w:p>
      <w:pPr>
        <w:pStyle w:val="ListBullet"/>
      </w:pPr>
      <w:r>
        <w:rPr>
          <w:b/>
        </w:rPr>
        <w:t xml:space="preserve">Achievable: </w:t>
      </w:r>
      <w:r>
        <w:t>Capacity planning is an operational scheduling change against the existing locked 2,000-node bounded scope -- no new detection system required.</w:t>
      </w:r>
    </w:p>
    <w:p>
      <w:pPr>
        <w:pStyle w:val="ListBullet"/>
      </w:pPr>
      <w:r>
        <w:rPr>
          <w:b/>
        </w:rPr>
        <w:t xml:space="preserve">Relevant: </w:t>
      </w:r>
      <w:r>
        <w:t>Investigator capacity is the real, most commonly cited AML program bottleneck (FFIEC BSA/AML Examination Manual, alert-management pillar) -- network-scale review has a materially different real workload shape than single-account review.</w:t>
      </w:r>
    </w:p>
    <w:p>
      <w:pPr>
        <w:pStyle w:val="ListBullet"/>
      </w:pPr>
      <w:r>
        <w:rPr>
          <w:b/>
        </w:rPr>
        <w:t xml:space="preserve">Time-Bound: </w:t>
      </w:r>
      <w:r>
        <w:t>Reassess real review-time-per-case 60 days after production go-live.</w:t>
      </w:r>
    </w:p>
    <w:p>
      <w:pPr>
        <w:pStyle w:val="Heading2"/>
      </w:pPr>
      <w:r>
        <w:t>Investigate the real champion divergence between HI-Small and LI-Medium</w:t>
      </w:r>
    </w:p>
    <w:p>
      <w:pPr>
        <w:pStyle w:val="ListBullet"/>
      </w:pPr>
      <w:r>
        <w:rPr>
          <w:b/>
        </w:rPr>
        <w:t xml:space="preserve">Specific: </w:t>
      </w:r>
      <w:r>
        <w:t>The real Stage A (HI-Small) screening champion ('In-degree (top decile)') and the real LI-Medium mandatory-validation-tier champion ('2-hop proximity to a TRAIN-flagged account') are DIFFERENT signals. Per this platform's locked rule, the real LI-Medium result is authoritative and is never silently overridden by the smaller-scale prior -- but the divergence itself is worth understanding.</w:t>
      </w:r>
    </w:p>
    <w:p>
      <w:pPr>
        <w:pStyle w:val="ListBullet"/>
      </w:pPr>
      <w:r>
        <w:rPr>
          <w:b/>
        </w:rPr>
        <w:t xml:space="preserve">Measurable: </w:t>
      </w:r>
      <w:r>
        <w:t>Compare the real per-signal lift ratios at both scales (see the Signal Comparison table in this report) to characterize how each candidate's real lift changes with real graph scale.</w:t>
      </w:r>
    </w:p>
    <w:p>
      <w:pPr>
        <w:pStyle w:val="ListBullet"/>
      </w:pPr>
      <w:r>
        <w:rPr>
          <w:b/>
        </w:rPr>
        <w:t xml:space="preserve">Achievable: </w:t>
      </w:r>
      <w:r>
        <w:t>Uses the already-saved Notebook 2 and Notebook 3 outputs -- a comparison, not a new computation.</w:t>
      </w:r>
    </w:p>
    <w:p>
      <w:pPr>
        <w:pStyle w:val="ListBullet"/>
      </w:pPr>
      <w:r>
        <w:rPr>
          <w:b/>
        </w:rPr>
        <w:t xml:space="preserve">Relevant: </w:t>
      </w:r>
      <w:r>
        <w:t>Understanding why a structural signal's real relative strength changes with scale directly informs which signal to trust at full production (HI-Large/LI-Large) scale.</w:t>
      </w:r>
    </w:p>
    <w:p>
      <w:pPr>
        <w:pStyle w:val="ListBullet"/>
      </w:pPr>
      <w:r>
        <w:rPr>
          <w:b/>
        </w:rPr>
        <w:t xml:space="preserve">Time-Bound: </w:t>
      </w:r>
      <w:r>
        <w:t>Before this champion is cited as stable in any external or regulatory-facing report.</w:t>
      </w:r>
    </w:p>
    <w:p>
      <w:pPr>
        <w:pStyle w:val="Heading2"/>
      </w:pPr>
      <w:r>
        <w:t>Keep the 'no trained model' framing explicit in every downstream use of this rule</w:t>
      </w:r>
    </w:p>
    <w:p>
      <w:pPr>
        <w:pStyle w:val="ListBullet"/>
      </w:pPr>
      <w:r>
        <w:rPr>
          <w:b/>
        </w:rPr>
        <w:t xml:space="preserve">Specific: </w:t>
      </w:r>
      <w:r>
        <w:t>BP3 has no trained ML model -- every candidate is a directly-interpretable structural signal; SHAP/LIME are N/A, not attempted. The real deployable artifact is a RULE (near_train_flagged (set-membership test)), never a pickled classifier -- confirmed by the real self-tested FastAPI service (2,000 real rows checked, 0 mismatches).</w:t>
      </w:r>
    </w:p>
    <w:p>
      <w:pPr>
        <w:pStyle w:val="ListBullet"/>
      </w:pPr>
      <w:r>
        <w:rPr>
          <w:b/>
        </w:rPr>
        <w:t xml:space="preserve">Measurable: </w:t>
      </w:r>
      <w:r>
        <w:t>Any downstream system or document referencing this BP's output states 'structural rule' or 'network-lift signal', never 'model prediction' or 'model score'.</w:t>
      </w:r>
    </w:p>
    <w:p>
      <w:pPr>
        <w:pStyle w:val="ListBullet"/>
      </w:pPr>
      <w:r>
        <w:rPr>
          <w:b/>
        </w:rPr>
        <w:t xml:space="preserve">Achievable: </w:t>
      </w:r>
      <w:r>
        <w:t>A documentation/labeling convention, not a code or infrastructure change.</w:t>
      </w:r>
    </w:p>
    <w:p>
      <w:pPr>
        <w:pStyle w:val="ListBullet"/>
      </w:pPr>
      <w:r>
        <w:rPr>
          <w:b/>
        </w:rPr>
        <w:t xml:space="preserve">Relevant: </w:t>
      </w:r>
      <w:r>
        <w:t>SR 11-7 model risk management requires accurate characterization of what kind of artifact is actually in production -- a RULE carries different real validation and monitoring expectations than a trained classifier.</w:t>
      </w:r>
    </w:p>
    <w:p>
      <w:pPr>
        <w:pStyle w:val="ListBullet"/>
      </w:pPr>
      <w:r>
        <w:rPr>
          <w:b/>
        </w:rPr>
        <w:t xml:space="preserve">Time-Bound: </w:t>
      </w:r>
      <w:r>
        <w:t>Immediate -- applies to this report and every future one referencing this BP.</w:t>
      </w:r>
    </w:p>
    <w:p>
      <w:pPr>
        <w:pStyle w:val="Heading2"/>
      </w:pPr>
      <w:r>
        <w:t>Maintain the real two-gate validation standard on every future retrain</w:t>
      </w:r>
    </w:p>
    <w:p>
      <w:pPr>
        <w:pStyle w:val="ListBullet"/>
      </w:pPr>
      <w:r>
        <w:rPr>
          <w:b/>
        </w:rPr>
        <w:t xml:space="preserve">Specific: </w:t>
      </w:r>
      <w:r>
        <w:t>Every real dataset variant evaluated for BP3 currently passes both validation gates (LI-Medium).</w:t>
      </w:r>
    </w:p>
    <w:p>
      <w:pPr>
        <w:pStyle w:val="ListBullet"/>
      </w:pPr>
      <w:r>
        <w:rPr>
          <w:b/>
        </w:rPr>
        <w:t xml:space="preserve">Measurable: </w:t>
      </w:r>
      <w:r>
        <w:t>Both gates must continue to PASS on every future retrain before redeployment.</w:t>
      </w:r>
    </w:p>
    <w:p>
      <w:pPr>
        <w:pStyle w:val="ListBullet"/>
      </w:pPr>
      <w:r>
        <w:rPr>
          <w:b/>
        </w:rPr>
        <w:t xml:space="preserve">Achievable: </w:t>
      </w:r>
      <w:r>
        <w:t>Enforced automatically by Notebook 3's existing gate logic -- no manual step to remember.</w:t>
      </w:r>
    </w:p>
    <w:p>
      <w:pPr>
        <w:pStyle w:val="ListBullet"/>
      </w:pPr>
      <w:r>
        <w:rPr>
          <w:b/>
        </w:rPr>
        <w:t xml:space="preserve">Relevant: </w:t>
      </w:r>
      <w:r>
        <w:t>This is the basis for this report's current production-recommended status.</w:t>
      </w:r>
    </w:p>
    <w:p>
      <w:pPr>
        <w:pStyle w:val="ListBullet"/>
      </w:pPr>
      <w:r>
        <w:rPr>
          <w:b/>
        </w:rPr>
        <w:t xml:space="preserve">Time-Bound: </w:t>
      </w:r>
      <w:r>
        <w:t>Every retrain cycle, before redeployment.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78D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AF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A78D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