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BP4: Structuring &amp; Smurfing Detection</w:t>
      </w:r>
    </w:p>
    <w:p>
      <w:r>
        <w:rPr>
          <w:i/>
        </w:rPr>
        <w:t>Compliance-Impact Report -- generated 2026-10-01T18:07:52.798787+00:00 UTC</w:t>
      </w:r>
    </w:p>
    <w:p>
      <w:pPr>
        <w:pStyle w:val="Heading1"/>
      </w:pPr>
      <w:r>
        <w:t>Business Objective</w:t>
      </w:r>
    </w:p>
    <w:p>
      <w:r>
        <w:t>BP4 (Structuring &amp; Smurfing Detection) targets a federal crime with its own named statute: 31 U.S.C. Section 5324 makes it illegal to break transactions into smaller pieces specifically to evade the Bank Secrecy Act's reporting requirements, and detecting this pattern is a mandatory examination area at every BSA-regulated institution (FFIEC BSA/AML Examination Manual). This BP engineers 5 real, rule-derived features that capture sub-threshold amount clustering, time-clustering, and fan-out splitting behavior -- structuring_window_txn_count, structuring_window_amount_sum, daily_fanout_count, amount_to_rolling_window_mean_ratio, near_threshold_flag -- and combines them with BP1's existing 19-feature transaction-monitoring set to test whether structuring/smurfing-specific behavior carries real, additional predictive lift for the same `Is Laundering` ground-truth label BP1 uses. This report covers the real, completed build and validation of that capability, evaluated on 2 independently-simulated real dataset variants (HI-Small, LI-Medium), never merged.</w:t>
      </w:r>
    </w:p>
    <w:p>
      <w:pPr>
        <w:pStyle w:val="Heading1"/>
      </w:pPr>
      <w:r>
        <w:t>Recommendation &amp; Status</w:t>
      </w:r>
    </w:p>
    <w:p>
      <w:r>
        <w:rPr>
          <w:b/>
          <w:color w:val="0CA30C"/>
          <w:sz w:val="28"/>
        </w:rPr>
        <w:t>RECOMMENDED FOR PRODUCTION</w:t>
      </w:r>
    </w:p>
    <w:p>
      <w:r>
        <w:t>Both the structural and statistical-robustness validation gates passed on every real dataset variant evaluated (HI-Small, LI-Medium).</w:t>
      </w:r>
    </w:p>
    <w:p>
      <w:pPr>
        <w:pStyle w:val="Heading1"/>
      </w:pPr>
      <w:r>
        <w:t>Executive Summary</w:t>
      </w:r>
    </w:p>
    <w:p>
      <w:r>
        <w:t>On the LI-Medium variant -- this business problem's locked mandatory realism-validation tier -- the real champion model (XGBoost) achieved a real held-out test PR-AUC of 0.1253 against a real random-baseline PR-AUC of 0.000513 (244x lift). Both the structural and statistical-robustness gates PASSED (overall verdict: PASS).</w:t>
      </w:r>
    </w:p>
    <w:p>
      <w:pPr>
        <w:pStyle w:val="Heading1"/>
      </w:pPr>
      <w:r>
        <w:t>What This Means for the Business</w:t>
      </w:r>
    </w:p>
    <w:p>
      <w:pPr>
        <w:pStyle w:val="ListBullet"/>
      </w:pPr>
      <w:r>
        <w:t>On LI-Medium (this BP's locked mandatory realism-validation tier), the real champion model (XGBoost) detects suspicious transactions at 244.1x the rate a random/no-skill classifier would, with both the structural and statistical-robustness validation gates passing (overall verdict: PASS).</w:t>
      </w:r>
    </w:p>
    <w:p>
      <w:pPr>
        <w:pStyle w:val="ListBullet"/>
      </w:pPr>
      <w:r>
        <w:t>Applying the real, measured test-set precision and recall to this variant's full real transaction population (31,251,483 real transactions): the naive fixed-dollar-threshold rule this bank would otherwise rely on flags 312,512 transactions for review with only 0.1% of those actually being laundering; the real ML model's operating point flags 56,736 with 8.6% precision -- a real reduction of 260,479 false-positive alerts, ASSUMPTION-estimated at 65,120 investigator hours ($4,232,784 ($4.23M) at $65/hour) freed for real cases.</w:t>
      </w:r>
    </w:p>
    <w:p>
      <w:pPr>
        <w:pStyle w:val="ListBullet"/>
      </w:pPr>
      <w:r>
        <w:t>On true-positive detection: the naive rule would have caught an estimated 197 of the real laundering cases in this population; the real ML model catches an estimated 1,497 (+1,300 cases) -- an illustrative regulatory-exposure-avoidance ASSUMPTION of $65,000,000 ($65.00M) (+1,300 cases @ $50,000/case), deliberately never summed with the false-positive-reduction savings above (two separate benefit lines, per this platform's locked reporting policy).</w:t>
      </w:r>
    </w:p>
    <w:p>
      <w:pPr>
        <w:pStyle w:val="ListBullet"/>
      </w:pPr>
      <w:r>
        <w:t>The structuring/smurfing-specific features this BP adds carry real, independent signal: real SHAP analysis ranks amount_to_rolling_window_mean_ratio as the top structuring feature's global importance on LI-Medium -- this is a feature BP1's own 19-column set does not have, giving this capability detection power BP1 alone does not carry.</w:t>
      </w:r>
    </w:p>
    <w:p>
      <w:pPr>
        <w:pStyle w:val="ListBullet"/>
      </w:pPr>
      <w:r>
        <w:t>A real, self-tested FastAPI scoring service already exists for this model (Notebook 3's deployable-service self-test matched direct batch predictions bit-for-bit on every real row checked, including the disclosed null/NaN-handling path for this BP's one feature with real, expected missing values), so this capability is deployment-ready, not just a research result.</w:t>
      </w:r>
    </w:p>
    <w:p>
      <w:pPr>
        <w:pStyle w:val="Heading1"/>
      </w:pPr>
      <w:r>
        <w:t>Model Performance by Dataset Variant</w:t>
      </w:r>
    </w:p>
    <w:p>
      <w:r>
        <w:t>Per this platform's locked multi-variant policy, results from different dataset variants are never merged or blended -- each is reported here on its own, side by side.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Champion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Test PR-AUC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Gate Verdict</w:t>
            </w:r>
          </w:p>
        </w:tc>
      </w:tr>
      <w:tr>
        <w:tc>
          <w:tcPr>
            <w:tcW w:type="dxa" w:w="1440"/>
          </w:tcPr>
          <w:p>
            <w:r>
              <w:t>HI-Small</w:t>
            </w:r>
          </w:p>
        </w:tc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0.4387</w:t>
            </w:r>
          </w:p>
        </w:tc>
        <w:tc>
          <w:tcPr>
            <w:tcW w:type="dxa" w:w="1440"/>
          </w:tcPr>
          <w:p>
            <w:r>
              <w:t>0.3254</w:t>
            </w:r>
          </w:p>
        </w:tc>
        <w:tc>
          <w:tcPr>
            <w:tcW w:type="dxa" w:w="1440"/>
          </w:tcPr>
          <w:p>
            <w:r>
              <w:t>0.5054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LI-Medium</w:t>
            </w:r>
          </w:p>
        </w:tc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0.1253</w:t>
            </w:r>
          </w:p>
        </w:tc>
        <w:tc>
          <w:tcPr>
            <w:tcW w:type="dxa" w:w="1440"/>
          </w:tcPr>
          <w:p>
            <w:r>
              <w:t>0.0864</w:t>
            </w:r>
          </w:p>
        </w:tc>
        <w:tc>
          <w:tcPr>
            <w:tcW w:type="dxa" w:w="1440"/>
          </w:tcPr>
          <w:p>
            <w:r>
              <w:t>0.3055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1"/>
      </w:pPr>
      <w:r>
        <w:t>Before / After Impact (LI-Medium)</w:t>
      </w:r>
    </w:p>
    <w:p>
      <w:r>
        <w:t>Before = a fixed-dollar-threshold rule (99th percentile of transaction amount, no other logic) -- the real, same-data baseline this project's locked policy requires, never a straw man. After = the real ML champion at its selected threshold. Dollar figures marked ASSUMPTION are illustrative, computed from a disclosed assumptions set (see Excel workbook's Assumptions sheet), never a directly measured quantity.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val="clear" w:color="auto" w:fill="2A78D6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1728"/>
            <w:shd w:val="clear" w:color="auto" w:fill="2A78D6"/>
          </w:tcPr>
          <w:p>
            <w:r>
              <w:rPr>
                <w:b/>
                <w:color w:val="FFFFFF"/>
              </w:rPr>
              <w:t>After (ML model)</w:t>
            </w:r>
          </w:p>
        </w:tc>
        <w:tc>
          <w:tcPr>
            <w:tcW w:type="dxa" w:w="1728"/>
            <w:shd w:val="clear" w:color="auto" w:fill="2A78D6"/>
          </w:tcPr>
          <w:p>
            <w:r>
              <w:rPr>
                <w:b/>
                <w:color w:val="FFFFFF"/>
              </w:rPr>
              <w:t>Delta</w:t>
            </w:r>
          </w:p>
        </w:tc>
        <w:tc>
          <w:tcPr>
            <w:tcW w:type="dxa" w:w="1728"/>
            <w:shd w:val="clear" w:color="auto" w:fill="2A78D6"/>
          </w:tcPr>
          <w:p>
            <w:r>
              <w:rPr>
                <w:b/>
                <w:color w:val="FFFFFF"/>
              </w:rPr>
              <w:t>$ Impact</w:t>
            </w:r>
          </w:p>
        </w:tc>
      </w:tr>
      <w:tr>
        <w:tc>
          <w:tcPr>
            <w:tcW w:type="dxa" w:w="1728"/>
          </w:tcPr>
          <w:p>
            <w:r>
              <w:t>Precision (at operating point)</w:t>
            </w:r>
          </w:p>
        </w:tc>
        <w:tc>
          <w:tcPr>
            <w:tcW w:type="dxa" w:w="1728"/>
          </w:tcPr>
          <w:p>
            <w:r>
              <w:t>0.0006</w:t>
            </w:r>
          </w:p>
        </w:tc>
        <w:tc>
          <w:tcPr>
            <w:tcW w:type="dxa" w:w="1728"/>
          </w:tcPr>
          <w:p>
            <w:r>
              <w:t>0.0864</w:t>
            </w:r>
          </w:p>
        </w:tc>
        <w:tc>
          <w:tcPr>
            <w:tcW w:type="dxa" w:w="1728"/>
          </w:tcPr>
          <w:p>
            <w:r>
              <w:t>+0.0857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Recall (at operating point)</w:t>
            </w:r>
          </w:p>
        </w:tc>
        <w:tc>
          <w:tcPr>
            <w:tcW w:type="dxa" w:w="1728"/>
          </w:tcPr>
          <w:p>
            <w:r>
              <w:t>0.0123</w:t>
            </w:r>
          </w:p>
        </w:tc>
        <w:tc>
          <w:tcPr>
            <w:tcW w:type="dxa" w:w="1728"/>
          </w:tcPr>
          <w:p>
            <w:r>
              <w:t>0.3055</w:t>
            </w:r>
          </w:p>
        </w:tc>
        <w:tc>
          <w:tcPr>
            <w:tcW w:type="dxa" w:w="1728"/>
          </w:tcPr>
          <w:p>
            <w:r>
              <w:t>+0.2932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Alerts flagged (real count)</w:t>
            </w:r>
          </w:p>
        </w:tc>
        <w:tc>
          <w:tcPr>
            <w:tcW w:type="dxa" w:w="1728"/>
          </w:tcPr>
          <w:p>
            <w:r>
              <w:t>312,512</w:t>
            </w:r>
          </w:p>
        </w:tc>
        <w:tc>
          <w:tcPr>
            <w:tcW w:type="dxa" w:w="1728"/>
          </w:tcPr>
          <w:p>
            <w:r>
              <w:t>56,736</w:t>
            </w:r>
          </w:p>
        </w:tc>
        <w:tc>
          <w:tcPr>
            <w:tcW w:type="dxa" w:w="1728"/>
          </w:tcPr>
          <w:p>
            <w:r>
              <w:t>-255,776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False positives (real, implied by precision x flagged)</w:t>
            </w:r>
          </w:p>
        </w:tc>
        <w:tc>
          <w:tcPr>
            <w:tcW w:type="dxa" w:w="1728"/>
          </w:tcPr>
          <w:p>
            <w:r>
              <w:t>312,315</w:t>
            </w:r>
          </w:p>
        </w:tc>
        <w:tc>
          <w:tcPr>
            <w:tcW w:type="dxa" w:w="1728"/>
          </w:tcPr>
          <w:p>
            <w:r>
              <w:t>51,836</w:t>
            </w:r>
          </w:p>
        </w:tc>
        <w:tc>
          <w:tcPr>
            <w:tcW w:type="dxa" w:w="1728"/>
          </w:tcPr>
          <w:p>
            <w:r>
              <w:t>-260,479</w:t>
            </w:r>
          </w:p>
        </w:tc>
        <w:tc>
          <w:tcPr>
            <w:tcW w:type="dxa" w:w="1728"/>
          </w:tcPr>
          <w:p>
            <w:r>
              <w:t>ASSUMPTION: $4,232,784 ($4.23M) investigator-hours saved (65,120 hrs @ $65/hr)</w:t>
            </w:r>
          </w:p>
        </w:tc>
      </w:tr>
      <w:tr>
        <w:tc>
          <w:tcPr>
            <w:tcW w:type="dxa" w:w="1728"/>
          </w:tcPr>
          <w:p>
            <w:r>
              <w:t>True positives caught (real, implied by recall x real positives)</w:t>
            </w:r>
          </w:p>
        </w:tc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1,497</w:t>
            </w:r>
          </w:p>
        </w:tc>
        <w:tc>
          <w:tcPr>
            <w:tcW w:type="dxa" w:w="1728"/>
          </w:tcPr>
          <w:p>
            <w:r>
              <w:t>+1,300</w:t>
            </w:r>
          </w:p>
        </w:tc>
        <w:tc>
          <w:tcPr>
            <w:tcW w:type="dxa" w:w="1728"/>
          </w:tcPr>
          <w:p>
            <w:r>
              <w:t>ASSUMPTION: $65,000,000 ($65.00M) illustrative regulatory-exposure-avoidance (+1,300 cases @ $50,000/case)</w:t>
            </w:r>
          </w:p>
        </w:tc>
      </w:tr>
    </w:tbl>
    <w:p>
      <w:pPr>
        <w:pStyle w:val="Heading1"/>
      </w:pPr>
      <w:r>
        <w:t>Financial Impact Summary</w:t>
      </w:r>
    </w:p>
    <w:p>
      <w:r>
        <w:t>False-positive-reduction savings (ASSUMPTION): $4,232,784 ($4.23M) (65,120 investigator hours across 260,479 fewer false-positive alerts on LI-Medium). True-positive-uplift illustrative regulatory-exposure-avoidance (ASSUMPTION): $65,000,000 ($65.00M) (+1,300 additional real cases caught). These two figures are never summed into one blended total, per this platform's locked reporting policy (Section 7A).</w:t>
      </w:r>
    </w:p>
    <w:p>
      <w:pPr>
        <w:pStyle w:val="Heading1"/>
      </w:pPr>
      <w:r>
        <w:t>Explainability (SHAP -- champion model, real run)</w:t>
      </w:r>
    </w:p>
    <w:p>
      <w:r>
        <w:t>Top 5 real features by mean |SHAP value|:</w:t>
      </w:r>
    </w:p>
    <w:p>
      <w:pPr>
        <w:pStyle w:val="ListBullet"/>
      </w:pPr>
      <w:r>
        <w:t>Payment Format: 2.2145</w:t>
      </w:r>
    </w:p>
    <w:p>
      <w:pPr>
        <w:pStyle w:val="ListBullet"/>
      </w:pPr>
      <w:r>
        <w:t>sender_distinct_counterparties_to_date: 1.6631</w:t>
      </w:r>
    </w:p>
    <w:p>
      <w:pPr>
        <w:pStyle w:val="ListBullet"/>
      </w:pPr>
      <w:r>
        <w:t>sender_hours_since_prev_txn: 0.7867</w:t>
      </w:r>
    </w:p>
    <w:p>
      <w:pPr>
        <w:pStyle w:val="ListBullet"/>
      </w:pPr>
      <w:r>
        <w:t>log_amount_received: 0.3760</w:t>
      </w:r>
    </w:p>
    <w:p>
      <w:pPr>
        <w:pStyle w:val="ListBullet"/>
      </w:pPr>
      <w:r>
        <w:t>amount_to_rolling_window_mean_ratio: 0.3432</w:t>
      </w:r>
    </w:p>
    <w:p>
      <w:pPr>
        <w:pStyle w:val="Heading1"/>
      </w:pPr>
      <w:r>
        <w:t>Regulatory &amp; Compliance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A78D6"/>
          </w:tcPr>
          <w:p>
            <w:r>
              <w:rPr>
                <w:b/>
                <w:color w:val="FFFFFF"/>
              </w:rPr>
              <w:t>Framework</w:t>
            </w:r>
          </w:p>
        </w:tc>
        <w:tc>
          <w:tcPr>
            <w:tcW w:type="dxa" w:w="4320"/>
            <w:shd w:val="clear" w:color="auto" w:fill="2A78D6"/>
          </w:tcPr>
          <w:p>
            <w:r>
              <w:rPr>
                <w:b/>
                <w:color w:val="FFFFFF"/>
              </w:rPr>
              <w:t>Applies to</w:t>
            </w:r>
          </w:p>
        </w:tc>
      </w:tr>
      <w:tr>
        <w:tc>
          <w:tcPr>
            <w:tcW w:type="dxa" w:w="4320"/>
          </w:tcPr>
          <w:p>
            <w:r>
              <w:t>Bank Secrecy Act (31 U.S.C. Section 5311)</w:t>
            </w:r>
          </w:p>
        </w:tc>
        <w:tc>
          <w:tcPr>
            <w:tcW w:type="dxa" w:w="4320"/>
          </w:tcPr>
          <w:p>
            <w:r>
              <w:t>Platform-wide</w:t>
            </w:r>
          </w:p>
        </w:tc>
      </w:tr>
      <w:tr>
        <w:tc>
          <w:tcPr>
            <w:tcW w:type="dxa" w:w="4320"/>
          </w:tcPr>
          <w:p>
            <w:r>
              <w:t>BSA structuring statute (31 U.S.C. Section 5324)</w:t>
            </w:r>
          </w:p>
        </w:tc>
        <w:tc>
          <w:tcPr>
            <w:tcW w:type="dxa" w:w="4320"/>
          </w:tcPr>
          <w:p>
            <w:r>
              <w:t>BP4 -- this BP's own named statute</w:t>
            </w:r>
          </w:p>
        </w:tc>
      </w:tr>
      <w:tr>
        <w:tc>
          <w:tcPr>
            <w:tcW w:type="dxa" w:w="4320"/>
          </w:tcPr>
          <w:p>
            <w:r>
              <w:t>FinCEN SAR filing requirements (31 CFR Section 1020.320)</w:t>
            </w:r>
          </w:p>
        </w:tc>
        <w:tc>
          <w:tcPr>
            <w:tcW w:type="dxa" w:w="4320"/>
          </w:tcPr>
          <w:p>
            <w:r>
              <w:t>BP1, BP2, BP4 (evidence feed, not itself a SAR-prediction model)</w:t>
            </w:r>
          </w:p>
        </w:tc>
      </w:tr>
      <w:tr>
        <w:tc>
          <w:tcPr>
            <w:tcW w:type="dxa" w:w="4320"/>
          </w:tcPr>
          <w:p>
            <w:r>
              <w:t>FFIEC BSA/AML Examination Manual (5 pillars)</w:t>
            </w:r>
          </w:p>
        </w:tc>
        <w:tc>
          <w:tcPr>
            <w:tcW w:type="dxa" w:w="4320"/>
          </w:tcPr>
          <w:p>
            <w:r>
              <w:t>Platform-wide</w:t>
            </w:r>
          </w:p>
        </w:tc>
      </w:tr>
      <w:tr>
        <w:tc>
          <w:tcPr>
            <w:tcW w:type="dxa" w:w="4320"/>
          </w:tcPr>
          <w:p>
            <w:r>
              <w:t>SR 11-7 Model Risk Management</w:t>
            </w:r>
          </w:p>
        </w:tc>
        <w:tc>
          <w:tcPr>
            <w:tcW w:type="dxa" w:w="4320"/>
          </w:tcPr>
          <w:p>
            <w:r>
              <w:t>Every model-bearing BP</w:t>
            </w:r>
          </w:p>
        </w:tc>
      </w:tr>
    </w:tbl>
    <w:p>
      <w:pPr>
        <w:pStyle w:val="Heading1"/>
      </w:pPr>
      <w:r>
        <w:t>Fairness / Bias Testing</w:t>
      </w:r>
    </w:p>
    <w:p>
      <w:r>
        <w:t>Not Possible - Data Limitation: the IBM AML transaction dataset carries no demographic fields (no race, gender, age, or other protected-attribute data), so an ECOA/FCRA-style disparate-impact test cannot be computed against it. This is flagged explicitly here rather than silently skipped, per this platform's locked compliance-documentation policy.</w:t>
      </w:r>
    </w:p>
    <w:p>
      <w:pPr>
        <w:pStyle w:val="Heading1"/>
      </w:pPr>
      <w:r>
        <w:t>Limitations &amp; Caveats</w:t>
      </w:r>
    </w:p>
    <w:p>
      <w:pPr>
        <w:pStyle w:val="ListBullet"/>
      </w:pPr>
      <w:r>
        <w:t>The naive baseline is evaluated on the FULL real dataset (matching how a bank would actually run a fixed-dollar rule in production); the ML model's precision/recall are real, measured on its held-out 25% test split, then extrapolated to the full population using those same real rates -- an explicit, disclosed assumption, justified by Notebook 3's real stratified train/test split.</w:t>
      </w:r>
    </w:p>
    <w:p>
      <w:pPr>
        <w:pStyle w:val="ListBullet"/>
      </w:pPr>
      <w:r>
        <w:t>Every dollar figure labeled ASSUMPTION in this package is illustrative and configurable (see the Excel workbook's Assumptions sheet) -- none is a specific real fine, penalty, or contractual figure.</w:t>
      </w:r>
    </w:p>
    <w:p>
      <w:pPr>
        <w:pStyle w:val="ListBullet"/>
      </w:pPr>
      <w:r>
        <w:t>LI-Medium is this BP's locked mandatory realism-validation tier and should be treated as the primary real-world expectation; HI-Small is reported alongside it for continuity but is a deliberately easier, faster-iteration variant.</w:t>
      </w:r>
    </w:p>
    <w:p>
      <w:pPr>
        <w:pStyle w:val="ListBullet"/>
      </w:pPr>
      <w:r>
        <w:t>This BP's target is the same `Is Laundering` label BP1 uses, not a dataset label named literally 'structuring' (this dataset's typology list has no such label) -- the real question this BP answers is whether structuring-shaped FEATURES carry real additional predictive lift for that shared label, not whether it re-derives BP2's own typology classification.</w:t>
      </w:r>
    </w:p>
    <w:p>
      <w:pPr>
        <w:pStyle w:val="ListBullet"/>
      </w:pPr>
      <w:r>
        <w:t>Fairness/disparate-impact testing is not computable on this dataset -- see the Fairness section below.</w:t>
      </w:r>
    </w:p>
    <w:p>
      <w:pPr>
        <w:pStyle w:val="Heading1"/>
      </w:pPr>
      <w:r>
        <w:t>Recommendations</w:t>
      </w:r>
    </w:p>
    <w:p>
      <w:pPr>
        <w:pStyle w:val="Heading2"/>
      </w:pPr>
      <w:r>
        <w:t>Recalibrate the alert threshold on a fixed cadence</w:t>
      </w:r>
    </w:p>
    <w:p>
      <w:pPr>
        <w:pStyle w:val="ListBullet"/>
      </w:pPr>
      <w:r>
        <w:rPr>
          <w:b/>
        </w:rPr>
        <w:t xml:space="preserve">Specific: </w:t>
      </w:r>
      <w:r>
        <w:t>The champion model (XGBoost) currently operates at a real decision threshold of 0.9793 on LI-Medium, yielding real precision 0.086 and recall 0.305.</w:t>
      </w:r>
    </w:p>
    <w:p>
      <w:pPr>
        <w:pStyle w:val="ListBullet"/>
      </w:pPr>
      <w:r>
        <w:rPr>
          <w:b/>
        </w:rPr>
        <w:t xml:space="preserve">Measurable: </w:t>
      </w:r>
      <w:r>
        <w:t>Track real precision/recall drift against these two baseline figures on every scoring batch; treat a real precision or recall move of more than 5 percentage points from these values as a trigger for threshold review.</w:t>
      </w:r>
    </w:p>
    <w:p>
      <w:pPr>
        <w:pStyle w:val="ListBullet"/>
      </w:pPr>
      <w:r>
        <w:rPr>
          <w:b/>
        </w:rPr>
        <w:t xml:space="preserve">Achievable: </w:t>
      </w:r>
      <w:r>
        <w:t>Uses the FastAPI scoring service's existing self-tested prediction path -- no new infrastructure required.</w:t>
      </w:r>
    </w:p>
    <w:p>
      <w:pPr>
        <w:pStyle w:val="ListBullet"/>
      </w:pPr>
      <w:r>
        <w:rPr>
          <w:b/>
        </w:rPr>
        <w:t xml:space="preserve">Relevant: </w:t>
      </w:r>
      <w:r>
        <w:t>Directly controls the real false-positive alert volume investigators must review (SR 11-7 model risk management expectation).</w:t>
      </w:r>
    </w:p>
    <w:p>
      <w:pPr>
        <w:pStyle w:val="ListBullet"/>
      </w:pPr>
      <w:r>
        <w:rPr>
          <w:b/>
        </w:rPr>
        <w:t xml:space="preserve">Time-Bound: </w:t>
      </w:r>
      <w:r>
        <w:t>Quarterly recalibration review, next due within 90 days of production go-live.</w:t>
      </w:r>
    </w:p>
    <w:p>
      <w:pPr>
        <w:pStyle w:val="Heading2"/>
      </w:pPr>
      <w:r>
        <w:t>Reallocate freed investigator capacity from the real false-positive reduction</w:t>
      </w:r>
    </w:p>
    <w:p>
      <w:pPr>
        <w:pStyle w:val="ListBullet"/>
      </w:pPr>
      <w:r>
        <w:rPr>
          <w:b/>
        </w:rPr>
        <w:t xml:space="preserve">Specific: </w:t>
      </w:r>
      <w:r>
        <w:t>Moving from the naive fixed-dollar rule to the real ML model reduces false-positive alerts by 260,479 on LI-Medium (ASSUMPTION-estimated at 65,120 investigator hours, $4,232,784 ($4.23M)).</w:t>
      </w:r>
    </w:p>
    <w:p>
      <w:pPr>
        <w:pStyle w:val="ListBullet"/>
      </w:pPr>
      <w:r>
        <w:rPr>
          <w:b/>
        </w:rPr>
        <w:t xml:space="preserve">Measurable: </w:t>
      </w:r>
      <w:r>
        <w:t>Real alert-review hours logged per investigator, compared against the 65,120-hour ASSUMPTION estimate above.</w:t>
      </w:r>
    </w:p>
    <w:p>
      <w:pPr>
        <w:pStyle w:val="ListBullet"/>
      </w:pPr>
      <w:r>
        <w:rPr>
          <w:b/>
        </w:rPr>
        <w:t xml:space="preserve">Achievable: </w:t>
      </w:r>
      <w:r>
        <w:t>Capacity freed is redeployed to case investigation depth, not headcount reduction -- an operational scheduling change, not a new system.</w:t>
      </w:r>
    </w:p>
    <w:p>
      <w:pPr>
        <w:pStyle w:val="ListBullet"/>
      </w:pPr>
      <w:r>
        <w:rPr>
          <w:b/>
        </w:rPr>
        <w:t xml:space="preserve">Relevant: </w:t>
      </w:r>
      <w:r>
        <w:t>Investigator capacity is the real, most commonly cited AML program bottleneck (FFIEC BSA/AML Examination Manual, alert-management pillar).</w:t>
      </w:r>
    </w:p>
    <w:p>
      <w:pPr>
        <w:pStyle w:val="ListBullet"/>
      </w:pPr>
      <w:r>
        <w:rPr>
          <w:b/>
        </w:rPr>
        <w:t xml:space="preserve">Time-Bound: </w:t>
      </w:r>
      <w:r>
        <w:t>Reassess real alert-review hours logged 60 days after production go-live against this ASSUMPTION estimate.</w:t>
      </w:r>
    </w:p>
    <w:p>
      <w:pPr>
        <w:pStyle w:val="Heading2"/>
      </w:pPr>
      <w:r>
        <w:t>Validate the real true-positive uplift against filed SARs</w:t>
      </w:r>
    </w:p>
    <w:p>
      <w:pPr>
        <w:pStyle w:val="ListBullet"/>
      </w:pPr>
      <w:r>
        <w:rPr>
          <w:b/>
        </w:rPr>
        <w:t xml:space="preserve">Specific: </w:t>
      </w:r>
      <w:r>
        <w:t>The real ML model's operating point is estimated to catch +1,300 more real laundering cases than the naive rule on LI-Medium (illustrative regulatory-exposure-avoidance ASSUMPTION: $65,000,000 ($65.00M)).</w:t>
      </w:r>
    </w:p>
    <w:p>
      <w:pPr>
        <w:pStyle w:val="ListBullet"/>
      </w:pPr>
      <w:r>
        <w:rPr>
          <w:b/>
        </w:rPr>
        <w:t xml:space="preserve">Measurable: </w:t>
      </w:r>
      <w:r>
        <w:t>Real SAR filing rate on model-flagged alerts vs. naive-rule-flagged alerts, tracked separately, never blended with the false-positive savings above.</w:t>
      </w:r>
    </w:p>
    <w:p>
      <w:pPr>
        <w:pStyle w:val="ListBullet"/>
      </w:pPr>
      <w:r>
        <w:rPr>
          <w:b/>
        </w:rPr>
        <w:t xml:space="preserve">Achievable: </w:t>
      </w:r>
      <w:r>
        <w:t>Requires only tagging each filed SAR with which rule (naive vs. ML) originally surfaced the alert -- a labeling change, not a new detection system.</w:t>
      </w:r>
    </w:p>
    <w:p>
      <w:pPr>
        <w:pStyle w:val="ListBullet"/>
      </w:pPr>
      <w:r>
        <w:rPr>
          <w:b/>
        </w:rPr>
        <w:t xml:space="preserve">Relevant: </w:t>
      </w:r>
      <w:r>
        <w:t>Directly evidences the model's real detection benefit to examiners (31 CFR Section 1020.320 SAR requirements).</w:t>
      </w:r>
    </w:p>
    <w:p>
      <w:pPr>
        <w:pStyle w:val="ListBullet"/>
      </w:pPr>
      <w:r>
        <w:rPr>
          <w:b/>
        </w:rPr>
        <w:t xml:space="preserve">Time-Bound: </w:t>
      </w:r>
      <w:r>
        <w:t>First real comparison report at the 6-month production mark (enough real SAR volume to be meaningful).</w:t>
      </w:r>
    </w:p>
    <w:p>
      <w:pPr>
        <w:pStyle w:val="Heading2"/>
      </w:pPr>
      <w:r>
        <w:t>Document the dominant real model driver for examiner review</w:t>
      </w:r>
    </w:p>
    <w:p>
      <w:pPr>
        <w:pStyle w:val="ListBullet"/>
      </w:pPr>
      <w:r>
        <w:rPr>
          <w:b/>
        </w:rPr>
        <w:t xml:space="preserve">Specific: </w:t>
      </w:r>
      <w:r>
        <w:t>Real SHAP analysis ranks 'Payment Format' as the model's dominant real driver on LI-Medium.</w:t>
      </w:r>
    </w:p>
    <w:p>
      <w:pPr>
        <w:pStyle w:val="ListBullet"/>
      </w:pPr>
      <w:r>
        <w:rPr>
          <w:b/>
        </w:rPr>
        <w:t xml:space="preserve">Measurable: </w:t>
      </w:r>
      <w:r>
        <w:t>Confirm this ranking is stable across each future real retrain (top-1 feature unchanged, or the change is explicitly documented).</w:t>
      </w:r>
    </w:p>
    <w:p>
      <w:pPr>
        <w:pStyle w:val="ListBullet"/>
      </w:pPr>
      <w:r>
        <w:rPr>
          <w:b/>
        </w:rPr>
        <w:t xml:space="preserve">Achievable: </w:t>
      </w:r>
      <w:r>
        <w:t>Already computed by Notebook 3's existing SHAP step -- no new tooling required.</w:t>
      </w:r>
    </w:p>
    <w:p>
      <w:pPr>
        <w:pStyle w:val="ListBullet"/>
      </w:pPr>
      <w:r>
        <w:rPr>
          <w:b/>
        </w:rPr>
        <w:t xml:space="preserve">Relevant: </w:t>
      </w:r>
      <w:r>
        <w:t>SR 11-7 model risk management requires a documented explanation of the model's real primary drivers.</w:t>
      </w:r>
    </w:p>
    <w:p>
      <w:pPr>
        <w:pStyle w:val="ListBullet"/>
      </w:pPr>
      <w:r>
        <w:rPr>
          <w:b/>
        </w:rPr>
        <w:t xml:space="preserve">Time-Bound: </w:t>
      </w:r>
      <w:r>
        <w:t>Refresh this documentation at every model retrain, alongside the MODEL_CARD.md update.</w:t>
      </w:r>
    </w:p>
    <w:p>
      <w:pPr>
        <w:pStyle w:val="Heading2"/>
      </w:pPr>
      <w:r>
        <w:t>Maintain the real two-gate validation standard on every future retrain</w:t>
      </w:r>
    </w:p>
    <w:p>
      <w:pPr>
        <w:pStyle w:val="ListBullet"/>
      </w:pPr>
      <w:r>
        <w:rPr>
          <w:b/>
        </w:rPr>
        <w:t xml:space="preserve">Specific: </w:t>
      </w:r>
      <w:r>
        <w:t>Every real dataset variant evaluated for BP4 currently passes both validation gates (HI-Small, LI-Medium).</w:t>
      </w:r>
    </w:p>
    <w:p>
      <w:pPr>
        <w:pStyle w:val="ListBullet"/>
      </w:pPr>
      <w:r>
        <w:rPr>
          <w:b/>
        </w:rPr>
        <w:t xml:space="preserve">Measurable: </w:t>
      </w:r>
      <w:r>
        <w:t>Both gates must continue to PASS on every future retrain before redeployment.</w:t>
      </w:r>
    </w:p>
    <w:p>
      <w:pPr>
        <w:pStyle w:val="ListBullet"/>
      </w:pPr>
      <w:r>
        <w:rPr>
          <w:b/>
        </w:rPr>
        <w:t xml:space="preserve">Achievable: </w:t>
      </w:r>
      <w:r>
        <w:t>Enforced automatically by Notebook 3's existing gate logic -- no manual step to remember.</w:t>
      </w:r>
    </w:p>
    <w:p>
      <w:pPr>
        <w:pStyle w:val="ListBullet"/>
      </w:pPr>
      <w:r>
        <w:rPr>
          <w:b/>
        </w:rPr>
        <w:t xml:space="preserve">Relevant: </w:t>
      </w:r>
      <w:r>
        <w:t>This is the basis for this report's current production-recommended status.</w:t>
      </w:r>
    </w:p>
    <w:p>
      <w:pPr>
        <w:pStyle w:val="ListBullet"/>
      </w:pPr>
      <w:r>
        <w:rPr>
          <w:b/>
        </w:rPr>
        <w:t xml:space="preserve">Time-Bound: </w:t>
      </w:r>
      <w:r>
        <w:t>Every retrain cycle, before redeployment.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78D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AF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A78D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