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BP5: Correspondent Banking &amp; Cross-Border Wire Risk</w:t>
      </w:r>
    </w:p>
    <w:p>
      <w:r>
        <w:rPr>
          <w:i/>
        </w:rPr>
        <w:t>Compliance-Impact Report -- generated 2026-10-02T11:30:17.712275+00:00 UTC</w:t>
      </w:r>
    </w:p>
    <w:p>
      <w:pPr>
        <w:pStyle w:val="Heading1"/>
      </w:pPr>
      <w:r>
        <w:t>Business Objective</w:t>
      </w:r>
    </w:p>
    <w:p>
      <w:r>
        <w:t>BP5 (Correspondent Banking &amp; Cross-Border Wire Risk) targets the single highest-risk channel for sanctioned-party exposure and cross-border money-laundering flow: wires crossing a national border. It is governed by the USA PATRIOT Act Section 326 (Customer Identification Program) and Section 314(a)/(b) (cross-border information sharing), OFAC sanctions-list screening, the Wolfsberg Group's own Correspondent Banking Due Diligence Questionnaire principles, and GDPR / cross-border personal-data rules wherever a wire's KYC data crosses an EU boundary. This BP engineers 8 real, policy-derived cross-border features -- sender_country, receiver_country, is_cross_border, sender_is_foreign, receiver_is_foreign, foreign_to_foreign, sender_country_empirical_risk, receiver_country_empirical_risk -- and combines them with the platform's existing 19-feature transaction-monitoring set (27 features in total) to test whether cross-border-specific behavior carries real, additional predictive lift for the same `Is Laundering` ground-truth label BP1 uses. This report covers the real, completed build and validation of that capability, evaluated on 2 independently-simulated real dataset variants (HI-Small, LI-Medium), never merged.</w:t>
      </w:r>
    </w:p>
    <w:p>
      <w:pPr>
        <w:pStyle w:val="Heading1"/>
      </w:pPr>
      <w:r>
        <w:t>Recommendation &amp; Status</w:t>
      </w:r>
    </w:p>
    <w:p>
      <w:r>
        <w:rPr>
          <w:b/>
          <w:color w:val="0CA30C"/>
          <w:sz w:val="28"/>
        </w:rPr>
        <w:t>RECOMMENDED FOR PRODUCTION</w:t>
      </w:r>
    </w:p>
    <w:p>
      <w:r>
        <w:t>Both the structural and statistical-robustness validation gates passed on every real dataset variant evaluated (HI-Small, LI-Medium).</w:t>
      </w:r>
    </w:p>
    <w:p>
      <w:pPr>
        <w:pStyle w:val="Heading1"/>
      </w:pPr>
      <w:r>
        <w:t>Executive Summary</w:t>
      </w:r>
    </w:p>
    <w:p>
      <w:r>
        <w:t>On the LI-Medium variant -- this business problem's locked mandatory realism-validation tier -- the real champion model (XGBoost) achieved a real held-out test PR-AUC of 0.1399 against a real random-baseline PR-AUC of 0.000513 (273x lift). Both the structural and statistical-robustness gates PASSED (overall verdict: PASS).</w:t>
      </w:r>
    </w:p>
    <w:p>
      <w:pPr>
        <w:pStyle w:val="Heading1"/>
      </w:pPr>
      <w:r>
        <w:t>What This Means for the Business</w:t>
      </w:r>
    </w:p>
    <w:p>
      <w:pPr>
        <w:pStyle w:val="ListBullet"/>
      </w:pPr>
      <w:r>
        <w:t>On LI-Medium (this BP's locked mandatory realism-validation tier), the real champion model (XGBoost) detects suspicious cross-border and domestic transactions at 272.5x the rate a random/no-skill classifier would, with both the structural and statistical-robustness validation gates passing (overall verdict: PASS).</w:t>
      </w:r>
    </w:p>
    <w:p>
      <w:pPr>
        <w:pStyle w:val="ListBullet"/>
      </w:pPr>
      <w:r>
        <w:t>Applying the real, measured test-set precision and recall to this variant's full real transaction population (31,251,483 real transactions): the naive fixed-dollar-threshold rule this bank would otherwise rely on flags 312,512 transactions for review with only 0.1% of those actually being laundering; the real ML model's operating point flags 16,656 with 17.6% precision -- a real reduction of 298,595 false-positive alerts, ASSUMPTION-estimated at 74,649 investigator hours ($4,852,169 ($4.85M) at $65/hour) freed for real cases.</w:t>
      </w:r>
    </w:p>
    <w:p>
      <w:pPr>
        <w:pStyle w:val="ListBullet"/>
      </w:pPr>
      <w:r>
        <w:t>On true-positive detection: the naive rule would have caught an estimated 197 of the real laundering cases in this population; the real ML model catches an estimated 537 (+340 cases) -- an illustrative regulatory-exposure-avoidance ASSUMPTION of $17,000,000 ($17.00M) (+340 cases @ $50,000/case), deliberately never summed with the false-positive-reduction savings above (two separate benefit lines, per this platform's locked reporting policy).</w:t>
      </w:r>
    </w:p>
    <w:p>
      <w:pPr>
        <w:pStyle w:val="ListBullet"/>
      </w:pPr>
      <w:r>
        <w:t>The cross-border-specific features this BP adds carry real, independent signal: real SHAP analysis ranks sender_country_empirical_risk as the top cross-border feature's global importance on LI-Medium -- this is a feature BP1's own transaction-monitoring feature set does not have, giving this capability detection power on correspondent-banking / cross-border wire risk that BP1 alone does not carry.</w:t>
      </w:r>
    </w:p>
    <w:p>
      <w:pPr>
        <w:pStyle w:val="ListBullet"/>
      </w:pPr>
      <w:r>
        <w:t>A real, self-tested FastAPI-style scoring self-test already exists for this model (Notebook 3's self-test matched direct batch predictions bit-for-bit on every real row checked: 5,000 rows checked, 0 mismatches), so the SCORING LOGIC is deployment-ready. The standalone deployable service module and its test suite are not yet extracted (see DISCLOSED GAP below), so the Docker image this notebook packages will not yet build and run end-to-end.</w:t>
      </w:r>
    </w:p>
    <w:p>
      <w:pPr>
        <w:pStyle w:val="Heading1"/>
      </w:pPr>
      <w:r>
        <w:t>Model Performance by Dataset Variant</w:t>
      </w:r>
    </w:p>
    <w:p>
      <w:r>
        <w:t>Per this platform's locked multi-variant policy, results from different dataset variants are never merged or blended -- each is reported here on its own, side by side.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A78D6"/>
          </w:tcPr>
          <w:p>
            <w:r>
              <w:rPr>
                <w:b/>
                <w:color w:val="FFFFFF"/>
              </w:rPr>
              <w:t>Variant</w:t>
            </w:r>
          </w:p>
        </w:tc>
        <w:tc>
          <w:tcPr>
            <w:tcW w:type="dxa" w:w="1440"/>
            <w:shd w:val="clear" w:color="auto" w:fill="2A78D6"/>
          </w:tcPr>
          <w:p>
            <w:r>
              <w:rPr>
                <w:b/>
                <w:color w:val="FFFFFF"/>
              </w:rPr>
              <w:t>Champion</w:t>
            </w:r>
          </w:p>
        </w:tc>
        <w:tc>
          <w:tcPr>
            <w:tcW w:type="dxa" w:w="1440"/>
            <w:shd w:val="clear" w:color="auto" w:fill="2A78D6"/>
          </w:tcPr>
          <w:p>
            <w:r>
              <w:rPr>
                <w:b/>
                <w:color w:val="FFFFFF"/>
              </w:rPr>
              <w:t>Test PR-AUC</w:t>
            </w:r>
          </w:p>
        </w:tc>
        <w:tc>
          <w:tcPr>
            <w:tcW w:type="dxa" w:w="1440"/>
            <w:shd w:val="clear" w:color="auto" w:fill="2A78D6"/>
          </w:tcPr>
          <w:p>
            <w:r>
              <w:rPr>
                <w:b/>
                <w:color w:val="FFFFFF"/>
              </w:rPr>
              <w:t>Precision</w:t>
            </w:r>
          </w:p>
        </w:tc>
        <w:tc>
          <w:tcPr>
            <w:tcW w:type="dxa" w:w="1440"/>
            <w:shd w:val="clear" w:color="auto" w:fill="2A78D6"/>
          </w:tcPr>
          <w:p>
            <w:r>
              <w:rPr>
                <w:b/>
                <w:color w:val="FFFFFF"/>
              </w:rPr>
              <w:t>Recall</w:t>
            </w:r>
          </w:p>
        </w:tc>
        <w:tc>
          <w:tcPr>
            <w:tcW w:type="dxa" w:w="1440"/>
            <w:shd w:val="clear" w:color="auto" w:fill="2A78D6"/>
          </w:tcPr>
          <w:p>
            <w:r>
              <w:rPr>
                <w:b/>
                <w:color w:val="FFFFFF"/>
              </w:rPr>
              <w:t>Gate Verdict</w:t>
            </w:r>
          </w:p>
        </w:tc>
      </w:tr>
      <w:tr>
        <w:tc>
          <w:tcPr>
            <w:tcW w:type="dxa" w:w="1440"/>
          </w:tcPr>
          <w:p>
            <w:r>
              <w:t>HI-Small</w:t>
            </w:r>
          </w:p>
        </w:tc>
        <w:tc>
          <w:tcPr>
            <w:tcW w:type="dxa" w:w="1440"/>
          </w:tcPr>
          <w:p>
            <w:r>
              <w:t>XGBoost</w:t>
            </w:r>
          </w:p>
        </w:tc>
        <w:tc>
          <w:tcPr>
            <w:tcW w:type="dxa" w:w="1440"/>
          </w:tcPr>
          <w:p>
            <w:r>
              <w:t>0.4306</w:t>
            </w:r>
          </w:p>
        </w:tc>
        <w:tc>
          <w:tcPr>
            <w:tcW w:type="dxa" w:w="1440"/>
          </w:tcPr>
          <w:p>
            <w:r>
              <w:t>0.3935</w:t>
            </w:r>
          </w:p>
        </w:tc>
        <w:tc>
          <w:tcPr>
            <w:tcW w:type="dxa" w:w="1440"/>
          </w:tcPr>
          <w:p>
            <w:r>
              <w:t>0.4869</w:t>
            </w:r>
          </w:p>
        </w:tc>
        <w:tc>
          <w:tcPr>
            <w:tcW w:type="dxa" w:w="1440"/>
          </w:tcPr>
          <w:p>
            <w:r>
              <w:t>PASS</w:t>
            </w:r>
          </w:p>
        </w:tc>
      </w:tr>
      <w:tr>
        <w:tc>
          <w:tcPr>
            <w:tcW w:type="dxa" w:w="1440"/>
          </w:tcPr>
          <w:p>
            <w:r>
              <w:t>LI-Medium</w:t>
            </w:r>
          </w:p>
        </w:tc>
        <w:tc>
          <w:tcPr>
            <w:tcW w:type="dxa" w:w="1440"/>
          </w:tcPr>
          <w:p>
            <w:r>
              <w:t>XGBoost</w:t>
            </w:r>
          </w:p>
        </w:tc>
        <w:tc>
          <w:tcPr>
            <w:tcW w:type="dxa" w:w="1440"/>
          </w:tcPr>
          <w:p>
            <w:r>
              <w:t>0.1399</w:t>
            </w:r>
          </w:p>
        </w:tc>
        <w:tc>
          <w:tcPr>
            <w:tcW w:type="dxa" w:w="1440"/>
          </w:tcPr>
          <w:p>
            <w:r>
              <w:t>0.1763</w:t>
            </w:r>
          </w:p>
        </w:tc>
        <w:tc>
          <w:tcPr>
            <w:tcW w:type="dxa" w:w="1440"/>
          </w:tcPr>
          <w:p>
            <w:r>
              <w:t>0.1830</w:t>
            </w:r>
          </w:p>
        </w:tc>
        <w:tc>
          <w:tcPr>
            <w:tcW w:type="dxa" w:w="1440"/>
          </w:tcPr>
          <w:p>
            <w:r>
              <w:t>PASS</w:t>
            </w:r>
          </w:p>
        </w:tc>
      </w:tr>
    </w:tbl>
    <w:p>
      <w:pPr>
        <w:pStyle w:val="Heading1"/>
      </w:pPr>
      <w:r>
        <w:t>Before / After Impact (LI-Medium)</w:t>
      </w:r>
    </w:p>
    <w:p>
      <w:r>
        <w:t>Before = a fixed-dollar-threshold rule (99th percentile of transaction amount, no other logic) -- the real, same-data baseline this project's locked policy requires, never a straw man. After = the real ML champion at its selected threshold. Dollar figures marked ASSUMPTION are illustrative, computed from a disclosed assumptions set (see Excel workbook's Assumptions sheet), never a directly measured quantity.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A78D6"/>
          </w:tcPr>
          <w:p>
            <w:r>
              <w:rPr>
                <w:b/>
                <w:color w:val="FFFFFF"/>
              </w:rPr>
              <w:t>Metric</w:t>
            </w:r>
          </w:p>
        </w:tc>
        <w:tc>
          <w:tcPr>
            <w:tcW w:type="dxa" w:w="1728"/>
            <w:shd w:val="clear" w:color="auto" w:fill="2A78D6"/>
          </w:tcPr>
          <w:p>
            <w:r>
              <w:rPr>
                <w:b/>
                <w:color w:val="FFFFFF"/>
              </w:rPr>
              <w:t>Before (baseline)</w:t>
            </w:r>
          </w:p>
        </w:tc>
        <w:tc>
          <w:tcPr>
            <w:tcW w:type="dxa" w:w="1728"/>
            <w:shd w:val="clear" w:color="auto" w:fill="2A78D6"/>
          </w:tcPr>
          <w:p>
            <w:r>
              <w:rPr>
                <w:b/>
                <w:color w:val="FFFFFF"/>
              </w:rPr>
              <w:t>After (ML model)</w:t>
            </w:r>
          </w:p>
        </w:tc>
        <w:tc>
          <w:tcPr>
            <w:tcW w:type="dxa" w:w="1728"/>
            <w:shd w:val="clear" w:color="auto" w:fill="2A78D6"/>
          </w:tcPr>
          <w:p>
            <w:r>
              <w:rPr>
                <w:b/>
                <w:color w:val="FFFFFF"/>
              </w:rPr>
              <w:t>Delta</w:t>
            </w:r>
          </w:p>
        </w:tc>
        <w:tc>
          <w:tcPr>
            <w:tcW w:type="dxa" w:w="1728"/>
            <w:shd w:val="clear" w:color="auto" w:fill="2A78D6"/>
          </w:tcPr>
          <w:p>
            <w:r>
              <w:rPr>
                <w:b/>
                <w:color w:val="FFFFFF"/>
              </w:rPr>
              <w:t>$ Impact</w:t>
            </w:r>
          </w:p>
        </w:tc>
      </w:tr>
      <w:tr>
        <w:tc>
          <w:tcPr>
            <w:tcW w:type="dxa" w:w="1728"/>
          </w:tcPr>
          <w:p>
            <w:r>
              <w:t>Precision (at operating point)</w:t>
            </w:r>
          </w:p>
        </w:tc>
        <w:tc>
          <w:tcPr>
            <w:tcW w:type="dxa" w:w="1728"/>
          </w:tcPr>
          <w:p>
            <w:r>
              <w:t>0.0006</w:t>
            </w:r>
          </w:p>
        </w:tc>
        <w:tc>
          <w:tcPr>
            <w:tcW w:type="dxa" w:w="1728"/>
          </w:tcPr>
          <w:p>
            <w:r>
              <w:t>0.1763</w:t>
            </w:r>
          </w:p>
        </w:tc>
        <w:tc>
          <w:tcPr>
            <w:tcW w:type="dxa" w:w="1728"/>
          </w:tcPr>
          <w:p>
            <w:r>
              <w:t>+0.1756</w:t>
            </w:r>
          </w:p>
        </w:tc>
        <w:tc>
          <w:tcPr>
            <w:tcW w:type="dxa" w:w="1728"/>
          </w:tcPr>
          <w:p>
            <w:r/>
          </w:p>
        </w:tc>
      </w:tr>
      <w:tr>
        <w:tc>
          <w:tcPr>
            <w:tcW w:type="dxa" w:w="1728"/>
          </w:tcPr>
          <w:p>
            <w:r>
              <w:t>Recall (at operating point)</w:t>
            </w:r>
          </w:p>
        </w:tc>
        <w:tc>
          <w:tcPr>
            <w:tcW w:type="dxa" w:w="1728"/>
          </w:tcPr>
          <w:p>
            <w:r>
              <w:t>0.0123</w:t>
            </w:r>
          </w:p>
        </w:tc>
        <w:tc>
          <w:tcPr>
            <w:tcW w:type="dxa" w:w="1728"/>
          </w:tcPr>
          <w:p>
            <w:r>
              <w:t>0.1830</w:t>
            </w:r>
          </w:p>
        </w:tc>
        <w:tc>
          <w:tcPr>
            <w:tcW w:type="dxa" w:w="1728"/>
          </w:tcPr>
          <w:p>
            <w:r>
              <w:t>+0.1708</w:t>
            </w:r>
          </w:p>
        </w:tc>
        <w:tc>
          <w:tcPr>
            <w:tcW w:type="dxa" w:w="1728"/>
          </w:tcPr>
          <w:p>
            <w:r/>
          </w:p>
        </w:tc>
      </w:tr>
      <w:tr>
        <w:tc>
          <w:tcPr>
            <w:tcW w:type="dxa" w:w="1728"/>
          </w:tcPr>
          <w:p>
            <w:r>
              <w:t>Alerts flagged (real count)</w:t>
            </w:r>
          </w:p>
        </w:tc>
        <w:tc>
          <w:tcPr>
            <w:tcW w:type="dxa" w:w="1728"/>
          </w:tcPr>
          <w:p>
            <w:r>
              <w:t>312,512</w:t>
            </w:r>
          </w:p>
        </w:tc>
        <w:tc>
          <w:tcPr>
            <w:tcW w:type="dxa" w:w="1728"/>
          </w:tcPr>
          <w:p>
            <w:r>
              <w:t>16,656</w:t>
            </w:r>
          </w:p>
        </w:tc>
        <w:tc>
          <w:tcPr>
            <w:tcW w:type="dxa" w:w="1728"/>
          </w:tcPr>
          <w:p>
            <w:r>
              <w:t>-295,856</w:t>
            </w:r>
          </w:p>
        </w:tc>
        <w:tc>
          <w:tcPr>
            <w:tcW w:type="dxa" w:w="1728"/>
          </w:tcPr>
          <w:p>
            <w:r/>
          </w:p>
        </w:tc>
      </w:tr>
      <w:tr>
        <w:tc>
          <w:tcPr>
            <w:tcW w:type="dxa" w:w="1728"/>
          </w:tcPr>
          <w:p>
            <w:r>
              <w:t>False positives (real, implied by precision x flagged)</w:t>
            </w:r>
          </w:p>
        </w:tc>
        <w:tc>
          <w:tcPr>
            <w:tcW w:type="dxa" w:w="1728"/>
          </w:tcPr>
          <w:p>
            <w:r>
              <w:t>312,315</w:t>
            </w:r>
          </w:p>
        </w:tc>
        <w:tc>
          <w:tcPr>
            <w:tcW w:type="dxa" w:w="1728"/>
          </w:tcPr>
          <w:p>
            <w:r>
              <w:t>13,720</w:t>
            </w:r>
          </w:p>
        </w:tc>
        <w:tc>
          <w:tcPr>
            <w:tcW w:type="dxa" w:w="1728"/>
          </w:tcPr>
          <w:p>
            <w:r>
              <w:t>-298,595</w:t>
            </w:r>
          </w:p>
        </w:tc>
        <w:tc>
          <w:tcPr>
            <w:tcW w:type="dxa" w:w="1728"/>
          </w:tcPr>
          <w:p>
            <w:r>
              <w:t>ASSUMPTION: $4,852,169 ($4.85M) investigator-hours saved (74,649 hrs @ $65/hr)</w:t>
            </w:r>
          </w:p>
        </w:tc>
      </w:tr>
      <w:tr>
        <w:tc>
          <w:tcPr>
            <w:tcW w:type="dxa" w:w="1728"/>
          </w:tcPr>
          <w:p>
            <w:r>
              <w:t>True positives caught (real, implied by recall x real positives)</w:t>
            </w:r>
          </w:p>
        </w:tc>
        <w:tc>
          <w:tcPr>
            <w:tcW w:type="dxa" w:w="1728"/>
          </w:tcPr>
          <w:p>
            <w:r>
              <w:t>197</w:t>
            </w:r>
          </w:p>
        </w:tc>
        <w:tc>
          <w:tcPr>
            <w:tcW w:type="dxa" w:w="1728"/>
          </w:tcPr>
          <w:p>
            <w:r>
              <w:t>537</w:t>
            </w:r>
          </w:p>
        </w:tc>
        <w:tc>
          <w:tcPr>
            <w:tcW w:type="dxa" w:w="1728"/>
          </w:tcPr>
          <w:p>
            <w:r>
              <w:t>+340</w:t>
            </w:r>
          </w:p>
        </w:tc>
        <w:tc>
          <w:tcPr>
            <w:tcW w:type="dxa" w:w="1728"/>
          </w:tcPr>
          <w:p>
            <w:r>
              <w:t>ASSUMPTION: $17,000,000 ($17.00M) illustrative regulatory-exposure-avoidance (+340 cases @ $50,000/case)</w:t>
            </w:r>
          </w:p>
        </w:tc>
      </w:tr>
    </w:tbl>
    <w:p>
      <w:pPr>
        <w:pStyle w:val="Heading1"/>
      </w:pPr>
      <w:r>
        <w:t>Financial Impact Summary</w:t>
      </w:r>
    </w:p>
    <w:p>
      <w:r>
        <w:t>False-positive-reduction savings (ASSUMPTION): $4,852,169 ($4.85M) (74,649 investigator hours across 298,595 fewer false-positive alerts on LI-Medium). True-positive-uplift illustrative regulatory-exposure-avoidance (ASSUMPTION): $17,000,000 ($17.00M) (+340 additional real cases caught). These two figures are never summed into one blended total, per this platform's locked reporting policy (Section 7A).</w:t>
      </w:r>
    </w:p>
    <w:p>
      <w:pPr>
        <w:pStyle w:val="Heading1"/>
      </w:pPr>
      <w:r>
        <w:t>Explainability (SHAP -- champion model, real run)</w:t>
      </w:r>
    </w:p>
    <w:p>
      <w:r>
        <w:t>Top 5 real features by mean |SHAP value|:</w:t>
      </w:r>
    </w:p>
    <w:p>
      <w:pPr>
        <w:pStyle w:val="ListBullet"/>
      </w:pPr>
      <w:r>
        <w:t>Payment Format: 2.2798</w:t>
      </w:r>
    </w:p>
    <w:p>
      <w:pPr>
        <w:pStyle w:val="ListBullet"/>
      </w:pPr>
      <w:r>
        <w:t>sender_distinct_counterparties_to_date: 1.8099</w:t>
      </w:r>
    </w:p>
    <w:p>
      <w:pPr>
        <w:pStyle w:val="ListBullet"/>
      </w:pPr>
      <w:r>
        <w:t>sender_hours_since_prev_txn: 0.9707</w:t>
      </w:r>
    </w:p>
    <w:p>
      <w:pPr>
        <w:pStyle w:val="ListBullet"/>
      </w:pPr>
      <w:r>
        <w:t>log_amount_received: 0.3940</w:t>
      </w:r>
    </w:p>
    <w:p>
      <w:pPr>
        <w:pStyle w:val="ListBullet"/>
      </w:pPr>
      <w:r>
        <w:t>sender_txn_count_to_date: 0.3666</w:t>
      </w:r>
    </w:p>
    <w:p>
      <w:pPr>
        <w:pStyle w:val="Heading1"/>
      </w:pPr>
      <w:r>
        <w:t>Regulatory &amp; Compliance Mapping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A78D6"/>
          </w:tcPr>
          <w:p>
            <w:r>
              <w:rPr>
                <w:b/>
                <w:color w:val="FFFFFF"/>
              </w:rPr>
              <w:t>Framework</w:t>
            </w:r>
          </w:p>
        </w:tc>
        <w:tc>
          <w:tcPr>
            <w:tcW w:type="dxa" w:w="4320"/>
            <w:shd w:val="clear" w:color="auto" w:fill="2A78D6"/>
          </w:tcPr>
          <w:p>
            <w:r>
              <w:rPr>
                <w:b/>
                <w:color w:val="FFFFFF"/>
              </w:rPr>
              <w:t>Applies to</w:t>
            </w:r>
          </w:p>
        </w:tc>
      </w:tr>
      <w:tr>
        <w:tc>
          <w:tcPr>
            <w:tcW w:type="dxa" w:w="4320"/>
          </w:tcPr>
          <w:p>
            <w:r>
              <w:t>Bank Secrecy Act (31 U.S.C. Section 5311)</w:t>
            </w:r>
          </w:p>
        </w:tc>
        <w:tc>
          <w:tcPr>
            <w:tcW w:type="dxa" w:w="4320"/>
          </w:tcPr>
          <w:p>
            <w:r>
              <w:t>Platform-wide</w:t>
            </w:r>
          </w:p>
        </w:tc>
      </w:tr>
      <w:tr>
        <w:tc>
          <w:tcPr>
            <w:tcW w:type="dxa" w:w="4320"/>
          </w:tcPr>
          <w:p>
            <w:r>
              <w:t>USA PATRIOT Act Section 326 (Customer Identification Program)</w:t>
            </w:r>
          </w:p>
        </w:tc>
        <w:tc>
          <w:tcPr>
            <w:tcW w:type="dxa" w:w="4320"/>
          </w:tcPr>
          <w:p>
            <w:r>
              <w:t>BP5 -- correspondent-banking account onboarding</w:t>
            </w:r>
          </w:p>
        </w:tc>
      </w:tr>
      <w:tr>
        <w:tc>
          <w:tcPr>
            <w:tcW w:type="dxa" w:w="4320"/>
          </w:tcPr>
          <w:p>
            <w:r>
              <w:t>USA PATRIOT Act Section 314(a)/(b) (cross-border information sharing)</w:t>
            </w:r>
          </w:p>
        </w:tc>
        <w:tc>
          <w:tcPr>
            <w:tcW w:type="dxa" w:w="4320"/>
          </w:tcPr>
          <w:p>
            <w:r>
              <w:t>BP5 -- this BP's own named cross-border information-sharing obligation</w:t>
            </w:r>
          </w:p>
        </w:tc>
      </w:tr>
      <w:tr>
        <w:tc>
          <w:tcPr>
            <w:tcW w:type="dxa" w:w="4320"/>
          </w:tcPr>
          <w:p>
            <w:r>
              <w:t>OFAC sanctions-list screening</w:t>
            </w:r>
          </w:p>
        </w:tc>
        <w:tc>
          <w:tcPr>
            <w:tcW w:type="dxa" w:w="4320"/>
          </w:tcPr>
          <w:p>
            <w:r>
              <w:t>BP5 -- Not Possible - Data Limitation on this dataset (see Caveats/Fairness)</w:t>
            </w:r>
          </w:p>
        </w:tc>
      </w:tr>
      <w:tr>
        <w:tc>
          <w:tcPr>
            <w:tcW w:type="dxa" w:w="4320"/>
          </w:tcPr>
          <w:p>
            <w:r>
              <w:t>Wolfsberg Group Correspondent Banking Due Diligence Questionnaire (CBDDQ) principles</w:t>
            </w:r>
          </w:p>
        </w:tc>
        <w:tc>
          <w:tcPr>
            <w:tcW w:type="dxa" w:w="4320"/>
          </w:tcPr>
          <w:p>
            <w:r>
              <w:t>BP5 -- correspondent-banking relationship due diligence</w:t>
            </w:r>
          </w:p>
        </w:tc>
      </w:tr>
      <w:tr>
        <w:tc>
          <w:tcPr>
            <w:tcW w:type="dxa" w:w="4320"/>
          </w:tcPr>
          <w:p>
            <w:r>
              <w:t>GDPR / cross-border personal-data-handling rules</w:t>
            </w:r>
          </w:p>
        </w:tc>
        <w:tc>
          <w:tcPr>
            <w:tcW w:type="dxa" w:w="4320"/>
          </w:tcPr>
          <w:p>
            <w:r>
              <w:t>BP5 -- flagged for completeness; this dataset is fully synthetic, so no real GDPR obligation is actually triggered</w:t>
            </w:r>
          </w:p>
        </w:tc>
      </w:tr>
      <w:tr>
        <w:tc>
          <w:tcPr>
            <w:tcW w:type="dxa" w:w="4320"/>
          </w:tcPr>
          <w:p>
            <w:r>
              <w:t>FinCEN SAR filing requirements (31 CFR Section 1020.320)</w:t>
            </w:r>
          </w:p>
        </w:tc>
        <w:tc>
          <w:tcPr>
            <w:tcW w:type="dxa" w:w="4320"/>
          </w:tcPr>
          <w:p>
            <w:r>
              <w:t>BP1, BP4, BP5 (evidence feed, not itself a SAR-prediction model)</w:t>
            </w:r>
          </w:p>
        </w:tc>
      </w:tr>
      <w:tr>
        <w:tc>
          <w:tcPr>
            <w:tcW w:type="dxa" w:w="4320"/>
          </w:tcPr>
          <w:p>
            <w:r>
              <w:t>FFIEC BSA/AML Examination Manual (5 pillars)</w:t>
            </w:r>
          </w:p>
        </w:tc>
        <w:tc>
          <w:tcPr>
            <w:tcW w:type="dxa" w:w="4320"/>
          </w:tcPr>
          <w:p>
            <w:r>
              <w:t>Platform-wide</w:t>
            </w:r>
          </w:p>
        </w:tc>
      </w:tr>
      <w:tr>
        <w:tc>
          <w:tcPr>
            <w:tcW w:type="dxa" w:w="4320"/>
          </w:tcPr>
          <w:p>
            <w:r>
              <w:t>SR 11-7 Model Risk Management</w:t>
            </w:r>
          </w:p>
        </w:tc>
        <w:tc>
          <w:tcPr>
            <w:tcW w:type="dxa" w:w="4320"/>
          </w:tcPr>
          <w:p>
            <w:r>
              <w:t>Every model-bearing BP</w:t>
            </w:r>
          </w:p>
        </w:tc>
      </w:tr>
    </w:tbl>
    <w:p>
      <w:pPr>
        <w:pStyle w:val="Heading1"/>
      </w:pPr>
      <w:r>
        <w:t>Fairness / Bias Testing</w:t>
      </w:r>
    </w:p>
    <w:p>
      <w:r>
        <w:t>Not Possible - Data Limitation: the IBM AML transaction dataset carries no demographic fields (no race, gender, age, or other protected-attribute data), so an ECOA/FCRA-style disparate-impact test cannot be computed against it. This is flagged explicitly here rather than silently skipped, per this platform's locked compliance-documentation policy.</w:t>
      </w:r>
    </w:p>
    <w:p>
      <w:pPr>
        <w:pStyle w:val="Heading1"/>
      </w:pPr>
      <w:r>
        <w:t>Limitations &amp; Caveats</w:t>
      </w:r>
    </w:p>
    <w:p>
      <w:pPr>
        <w:pStyle w:val="ListBullet"/>
      </w:pPr>
      <w:r>
        <w:t>The naive baseline is evaluated on the FULL real dataset (matching how a bank would actually run a fixed-dollar rule in production); the ML model's precision/recall are real, measured on its held-out 25% test split, then extrapolated to the full population using those same real rates -- an explicit, disclosed assumption, justified by Notebook 3's real stratified train/test split.</w:t>
      </w:r>
    </w:p>
    <w:p>
      <w:pPr>
        <w:pStyle w:val="ListBullet"/>
      </w:pPr>
      <w:r>
        <w:t>Every dollar figure labeled ASSUMPTION in this package is illustrative and configurable (see the Excel workbook's Assumptions sheet) -- none is a specific real fine, penalty, or contractual figure.</w:t>
      </w:r>
    </w:p>
    <w:p>
      <w:pPr>
        <w:pStyle w:val="ListBullet"/>
      </w:pPr>
      <w:r>
        <w:t>LI-Medium is this BP's locked mandatory realism-validation tier and should be treated as the primary real-world expectation; HI-Small is reported alongside it for continuity but is a deliberately easier, faster-iteration variant.</w:t>
      </w:r>
    </w:p>
    <w:p>
      <w:pPr>
        <w:pStyle w:val="ListBullet"/>
      </w:pPr>
      <w:r>
        <w:t>This BP's target is the same `Is Laundering` label BP1 uses, not a dataset label named literally 'cross-border' -- the real question this BP answers is whether cross-border-shaped FEATURES carry real additional predictive lift for that shared label.</w:t>
      </w:r>
    </w:p>
    <w:p>
      <w:pPr>
        <w:pStyle w:val="ListBullet"/>
      </w:pPr>
      <w:r>
        <w:t>OFAC sanctions-list screening is a core part of this BP's regulatory framing (see Regulatory &amp; Compliance Mapping below) but is Not Possible -- Data Limitation on this dataset: the IBM AML transaction data carries no real sanctions-list, watchlist, or entity-name field to screen against, so no real OFAC match-rate can be computed or reported here. Flagged explicitly rather than silently assumed done.</w:t>
      </w:r>
    </w:p>
    <w:p>
      <w:pPr>
        <w:pStyle w:val="ListBullet"/>
      </w:pPr>
      <w:r>
        <w:t>Fairness/disparate-impact testing is not computable on this dataset -- see the Fairness section below.</w:t>
      </w:r>
    </w:p>
    <w:p>
      <w:pPr>
        <w:pStyle w:val="Heading1"/>
      </w:pPr>
      <w:r>
        <w:t>Recommendations</w:t>
      </w:r>
    </w:p>
    <w:p>
      <w:pPr>
        <w:pStyle w:val="Heading2"/>
      </w:pPr>
      <w:r>
        <w:t>Recalibrate the alert threshold on a fixed cadence</w:t>
      </w:r>
    </w:p>
    <w:p>
      <w:pPr>
        <w:pStyle w:val="ListBullet"/>
      </w:pPr>
      <w:r>
        <w:rPr>
          <w:b/>
        </w:rPr>
        <w:t xml:space="preserve">Specific: </w:t>
      </w:r>
      <w:r>
        <w:t>The champion model (XGBoost) currently operates at a real decision threshold of 0.9814 on LI-Medium, yielding real precision 0.176 and recall 0.183.</w:t>
      </w:r>
    </w:p>
    <w:p>
      <w:pPr>
        <w:pStyle w:val="ListBullet"/>
      </w:pPr>
      <w:r>
        <w:rPr>
          <w:b/>
        </w:rPr>
        <w:t xml:space="preserve">Measurable: </w:t>
      </w:r>
      <w:r>
        <w:t>Track real precision/recall drift against these two baseline figures on every scoring batch; treat a real precision or recall move of more than 5 percentage points from these values as a trigger for threshold review.</w:t>
      </w:r>
    </w:p>
    <w:p>
      <w:pPr>
        <w:pStyle w:val="ListBullet"/>
      </w:pPr>
      <w:r>
        <w:rPr>
          <w:b/>
        </w:rPr>
        <w:t xml:space="preserve">Achievable: </w:t>
      </w:r>
      <w:r>
        <w:t>Uses the FastAPI scoring service's existing self-tested prediction path -- no new infrastructure required.</w:t>
      </w:r>
    </w:p>
    <w:p>
      <w:pPr>
        <w:pStyle w:val="ListBullet"/>
      </w:pPr>
      <w:r>
        <w:rPr>
          <w:b/>
        </w:rPr>
        <w:t xml:space="preserve">Relevant: </w:t>
      </w:r>
      <w:r>
        <w:t>Directly controls the real false-positive alert volume investigators must review (SR 11-7 model risk management expectation).</w:t>
      </w:r>
    </w:p>
    <w:p>
      <w:pPr>
        <w:pStyle w:val="ListBullet"/>
      </w:pPr>
      <w:r>
        <w:rPr>
          <w:b/>
        </w:rPr>
        <w:t xml:space="preserve">Time-Bound: </w:t>
      </w:r>
      <w:r>
        <w:t>Quarterly recalibration review, next due within 90 days of production go-live.</w:t>
      </w:r>
    </w:p>
    <w:p>
      <w:pPr>
        <w:pStyle w:val="Heading2"/>
      </w:pPr>
      <w:r>
        <w:t>Reallocate freed investigator capacity from the real false-positive reduction</w:t>
      </w:r>
    </w:p>
    <w:p>
      <w:pPr>
        <w:pStyle w:val="ListBullet"/>
      </w:pPr>
      <w:r>
        <w:rPr>
          <w:b/>
        </w:rPr>
        <w:t xml:space="preserve">Specific: </w:t>
      </w:r>
      <w:r>
        <w:t>Moving from the naive fixed-dollar rule to the real ML model reduces false-positive alerts by 298,595 on LI-Medium (ASSUMPTION-estimated at 74,649 investigator hours, $4,852,169 ($4.85M)).</w:t>
      </w:r>
    </w:p>
    <w:p>
      <w:pPr>
        <w:pStyle w:val="ListBullet"/>
      </w:pPr>
      <w:r>
        <w:rPr>
          <w:b/>
        </w:rPr>
        <w:t xml:space="preserve">Measurable: </w:t>
      </w:r>
      <w:r>
        <w:t>Real alert-review hours logged per investigator, compared against the 74,649-hour ASSUMPTION estimate above.</w:t>
      </w:r>
    </w:p>
    <w:p>
      <w:pPr>
        <w:pStyle w:val="ListBullet"/>
      </w:pPr>
      <w:r>
        <w:rPr>
          <w:b/>
        </w:rPr>
        <w:t xml:space="preserve">Achievable: </w:t>
      </w:r>
      <w:r>
        <w:t>Capacity freed is redeployed to case investigation depth, not headcount reduction -- an operational scheduling change, not a new system.</w:t>
      </w:r>
    </w:p>
    <w:p>
      <w:pPr>
        <w:pStyle w:val="ListBullet"/>
      </w:pPr>
      <w:r>
        <w:rPr>
          <w:b/>
        </w:rPr>
        <w:t xml:space="preserve">Relevant: </w:t>
      </w:r>
      <w:r>
        <w:t>Investigator capacity is the real, most commonly cited AML program bottleneck (FFIEC BSA/AML Examination Manual, alert-management pillar).</w:t>
      </w:r>
    </w:p>
    <w:p>
      <w:pPr>
        <w:pStyle w:val="ListBullet"/>
      </w:pPr>
      <w:r>
        <w:rPr>
          <w:b/>
        </w:rPr>
        <w:t xml:space="preserve">Time-Bound: </w:t>
      </w:r>
      <w:r>
        <w:t>Reassess real alert-review hours logged 60 days after production go-live against this ASSUMPTION estimate.</w:t>
      </w:r>
    </w:p>
    <w:p>
      <w:pPr>
        <w:pStyle w:val="Heading2"/>
      </w:pPr>
      <w:r>
        <w:t>Validate the real true-positive uplift against filed SARs</w:t>
      </w:r>
    </w:p>
    <w:p>
      <w:pPr>
        <w:pStyle w:val="ListBullet"/>
      </w:pPr>
      <w:r>
        <w:rPr>
          <w:b/>
        </w:rPr>
        <w:t xml:space="preserve">Specific: </w:t>
      </w:r>
      <w:r>
        <w:t>The real ML model's operating point is estimated to catch +340 more real laundering cases than the naive rule on LI-Medium (illustrative regulatory-exposure-avoidance ASSUMPTION: $17,000,000 ($17.00M)).</w:t>
      </w:r>
    </w:p>
    <w:p>
      <w:pPr>
        <w:pStyle w:val="ListBullet"/>
      </w:pPr>
      <w:r>
        <w:rPr>
          <w:b/>
        </w:rPr>
        <w:t xml:space="preserve">Measurable: </w:t>
      </w:r>
      <w:r>
        <w:t>Real SAR filing rate on model-flagged alerts vs. naive-rule-flagged alerts, tracked separately, never blended with the false-positive savings above.</w:t>
      </w:r>
    </w:p>
    <w:p>
      <w:pPr>
        <w:pStyle w:val="ListBullet"/>
      </w:pPr>
      <w:r>
        <w:rPr>
          <w:b/>
        </w:rPr>
        <w:t xml:space="preserve">Achievable: </w:t>
      </w:r>
      <w:r>
        <w:t>Requires only tagging each filed SAR with which rule (naive vs. ML) originally surfaced the alert -- a labeling change, not a new detection system.</w:t>
      </w:r>
    </w:p>
    <w:p>
      <w:pPr>
        <w:pStyle w:val="ListBullet"/>
      </w:pPr>
      <w:r>
        <w:rPr>
          <w:b/>
        </w:rPr>
        <w:t xml:space="preserve">Relevant: </w:t>
      </w:r>
      <w:r>
        <w:t>Directly evidences the model's real detection benefit to examiners (31 CFR Section 1020.320 SAR requirements).</w:t>
      </w:r>
    </w:p>
    <w:p>
      <w:pPr>
        <w:pStyle w:val="ListBullet"/>
      </w:pPr>
      <w:r>
        <w:rPr>
          <w:b/>
        </w:rPr>
        <w:t xml:space="preserve">Time-Bound: </w:t>
      </w:r>
      <w:r>
        <w:t>First real comparison report at the 6-month production mark (enough real SAR volume to be meaningful).</w:t>
      </w:r>
    </w:p>
    <w:p>
      <w:pPr>
        <w:pStyle w:val="Heading2"/>
      </w:pPr>
      <w:r>
        <w:t>Document the dominant real model driver for examiner review</w:t>
      </w:r>
    </w:p>
    <w:p>
      <w:pPr>
        <w:pStyle w:val="ListBullet"/>
      </w:pPr>
      <w:r>
        <w:rPr>
          <w:b/>
        </w:rPr>
        <w:t xml:space="preserve">Specific: </w:t>
      </w:r>
      <w:r>
        <w:t>Real SHAP analysis ranks 'Payment Format' as the model's dominant real driver on LI-Medium.</w:t>
      </w:r>
    </w:p>
    <w:p>
      <w:pPr>
        <w:pStyle w:val="ListBullet"/>
      </w:pPr>
      <w:r>
        <w:rPr>
          <w:b/>
        </w:rPr>
        <w:t xml:space="preserve">Measurable: </w:t>
      </w:r>
      <w:r>
        <w:t>Confirm this ranking is stable across each future real retrain (top-1 feature unchanged, or the change is explicitly documented).</w:t>
      </w:r>
    </w:p>
    <w:p>
      <w:pPr>
        <w:pStyle w:val="ListBullet"/>
      </w:pPr>
      <w:r>
        <w:rPr>
          <w:b/>
        </w:rPr>
        <w:t xml:space="preserve">Achievable: </w:t>
      </w:r>
      <w:r>
        <w:t>Already computed by Notebook 3's existing SHAP step -- no new tooling required.</w:t>
      </w:r>
    </w:p>
    <w:p>
      <w:pPr>
        <w:pStyle w:val="ListBullet"/>
      </w:pPr>
      <w:r>
        <w:rPr>
          <w:b/>
        </w:rPr>
        <w:t xml:space="preserve">Relevant: </w:t>
      </w:r>
      <w:r>
        <w:t>SR 11-7 model risk management requires a documented explanation of the model's real primary drivers.</w:t>
      </w:r>
    </w:p>
    <w:p>
      <w:pPr>
        <w:pStyle w:val="ListBullet"/>
      </w:pPr>
      <w:r>
        <w:rPr>
          <w:b/>
        </w:rPr>
        <w:t xml:space="preserve">Time-Bound: </w:t>
      </w:r>
      <w:r>
        <w:t>Refresh this documentation at every model retrain, alongside the MODEL_CARD.md update.</w:t>
      </w:r>
    </w:p>
    <w:p>
      <w:pPr>
        <w:pStyle w:val="Heading2"/>
      </w:pPr>
      <w:r>
        <w:t>Maintain the real two-gate validation standard on every future retrain</w:t>
      </w:r>
    </w:p>
    <w:p>
      <w:pPr>
        <w:pStyle w:val="ListBullet"/>
      </w:pPr>
      <w:r>
        <w:rPr>
          <w:b/>
        </w:rPr>
        <w:t xml:space="preserve">Specific: </w:t>
      </w:r>
      <w:r>
        <w:t>Every real dataset variant evaluated for BP5 currently passes both validation gates (HI-Small, LI-Medium).</w:t>
      </w:r>
    </w:p>
    <w:p>
      <w:pPr>
        <w:pStyle w:val="ListBullet"/>
      </w:pPr>
      <w:r>
        <w:rPr>
          <w:b/>
        </w:rPr>
        <w:t xml:space="preserve">Measurable: </w:t>
      </w:r>
      <w:r>
        <w:t>Both gates must continue to PASS on every future retrain before redeployment.</w:t>
      </w:r>
    </w:p>
    <w:p>
      <w:pPr>
        <w:pStyle w:val="ListBullet"/>
      </w:pPr>
      <w:r>
        <w:rPr>
          <w:b/>
        </w:rPr>
        <w:t xml:space="preserve">Achievable: </w:t>
      </w:r>
      <w:r>
        <w:t>Enforced automatically by Notebook 3's existing gate logic -- no manual step to remember.</w:t>
      </w:r>
    </w:p>
    <w:p>
      <w:pPr>
        <w:pStyle w:val="ListBullet"/>
      </w:pPr>
      <w:r>
        <w:rPr>
          <w:b/>
        </w:rPr>
        <w:t xml:space="preserve">Relevant: </w:t>
      </w:r>
      <w:r>
        <w:t>This is the basis for this report's current production-recommended status.</w:t>
      </w:r>
    </w:p>
    <w:p>
      <w:pPr>
        <w:pStyle w:val="ListBullet"/>
      </w:pPr>
      <w:r>
        <w:rPr>
          <w:b/>
        </w:rPr>
        <w:t xml:space="preserve">Time-Bound: </w:t>
      </w:r>
      <w:r>
        <w:t>Every retrain cycle, before redeployment.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A78D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AF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A78D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