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92545" w:rsidRPr="00FF466B" w:rsidRDefault="00592545" w:rsidP="00592545">
      <w:pPr>
        <w:spacing w:line="276" w:lineRule="auto"/>
        <w:rPr>
          <w:b/>
          <w:bCs/>
          <w:sz w:val="26"/>
          <w:szCs w:val="26"/>
          <w:lang w:val="en-US"/>
        </w:rPr>
      </w:pPr>
      <w:r>
        <w:rPr>
          <w:b/>
          <w:bCs/>
          <w:sz w:val="26"/>
          <w:szCs w:val="26"/>
          <w:lang w:val="en-US"/>
        </w:rPr>
        <w:t xml:space="preserve">Supplementary </w:t>
      </w:r>
      <w:r w:rsidRPr="00FF466B">
        <w:rPr>
          <w:b/>
          <w:bCs/>
          <w:sz w:val="26"/>
          <w:szCs w:val="26"/>
          <w:lang w:val="en-US"/>
        </w:rPr>
        <w:t>Materials and Methods</w:t>
      </w:r>
    </w:p>
    <w:p w:rsidR="00592545" w:rsidRPr="00387B95" w:rsidRDefault="00592545" w:rsidP="00592545">
      <w:pPr>
        <w:spacing w:line="276" w:lineRule="auto"/>
        <w:rPr>
          <w:b/>
          <w:bCs/>
          <w:lang w:val="en-US"/>
        </w:rPr>
      </w:pPr>
    </w:p>
    <w:p w:rsidR="00592545" w:rsidRPr="00387B95" w:rsidRDefault="00592545" w:rsidP="00592545">
      <w:pPr>
        <w:spacing w:line="276" w:lineRule="auto"/>
        <w:rPr>
          <w:b/>
          <w:bCs/>
          <w:lang w:val="en-US"/>
        </w:rPr>
      </w:pPr>
      <w:r w:rsidRPr="00387B95">
        <w:rPr>
          <w:b/>
          <w:bCs/>
          <w:lang w:val="en-US"/>
        </w:rPr>
        <w:t>Mice</w:t>
      </w:r>
    </w:p>
    <w:p w:rsidR="00592545" w:rsidRPr="00387B95" w:rsidRDefault="00592545" w:rsidP="00592545">
      <w:pPr>
        <w:spacing w:line="276" w:lineRule="auto"/>
        <w:rPr>
          <w:b/>
          <w:bCs/>
          <w:lang w:val="en-US"/>
        </w:rPr>
      </w:pPr>
    </w:p>
    <w:p w:rsidR="00592545" w:rsidRPr="00387B95" w:rsidRDefault="00592545" w:rsidP="00592545">
      <w:pPr>
        <w:spacing w:line="276" w:lineRule="auto"/>
        <w:jc w:val="both"/>
        <w:rPr>
          <w:lang w:val="en-US"/>
        </w:rPr>
      </w:pPr>
      <w:r w:rsidRPr="00387B95">
        <w:rPr>
          <w:lang w:val="en-US"/>
        </w:rPr>
        <w:t>All experiments were approved by the Central Commission for animal Testing and Animal Ethical Committee. C57BL/6.SJL (10-16 weeks) and C57BL/6J-kitW41/kitW-41J (W41) were obtained from the Central Animal Facility (CDP) at the University Medical Center Groningen. Young (2-5 months) and aged (&gt;22 months) C57BL/6J were obtained from either CDP or Janvier labs, France. All mice were housed in a temperature and day cycle-controlled conditions.</w:t>
      </w:r>
    </w:p>
    <w:p w:rsidR="00592545" w:rsidRPr="00387B95" w:rsidRDefault="00592545" w:rsidP="00592545">
      <w:pPr>
        <w:spacing w:line="276" w:lineRule="auto"/>
        <w:jc w:val="both"/>
        <w:rPr>
          <w:lang w:val="en-US"/>
        </w:rPr>
      </w:pPr>
    </w:p>
    <w:p w:rsidR="00592545" w:rsidRPr="00387B95" w:rsidRDefault="00592545" w:rsidP="00592545">
      <w:pPr>
        <w:spacing w:line="276" w:lineRule="auto"/>
        <w:jc w:val="both"/>
        <w:rPr>
          <w:b/>
          <w:bCs/>
          <w:lang w:val="en-US"/>
        </w:rPr>
      </w:pPr>
      <w:r w:rsidRPr="00387B95">
        <w:rPr>
          <w:b/>
          <w:bCs/>
          <w:lang w:val="en-US"/>
        </w:rPr>
        <w:t>Flow Cytometry</w:t>
      </w:r>
    </w:p>
    <w:p w:rsidR="00592545" w:rsidRPr="00387B95" w:rsidRDefault="00592545" w:rsidP="00592545">
      <w:pPr>
        <w:spacing w:line="276" w:lineRule="auto"/>
        <w:jc w:val="both"/>
        <w:rPr>
          <w:i/>
          <w:iCs/>
          <w:lang w:val="en-US"/>
        </w:rPr>
      </w:pPr>
    </w:p>
    <w:p w:rsidR="00592545" w:rsidRPr="00387B95" w:rsidRDefault="00592545" w:rsidP="00592545">
      <w:pPr>
        <w:spacing w:line="276" w:lineRule="auto"/>
        <w:jc w:val="both"/>
        <w:rPr>
          <w:i/>
          <w:iCs/>
          <w:lang w:val="en-US"/>
        </w:rPr>
      </w:pPr>
      <w:r w:rsidRPr="00387B95">
        <w:rPr>
          <w:i/>
          <w:iCs/>
          <w:lang w:val="en-US"/>
        </w:rPr>
        <w:t>HSC and progenitor cells isolation</w:t>
      </w:r>
    </w:p>
    <w:p w:rsidR="00592545" w:rsidRPr="00387B95" w:rsidRDefault="00592545" w:rsidP="00592545">
      <w:pPr>
        <w:spacing w:line="276" w:lineRule="auto"/>
        <w:jc w:val="both"/>
        <w:rPr>
          <w:lang w:val="en-US"/>
        </w:rPr>
      </w:pPr>
      <w:r w:rsidRPr="00387B95">
        <w:rPr>
          <w:lang w:val="en-US"/>
        </w:rPr>
        <w:t xml:space="preserve">Bone marrow was isolated from the tibia, femur, pelvis, sternum and spine by crushing and the erythrocytes were lysed with </w:t>
      </w:r>
      <w:proofErr w:type="spellStart"/>
      <w:r w:rsidRPr="00387B95">
        <w:rPr>
          <w:lang w:val="en-US"/>
        </w:rPr>
        <w:t>erylysis</w:t>
      </w:r>
      <w:proofErr w:type="spellEnd"/>
      <w:r w:rsidRPr="00387B95">
        <w:rPr>
          <w:lang w:val="en-US"/>
        </w:rPr>
        <w:t xml:space="preserve"> buffer (</w:t>
      </w:r>
      <w:r w:rsidRPr="00387B95">
        <w:rPr>
          <w:color w:val="000000" w:themeColor="text1"/>
          <w:lang w:val="en-US"/>
        </w:rPr>
        <w:t>17mM NaCl, 0.16M NH</w:t>
      </w:r>
      <w:r w:rsidRPr="00387B95">
        <w:rPr>
          <w:color w:val="000000" w:themeColor="text1"/>
          <w:vertAlign w:val="subscript"/>
          <w:lang w:val="en-US"/>
        </w:rPr>
        <w:t>4</w:t>
      </w:r>
      <w:r w:rsidRPr="00387B95">
        <w:rPr>
          <w:color w:val="000000" w:themeColor="text1"/>
          <w:lang w:val="en-US"/>
        </w:rPr>
        <w:t>Cl, 0.13mM EDTA</w:t>
      </w:r>
      <w:r w:rsidRPr="00387B95">
        <w:rPr>
          <w:lang w:val="en-US"/>
        </w:rPr>
        <w:t>). For LT-HSC and progenitor cells isolation, the lysed bone marrow was stained with c-Kit-PE/BB515, Sca-1-BV421, CD48-Alexa Fluor 647, CD150-PE-Cy7 and lineage (Lin) marker antibodies (B220, CD3, Gr-1, Mac-1 and Ter-119) conjugated with Alexa Fluor 700. After incubation with the antibodies for 30min at 4</w:t>
      </w:r>
      <w:r w:rsidRPr="00387B95">
        <w:rPr>
          <w:lang w:val="en-US"/>
        </w:rPr>
        <w:sym w:font="Symbol" w:char="F0B0"/>
      </w:r>
      <w:r w:rsidRPr="00387B95">
        <w:rPr>
          <w:lang w:val="en-US"/>
        </w:rPr>
        <w:t>C, the sample was washed and filtered. PI was used for Live/Dead staining. The LT-HSCs (Lin</w:t>
      </w:r>
      <w:r w:rsidRPr="00387B95">
        <w:rPr>
          <w:vertAlign w:val="superscript"/>
          <w:lang w:val="en-US"/>
        </w:rPr>
        <w:t>-</w:t>
      </w:r>
      <w:r w:rsidRPr="00387B95">
        <w:rPr>
          <w:lang w:val="en-US"/>
        </w:rPr>
        <w:t>, c-Kit</w:t>
      </w:r>
      <w:r w:rsidRPr="00387B95">
        <w:rPr>
          <w:vertAlign w:val="superscript"/>
          <w:lang w:val="en-US"/>
        </w:rPr>
        <w:t>+</w:t>
      </w:r>
      <w:r w:rsidRPr="00387B95">
        <w:rPr>
          <w:lang w:val="en-US"/>
        </w:rPr>
        <w:t>, Sca-1</w:t>
      </w:r>
      <w:r w:rsidRPr="00387B95">
        <w:rPr>
          <w:vertAlign w:val="superscript"/>
          <w:lang w:val="en-US"/>
        </w:rPr>
        <w:t>+</w:t>
      </w:r>
      <w:r w:rsidRPr="00387B95">
        <w:rPr>
          <w:lang w:val="en-US"/>
        </w:rPr>
        <w:t>, CD48</w:t>
      </w:r>
      <w:r w:rsidRPr="00387B95">
        <w:rPr>
          <w:vertAlign w:val="superscript"/>
          <w:lang w:val="en-US"/>
        </w:rPr>
        <w:t>-</w:t>
      </w:r>
      <w:r w:rsidRPr="00387B95">
        <w:rPr>
          <w:lang w:val="en-US"/>
        </w:rPr>
        <w:t>, CD150</w:t>
      </w:r>
      <w:r w:rsidRPr="00387B95">
        <w:rPr>
          <w:vertAlign w:val="superscript"/>
          <w:lang w:val="en-US"/>
        </w:rPr>
        <w:t>+</w:t>
      </w:r>
      <w:r w:rsidRPr="00387B95">
        <w:rPr>
          <w:lang w:val="en-US"/>
        </w:rPr>
        <w:t>), ST-HSCs (Lin</w:t>
      </w:r>
      <w:r w:rsidRPr="00387B95">
        <w:rPr>
          <w:vertAlign w:val="superscript"/>
          <w:lang w:val="en-US"/>
        </w:rPr>
        <w:t>-</w:t>
      </w:r>
      <w:r w:rsidRPr="00387B95">
        <w:rPr>
          <w:lang w:val="en-US"/>
        </w:rPr>
        <w:t>, c-Kit</w:t>
      </w:r>
      <w:r w:rsidRPr="00387B95">
        <w:rPr>
          <w:vertAlign w:val="superscript"/>
          <w:lang w:val="en-US"/>
        </w:rPr>
        <w:t>+</w:t>
      </w:r>
      <w:r w:rsidRPr="00387B95">
        <w:rPr>
          <w:lang w:val="en-US"/>
        </w:rPr>
        <w:t>, Sca-1</w:t>
      </w:r>
      <w:r w:rsidRPr="00387B95">
        <w:rPr>
          <w:vertAlign w:val="superscript"/>
          <w:lang w:val="en-US"/>
        </w:rPr>
        <w:t>+</w:t>
      </w:r>
      <w:r w:rsidRPr="00387B95">
        <w:rPr>
          <w:lang w:val="en-US"/>
        </w:rPr>
        <w:t>, CD48</w:t>
      </w:r>
      <w:r w:rsidRPr="00387B95">
        <w:rPr>
          <w:vertAlign w:val="superscript"/>
          <w:lang w:val="en-US"/>
        </w:rPr>
        <w:t>-</w:t>
      </w:r>
      <w:r w:rsidRPr="00387B95">
        <w:rPr>
          <w:lang w:val="en-US"/>
        </w:rPr>
        <w:t>, CD150</w:t>
      </w:r>
      <w:r w:rsidRPr="00387B95">
        <w:rPr>
          <w:vertAlign w:val="superscript"/>
          <w:lang w:val="en-US"/>
        </w:rPr>
        <w:t>-</w:t>
      </w:r>
      <w:r w:rsidRPr="00387B95">
        <w:rPr>
          <w:lang w:val="en-US"/>
        </w:rPr>
        <w:t>) and MPPs (Lin</w:t>
      </w:r>
      <w:r w:rsidRPr="00387B95">
        <w:rPr>
          <w:vertAlign w:val="superscript"/>
          <w:lang w:val="en-US"/>
        </w:rPr>
        <w:t>-</w:t>
      </w:r>
      <w:r w:rsidRPr="00387B95">
        <w:rPr>
          <w:lang w:val="en-US"/>
        </w:rPr>
        <w:t>, c-Kit</w:t>
      </w:r>
      <w:r w:rsidRPr="00387B95">
        <w:rPr>
          <w:vertAlign w:val="superscript"/>
          <w:lang w:val="en-US"/>
        </w:rPr>
        <w:t>+</w:t>
      </w:r>
      <w:r w:rsidRPr="00387B95">
        <w:rPr>
          <w:lang w:val="en-US"/>
        </w:rPr>
        <w:t>, Sca-1</w:t>
      </w:r>
      <w:r w:rsidRPr="00387B95">
        <w:rPr>
          <w:vertAlign w:val="superscript"/>
          <w:lang w:val="en-US"/>
        </w:rPr>
        <w:t>+</w:t>
      </w:r>
      <w:r w:rsidRPr="00387B95">
        <w:rPr>
          <w:lang w:val="en-US"/>
        </w:rPr>
        <w:t>, CD48</w:t>
      </w:r>
      <w:r w:rsidRPr="00387B95">
        <w:rPr>
          <w:vertAlign w:val="superscript"/>
          <w:lang w:val="en-US"/>
        </w:rPr>
        <w:t>+</w:t>
      </w:r>
      <w:r w:rsidRPr="00387B95">
        <w:rPr>
          <w:lang w:val="en-US"/>
        </w:rPr>
        <w:t>, CD150</w:t>
      </w:r>
      <w:r w:rsidRPr="00387B95">
        <w:rPr>
          <w:vertAlign w:val="superscript"/>
          <w:lang w:val="en-US"/>
        </w:rPr>
        <w:t>-</w:t>
      </w:r>
      <w:r w:rsidRPr="00387B95">
        <w:rPr>
          <w:lang w:val="en-US"/>
        </w:rPr>
        <w:t xml:space="preserve">) were isolated on </w:t>
      </w:r>
      <w:proofErr w:type="spellStart"/>
      <w:r w:rsidRPr="00387B95">
        <w:rPr>
          <w:lang w:val="en-US"/>
        </w:rPr>
        <w:t>MoFlo</w:t>
      </w:r>
      <w:proofErr w:type="spellEnd"/>
      <w:r w:rsidRPr="00387B95">
        <w:rPr>
          <w:lang w:val="en-US"/>
        </w:rPr>
        <w:t xml:space="preserve"> </w:t>
      </w:r>
      <w:proofErr w:type="spellStart"/>
      <w:r w:rsidRPr="00387B95">
        <w:rPr>
          <w:lang w:val="en-US"/>
        </w:rPr>
        <w:t>Astrios</w:t>
      </w:r>
      <w:proofErr w:type="spellEnd"/>
      <w:r w:rsidRPr="00387B95">
        <w:rPr>
          <w:lang w:val="en-US"/>
        </w:rPr>
        <w:t xml:space="preserve"> or </w:t>
      </w:r>
      <w:proofErr w:type="spellStart"/>
      <w:r w:rsidRPr="00387B95">
        <w:rPr>
          <w:lang w:val="en-US"/>
        </w:rPr>
        <w:t>MoFlo</w:t>
      </w:r>
      <w:proofErr w:type="spellEnd"/>
      <w:r w:rsidRPr="00387B95">
        <w:rPr>
          <w:lang w:val="en-US"/>
        </w:rPr>
        <w:t xml:space="preserve"> XDP cell sorters (Beckman Coulter).</w:t>
      </w:r>
      <w:r>
        <w:rPr>
          <w:lang w:val="en-US"/>
        </w:rPr>
        <w:t xml:space="preserve"> For CD61, CD61-PE antibody was used.</w:t>
      </w:r>
    </w:p>
    <w:p w:rsidR="00592545" w:rsidRPr="00387B95" w:rsidRDefault="00592545" w:rsidP="00592545">
      <w:pPr>
        <w:spacing w:line="276" w:lineRule="auto"/>
        <w:jc w:val="both"/>
        <w:rPr>
          <w:lang w:val="en-US"/>
        </w:rPr>
      </w:pPr>
    </w:p>
    <w:p w:rsidR="00592545" w:rsidRPr="00387B95" w:rsidRDefault="00592545" w:rsidP="00592545">
      <w:pPr>
        <w:spacing w:line="276" w:lineRule="auto"/>
        <w:jc w:val="both"/>
        <w:rPr>
          <w:b/>
          <w:bCs/>
          <w:lang w:val="en-US"/>
        </w:rPr>
      </w:pPr>
      <w:r w:rsidRPr="00387B95">
        <w:rPr>
          <w:b/>
          <w:bCs/>
          <w:lang w:val="en-US"/>
        </w:rPr>
        <w:t>In vitro experiments</w:t>
      </w:r>
    </w:p>
    <w:p w:rsidR="00592545" w:rsidRPr="00387B95" w:rsidRDefault="00592545" w:rsidP="00592545">
      <w:pPr>
        <w:spacing w:line="276" w:lineRule="auto"/>
        <w:jc w:val="both"/>
        <w:rPr>
          <w:b/>
          <w:bCs/>
          <w:lang w:val="en-US"/>
        </w:rPr>
      </w:pPr>
    </w:p>
    <w:p w:rsidR="00592545" w:rsidRPr="00387B95" w:rsidRDefault="00592545" w:rsidP="00592545">
      <w:pPr>
        <w:spacing w:line="276" w:lineRule="auto"/>
        <w:jc w:val="both"/>
        <w:rPr>
          <w:i/>
          <w:iCs/>
          <w:lang w:val="en-US"/>
        </w:rPr>
      </w:pPr>
      <w:r w:rsidRPr="00387B95">
        <w:rPr>
          <w:i/>
          <w:iCs/>
          <w:lang w:val="en-US"/>
        </w:rPr>
        <w:t>Single cell colony assay</w:t>
      </w:r>
    </w:p>
    <w:p w:rsidR="00592545" w:rsidRPr="00387B95" w:rsidRDefault="00592545" w:rsidP="00592545">
      <w:pPr>
        <w:spacing w:line="276" w:lineRule="auto"/>
        <w:jc w:val="both"/>
        <w:rPr>
          <w:lang w:val="en-US"/>
        </w:rPr>
      </w:pPr>
      <w:r w:rsidRPr="00387B95">
        <w:rPr>
          <w:lang w:val="en-US"/>
        </w:rPr>
        <w:t xml:space="preserve">Single LT-HSCs, isolated from young or aged mouse, were sorted into a 96-well round-bottom plate and cultured for 14 days in </w:t>
      </w:r>
      <w:proofErr w:type="spellStart"/>
      <w:r w:rsidRPr="00387B95">
        <w:rPr>
          <w:lang w:val="en-US"/>
        </w:rPr>
        <w:t>StemSpan</w:t>
      </w:r>
      <w:proofErr w:type="spellEnd"/>
      <w:r w:rsidRPr="00387B95">
        <w:rPr>
          <w:lang w:val="en-US"/>
        </w:rPr>
        <w:t xml:space="preserve"> (STEMCELL Technologies) supplemented with 100U/ml penicillin, 100</w:t>
      </w:r>
      <w:r w:rsidRPr="00387B95">
        <w:rPr>
          <w:lang w:val="en-US"/>
        </w:rPr>
        <w:sym w:font="Symbol" w:char="F06D"/>
      </w:r>
      <w:r w:rsidRPr="00387B95">
        <w:rPr>
          <w:lang w:val="en-US"/>
        </w:rPr>
        <w:t>g/ml streptomycin (Gibco), 10% Australian FCS, 300ng/ml SCF (</w:t>
      </w:r>
      <w:proofErr w:type="spellStart"/>
      <w:r w:rsidRPr="00387B95">
        <w:rPr>
          <w:lang w:val="en-US"/>
        </w:rPr>
        <w:t>Peprotech</w:t>
      </w:r>
      <w:proofErr w:type="spellEnd"/>
      <w:r w:rsidRPr="00387B95">
        <w:rPr>
          <w:lang w:val="en-US"/>
        </w:rPr>
        <w:t>), 20ng/ml IL-11 (R&amp;D Systems) and 1ng/ml Flt3 ligand (</w:t>
      </w:r>
      <w:proofErr w:type="spellStart"/>
      <w:r w:rsidRPr="00387B95">
        <w:rPr>
          <w:lang w:val="en-US"/>
        </w:rPr>
        <w:t>Peprotech</w:t>
      </w:r>
      <w:proofErr w:type="spellEnd"/>
      <w:r w:rsidRPr="00387B95">
        <w:rPr>
          <w:lang w:val="en-US"/>
        </w:rPr>
        <w:t>). The size of the colonies was analyzed after 7 and 14 days. Size 0: no cells; Size 1: 1-30; Size 2: 31-100 cells; Size 3: 101-1.000; Size 4: 5.000 cells; Size 5: 15.000 cells; Size 6: 30.000 cells</w:t>
      </w:r>
      <w:r>
        <w:rPr>
          <w:lang w:val="en-US"/>
        </w:rPr>
        <w:t>; Size 7: &gt;30.000</w:t>
      </w:r>
    </w:p>
    <w:p w:rsidR="00592545" w:rsidRPr="00387B95" w:rsidRDefault="00592545" w:rsidP="00592545">
      <w:pPr>
        <w:spacing w:line="276" w:lineRule="auto"/>
        <w:jc w:val="both"/>
        <w:rPr>
          <w:lang w:val="en-US"/>
        </w:rPr>
      </w:pPr>
    </w:p>
    <w:p w:rsidR="00592545" w:rsidRPr="00387B95" w:rsidRDefault="00592545" w:rsidP="00592545">
      <w:pPr>
        <w:spacing w:line="276" w:lineRule="auto"/>
        <w:jc w:val="both"/>
        <w:rPr>
          <w:i/>
          <w:iCs/>
          <w:lang w:val="en-US"/>
        </w:rPr>
      </w:pPr>
      <w:r w:rsidRPr="00387B95">
        <w:rPr>
          <w:i/>
          <w:iCs/>
          <w:lang w:val="en-US"/>
        </w:rPr>
        <w:t>Single cell division assay</w:t>
      </w:r>
    </w:p>
    <w:p w:rsidR="00592545" w:rsidRPr="00387B95" w:rsidRDefault="00592545" w:rsidP="00592545">
      <w:pPr>
        <w:spacing w:line="276" w:lineRule="auto"/>
        <w:jc w:val="both"/>
        <w:rPr>
          <w:lang w:val="en-US"/>
        </w:rPr>
      </w:pPr>
      <w:r w:rsidRPr="00387B95">
        <w:rPr>
          <w:lang w:val="en-US"/>
        </w:rPr>
        <w:t xml:space="preserve">Single LT-HSCs, isolated from young or aged mouse, were sorted into a 60-well </w:t>
      </w:r>
      <w:proofErr w:type="spellStart"/>
      <w:r w:rsidRPr="00387B95">
        <w:rPr>
          <w:lang w:val="en-US"/>
        </w:rPr>
        <w:t>Terasaki</w:t>
      </w:r>
      <w:proofErr w:type="spellEnd"/>
      <w:r w:rsidRPr="00387B95">
        <w:rPr>
          <w:lang w:val="en-US"/>
        </w:rPr>
        <w:t xml:space="preserve"> plate and cultured for 2 days in </w:t>
      </w:r>
      <w:proofErr w:type="spellStart"/>
      <w:r w:rsidRPr="00387B95">
        <w:rPr>
          <w:lang w:val="en-US"/>
        </w:rPr>
        <w:t>StemSpan</w:t>
      </w:r>
      <w:proofErr w:type="spellEnd"/>
      <w:r w:rsidRPr="00387B95">
        <w:rPr>
          <w:lang w:val="en-US"/>
        </w:rPr>
        <w:t xml:space="preserve"> (STEMCELL Technologies) supplemented with 100U/ml penicillin, 100</w:t>
      </w:r>
      <w:r w:rsidRPr="00387B95">
        <w:rPr>
          <w:lang w:val="en-US"/>
        </w:rPr>
        <w:sym w:font="Symbol" w:char="F06D"/>
      </w:r>
      <w:r w:rsidRPr="00387B95">
        <w:rPr>
          <w:lang w:val="en-US"/>
        </w:rPr>
        <w:t>g/ml streptomycin (Gibco), 10% Australian FCS, 300ng/ml SCF (</w:t>
      </w:r>
      <w:proofErr w:type="spellStart"/>
      <w:r w:rsidRPr="00387B95">
        <w:rPr>
          <w:lang w:val="en-US"/>
        </w:rPr>
        <w:t>Peprotech</w:t>
      </w:r>
      <w:proofErr w:type="spellEnd"/>
      <w:r w:rsidRPr="00387B95">
        <w:rPr>
          <w:lang w:val="en-US"/>
        </w:rPr>
        <w:t>), 20ng/ml IL-11 (R&amp;D Systems) and 1ng/ml Flt3 ligand (</w:t>
      </w:r>
      <w:proofErr w:type="spellStart"/>
      <w:r w:rsidRPr="00387B95">
        <w:rPr>
          <w:lang w:val="en-US"/>
        </w:rPr>
        <w:t>Peprotech</w:t>
      </w:r>
      <w:proofErr w:type="spellEnd"/>
      <w:r w:rsidRPr="00387B95">
        <w:rPr>
          <w:lang w:val="en-US"/>
        </w:rPr>
        <w:t xml:space="preserve">). The number of cells was analyzed after 48h and categorized as </w:t>
      </w:r>
      <w:r>
        <w:rPr>
          <w:lang w:val="en-US"/>
        </w:rPr>
        <w:t xml:space="preserve">1 - </w:t>
      </w:r>
      <w:r w:rsidRPr="00387B95">
        <w:rPr>
          <w:lang w:val="en-US"/>
        </w:rPr>
        <w:t>1 division; &gt;2 – more than 2 cells</w:t>
      </w:r>
      <w:r>
        <w:rPr>
          <w:lang w:val="en-US"/>
        </w:rPr>
        <w:t>.</w:t>
      </w:r>
      <w:r w:rsidRPr="00387B95">
        <w:rPr>
          <w:lang w:val="en-US"/>
        </w:rPr>
        <w:t xml:space="preserve"> </w:t>
      </w:r>
    </w:p>
    <w:p w:rsidR="00592545" w:rsidRPr="00387B95" w:rsidRDefault="00592545" w:rsidP="00592545">
      <w:pPr>
        <w:spacing w:line="276" w:lineRule="auto"/>
        <w:jc w:val="both"/>
        <w:rPr>
          <w:lang w:val="en-US"/>
        </w:rPr>
      </w:pPr>
    </w:p>
    <w:p w:rsidR="00592545" w:rsidRPr="00387B95" w:rsidRDefault="00592545" w:rsidP="00592545">
      <w:pPr>
        <w:spacing w:line="276" w:lineRule="auto"/>
        <w:jc w:val="both"/>
        <w:rPr>
          <w:i/>
          <w:iCs/>
          <w:lang w:val="en-US"/>
        </w:rPr>
      </w:pPr>
      <w:r w:rsidRPr="00387B95">
        <w:rPr>
          <w:i/>
          <w:iCs/>
          <w:lang w:val="en-US"/>
        </w:rPr>
        <w:sym w:font="Symbol" w:char="F067"/>
      </w:r>
      <w:r w:rsidRPr="00387B95">
        <w:rPr>
          <w:i/>
          <w:iCs/>
          <w:lang w:val="en-US"/>
        </w:rPr>
        <w:t>H2AX immunofluorescence staining</w:t>
      </w:r>
    </w:p>
    <w:p w:rsidR="00592545" w:rsidRPr="00387B95" w:rsidRDefault="00592545" w:rsidP="00592545">
      <w:pPr>
        <w:spacing w:line="276" w:lineRule="auto"/>
        <w:jc w:val="both"/>
        <w:rPr>
          <w:lang w:val="en-US"/>
        </w:rPr>
      </w:pPr>
      <w:r w:rsidRPr="00387B95">
        <w:rPr>
          <w:lang w:val="en-US"/>
        </w:rPr>
        <w:t xml:space="preserve">1.000-2.000 LT-HSCs were sorted directly onto spots of an adhesion slide (VWR) filled with PBS. Cells were then permeabilized with 4% PFA and permeabilized with 0.25% Triton X-100 in PBS and blocked with 5% BSA + 0.05% Tween-20 in PBS, at RT and subsequently stained with 1:400 </w:t>
      </w:r>
      <w:r w:rsidRPr="00387B95">
        <w:rPr>
          <w:lang w:val="en-US"/>
        </w:rPr>
        <w:sym w:font="Symbol" w:char="F061"/>
      </w:r>
      <w:r w:rsidRPr="00387B95">
        <w:rPr>
          <w:lang w:val="en-US"/>
        </w:rPr>
        <w:t>-</w:t>
      </w:r>
      <w:r w:rsidRPr="00387B95">
        <w:rPr>
          <w:lang w:val="en-US"/>
        </w:rPr>
        <w:sym w:font="Symbol" w:char="F067"/>
      </w:r>
      <w:r w:rsidRPr="00387B95">
        <w:rPr>
          <w:lang w:val="en-US"/>
        </w:rPr>
        <w:t>H2AX rabbit antibody ON at 4</w:t>
      </w:r>
      <w:r w:rsidRPr="00387B95">
        <w:rPr>
          <w:lang w:val="en-US"/>
        </w:rPr>
        <w:sym w:font="Symbol" w:char="F0B0"/>
      </w:r>
      <w:r w:rsidRPr="00387B95">
        <w:rPr>
          <w:lang w:val="en-US"/>
        </w:rPr>
        <w:t xml:space="preserve">C. Cells were stained with 1:500 secondary antibody goat-anti-rabbit Alexa Fluor 488 and the coverslip was mounted with </w:t>
      </w:r>
      <w:proofErr w:type="spellStart"/>
      <w:r w:rsidRPr="00387B95">
        <w:rPr>
          <w:lang w:val="en-US"/>
        </w:rPr>
        <w:t>ProLong</w:t>
      </w:r>
      <w:proofErr w:type="spellEnd"/>
      <w:r w:rsidRPr="00387B95">
        <w:rPr>
          <w:lang w:val="en-US"/>
        </w:rPr>
        <w:t xml:space="preserve"> Antifade </w:t>
      </w:r>
      <w:proofErr w:type="spellStart"/>
      <w:r w:rsidRPr="00387B95">
        <w:rPr>
          <w:lang w:val="en-US"/>
        </w:rPr>
        <w:t>Mounant</w:t>
      </w:r>
      <w:proofErr w:type="spellEnd"/>
      <w:r w:rsidRPr="00387B95">
        <w:rPr>
          <w:lang w:val="en-US"/>
        </w:rPr>
        <w:t xml:space="preserve"> with DAPI (</w:t>
      </w:r>
      <w:proofErr w:type="spellStart"/>
      <w:r w:rsidRPr="00387B95">
        <w:rPr>
          <w:lang w:val="en-US"/>
        </w:rPr>
        <w:t>Thermo</w:t>
      </w:r>
      <w:proofErr w:type="spellEnd"/>
      <w:r w:rsidRPr="00387B95">
        <w:rPr>
          <w:lang w:val="en-US"/>
        </w:rPr>
        <w:t xml:space="preserve"> Fisher). The slide was imaged on a Leica Sp8 confocal microscope. The data was analyzed using Fiji Image J.</w:t>
      </w:r>
    </w:p>
    <w:p w:rsidR="00592545" w:rsidRPr="00387B95" w:rsidRDefault="00592545" w:rsidP="00592545">
      <w:pPr>
        <w:spacing w:line="276" w:lineRule="auto"/>
        <w:jc w:val="both"/>
        <w:rPr>
          <w:i/>
          <w:iCs/>
          <w:lang w:val="en-US"/>
        </w:rPr>
      </w:pPr>
    </w:p>
    <w:p w:rsidR="00592545" w:rsidRPr="00387B95" w:rsidRDefault="00592545" w:rsidP="00592545">
      <w:pPr>
        <w:spacing w:line="276" w:lineRule="auto"/>
        <w:jc w:val="both"/>
        <w:rPr>
          <w:i/>
          <w:iCs/>
          <w:lang w:val="en-US"/>
        </w:rPr>
      </w:pPr>
      <w:r w:rsidRPr="00387B95">
        <w:rPr>
          <w:i/>
          <w:iCs/>
          <w:lang w:val="en-US"/>
        </w:rPr>
        <w:t xml:space="preserve">LT-HSC cell cycle analysis </w:t>
      </w:r>
    </w:p>
    <w:p w:rsidR="00592545" w:rsidRPr="00387B95" w:rsidRDefault="00592545" w:rsidP="00592545">
      <w:pPr>
        <w:spacing w:line="276" w:lineRule="auto"/>
        <w:jc w:val="both"/>
        <w:rPr>
          <w:lang w:val="en-US"/>
        </w:rPr>
      </w:pPr>
      <w:r w:rsidRPr="00387B95">
        <w:rPr>
          <w:lang w:val="en-US"/>
        </w:rPr>
        <w:t>10.000-20.000 LT-HSCs were sorted and fixed and stained according to the manufacturer’s protocol (Fix/Perm kit #554714). Cells were stained with 1:200 Ki67-PE-Cy7 antibody and</w:t>
      </w:r>
      <w:r>
        <w:rPr>
          <w:lang w:val="en-US"/>
        </w:rPr>
        <w:t xml:space="preserve"> </w:t>
      </w:r>
      <w:r w:rsidRPr="00387B95">
        <w:rPr>
          <w:lang w:val="en-US"/>
        </w:rPr>
        <w:t>2</w:t>
      </w:r>
      <w:r w:rsidRPr="00387B95">
        <w:rPr>
          <w:lang w:val="en-US"/>
        </w:rPr>
        <w:sym w:font="Symbol" w:char="F06D"/>
      </w:r>
      <w:r w:rsidRPr="00387B95">
        <w:rPr>
          <w:lang w:val="en-US"/>
        </w:rPr>
        <w:t>g/ml DAPI. Samples were analyzed on BD FACS Canto II or BD Symphony.</w:t>
      </w:r>
    </w:p>
    <w:p w:rsidR="00592545" w:rsidRPr="00387B95" w:rsidRDefault="00592545" w:rsidP="00592545">
      <w:pPr>
        <w:spacing w:line="276" w:lineRule="auto"/>
        <w:jc w:val="both"/>
        <w:rPr>
          <w:lang w:val="en-US"/>
        </w:rPr>
      </w:pPr>
    </w:p>
    <w:p w:rsidR="00592545" w:rsidRPr="00387B95" w:rsidRDefault="00592545" w:rsidP="00592545">
      <w:pPr>
        <w:spacing w:line="276" w:lineRule="auto"/>
        <w:jc w:val="both"/>
        <w:rPr>
          <w:i/>
          <w:iCs/>
          <w:lang w:val="en-US"/>
        </w:rPr>
      </w:pPr>
      <w:r w:rsidRPr="00387B95">
        <w:rPr>
          <w:i/>
          <w:iCs/>
          <w:lang w:val="en-US"/>
        </w:rPr>
        <w:t>Inhibitor treatment of LT-HSCs</w:t>
      </w:r>
    </w:p>
    <w:p w:rsidR="00592545" w:rsidRPr="00294FD7" w:rsidRDefault="00592545" w:rsidP="00592545">
      <w:pPr>
        <w:spacing w:line="276" w:lineRule="auto"/>
        <w:jc w:val="both"/>
        <w:rPr>
          <w:rFonts w:cstheme="minorHAnsi"/>
          <w:color w:val="000000" w:themeColor="text1"/>
          <w:lang w:val="en-US"/>
        </w:rPr>
      </w:pPr>
      <w:r w:rsidRPr="00294FD7">
        <w:rPr>
          <w:color w:val="000000" w:themeColor="text1"/>
          <w:lang w:val="en-US"/>
        </w:rPr>
        <w:t xml:space="preserve">For single-cell proliferation assay and division assay, aged LT-HSCs were sorted directly into wells with medium (described above) and supplemented with 50ng/mL </w:t>
      </w:r>
      <w:proofErr w:type="spellStart"/>
      <w:r w:rsidRPr="00294FD7">
        <w:rPr>
          <w:color w:val="000000" w:themeColor="text1"/>
          <w:lang w:val="en-US"/>
        </w:rPr>
        <w:t>cycloRGD</w:t>
      </w:r>
      <w:proofErr w:type="spellEnd"/>
      <w:r w:rsidRPr="00294FD7">
        <w:rPr>
          <w:color w:val="000000" w:themeColor="text1"/>
          <w:lang w:val="en-US"/>
        </w:rPr>
        <w:sym w:font="Symbol" w:char="F067"/>
      </w:r>
      <w:r w:rsidRPr="00294FD7">
        <w:rPr>
          <w:color w:val="000000" w:themeColor="text1"/>
          <w:lang w:val="en-US"/>
        </w:rPr>
        <w:t>K (</w:t>
      </w:r>
      <w:proofErr w:type="spellStart"/>
      <w:r w:rsidRPr="00294FD7">
        <w:rPr>
          <w:color w:val="000000" w:themeColor="text1"/>
          <w:lang w:val="en-US"/>
        </w:rPr>
        <w:t>Selleckchem</w:t>
      </w:r>
      <w:proofErr w:type="spellEnd"/>
      <w:r w:rsidRPr="00294FD7">
        <w:rPr>
          <w:color w:val="000000" w:themeColor="text1"/>
          <w:lang w:val="en-US"/>
        </w:rPr>
        <w:t>, S7844) and 25ng/mL Tirofiban (</w:t>
      </w:r>
      <w:proofErr w:type="spellStart"/>
      <w:r w:rsidRPr="00294FD7">
        <w:rPr>
          <w:color w:val="000000" w:themeColor="text1"/>
          <w:lang w:val="en-US"/>
        </w:rPr>
        <w:t>Selleckchem</w:t>
      </w:r>
      <w:proofErr w:type="spellEnd"/>
      <w:r w:rsidRPr="00294FD7">
        <w:rPr>
          <w:color w:val="000000" w:themeColor="text1"/>
          <w:lang w:val="en-US"/>
        </w:rPr>
        <w:t xml:space="preserve">, </w:t>
      </w:r>
      <w:r w:rsidRPr="00294FD7">
        <w:rPr>
          <w:rFonts w:cstheme="minorHAnsi"/>
          <w:color w:val="000000" w:themeColor="text1"/>
        </w:rPr>
        <w:t>S3085</w:t>
      </w:r>
      <w:r w:rsidRPr="00294FD7">
        <w:rPr>
          <w:rFonts w:cstheme="minorHAnsi"/>
          <w:color w:val="000000" w:themeColor="text1"/>
          <w:lang w:val="en-US"/>
        </w:rPr>
        <w:t>).</w:t>
      </w:r>
    </w:p>
    <w:p w:rsidR="00592545" w:rsidRPr="00294FD7" w:rsidRDefault="00592545" w:rsidP="00592545">
      <w:pPr>
        <w:spacing w:line="276" w:lineRule="auto"/>
        <w:jc w:val="both"/>
        <w:rPr>
          <w:color w:val="000000" w:themeColor="text1"/>
          <w:lang w:val="en-US"/>
        </w:rPr>
      </w:pPr>
      <w:r w:rsidRPr="00294FD7">
        <w:rPr>
          <w:rFonts w:cstheme="minorHAnsi"/>
          <w:color w:val="000000" w:themeColor="text1"/>
          <w:lang w:val="en-US"/>
        </w:rPr>
        <w:t xml:space="preserve">For cell cycle analysis, at least 10.000 freshly isolated LT-HSCs were plated in 12-well plate in medium (described above), supplemented with </w:t>
      </w:r>
      <w:r w:rsidRPr="00294FD7">
        <w:rPr>
          <w:color w:val="000000" w:themeColor="text1"/>
          <w:lang w:val="en-US"/>
        </w:rPr>
        <w:t xml:space="preserve">50ng/mL </w:t>
      </w:r>
      <w:proofErr w:type="spellStart"/>
      <w:r w:rsidRPr="00294FD7">
        <w:rPr>
          <w:color w:val="000000" w:themeColor="text1"/>
          <w:lang w:val="en-US"/>
        </w:rPr>
        <w:t>cycloRGD</w:t>
      </w:r>
      <w:proofErr w:type="spellEnd"/>
      <w:r w:rsidRPr="00294FD7">
        <w:rPr>
          <w:color w:val="000000" w:themeColor="text1"/>
          <w:lang w:val="en-US"/>
        </w:rPr>
        <w:sym w:font="Symbol" w:char="F067"/>
      </w:r>
      <w:r w:rsidRPr="00294FD7">
        <w:rPr>
          <w:color w:val="000000" w:themeColor="text1"/>
          <w:lang w:val="en-US"/>
        </w:rPr>
        <w:t>K and 25ng/mL Tirofiban and incubated for 2h in 37</w:t>
      </w:r>
      <w:r w:rsidRPr="00294FD7">
        <w:rPr>
          <w:color w:val="000000" w:themeColor="text1"/>
          <w:lang w:val="en-US"/>
        </w:rPr>
        <w:sym w:font="Symbol" w:char="F0B0"/>
      </w:r>
      <w:r w:rsidRPr="00294FD7">
        <w:rPr>
          <w:color w:val="000000" w:themeColor="text1"/>
          <w:lang w:val="en-US"/>
        </w:rPr>
        <w:t>C, then the protocol for cell cycle analysis was followed.</w:t>
      </w:r>
    </w:p>
    <w:p w:rsidR="00592545" w:rsidRPr="00294FD7" w:rsidRDefault="00592545" w:rsidP="00592545">
      <w:pPr>
        <w:spacing w:line="276" w:lineRule="auto"/>
        <w:jc w:val="both"/>
        <w:rPr>
          <w:color w:val="000000" w:themeColor="text1"/>
          <w:lang w:val="en-US"/>
        </w:rPr>
      </w:pPr>
      <w:r w:rsidRPr="00294FD7">
        <w:rPr>
          <w:color w:val="000000" w:themeColor="text1"/>
          <w:lang w:val="en-US"/>
        </w:rPr>
        <w:t xml:space="preserve">For single-cell expansion assay aged LT-HSCs were sorted directly into </w:t>
      </w:r>
      <w:proofErr w:type="spellStart"/>
      <w:r w:rsidRPr="00294FD7">
        <w:rPr>
          <w:color w:val="000000" w:themeColor="text1"/>
          <w:lang w:val="en-US"/>
        </w:rPr>
        <w:t>rond</w:t>
      </w:r>
      <w:proofErr w:type="spellEnd"/>
      <w:r w:rsidRPr="00294FD7">
        <w:rPr>
          <w:color w:val="000000" w:themeColor="text1"/>
          <w:lang w:val="en-US"/>
        </w:rPr>
        <w:t>-bottom 96-wells plate with HemEx-Type9A (</w:t>
      </w:r>
      <w:proofErr w:type="spellStart"/>
      <w:r w:rsidRPr="00294FD7">
        <w:rPr>
          <w:color w:val="000000" w:themeColor="text1"/>
          <w:lang w:val="en-US"/>
        </w:rPr>
        <w:t>Nipro</w:t>
      </w:r>
      <w:proofErr w:type="spellEnd"/>
      <w:r w:rsidRPr="00294FD7">
        <w:rPr>
          <w:color w:val="000000" w:themeColor="text1"/>
          <w:lang w:val="en-US"/>
        </w:rPr>
        <w:t xml:space="preserve">) medium supplemented with 100ng/ml TPO, 10ng/ml SCF, 50ng/mL </w:t>
      </w:r>
      <w:proofErr w:type="spellStart"/>
      <w:r w:rsidRPr="00294FD7">
        <w:rPr>
          <w:color w:val="000000" w:themeColor="text1"/>
          <w:lang w:val="en-US"/>
        </w:rPr>
        <w:t>cycloRGD</w:t>
      </w:r>
      <w:proofErr w:type="spellEnd"/>
      <w:r w:rsidRPr="00294FD7">
        <w:rPr>
          <w:color w:val="000000" w:themeColor="text1"/>
          <w:lang w:val="en-US"/>
        </w:rPr>
        <w:sym w:font="Symbol" w:char="F067"/>
      </w:r>
      <w:r w:rsidRPr="00294FD7">
        <w:rPr>
          <w:color w:val="000000" w:themeColor="text1"/>
          <w:lang w:val="en-US"/>
        </w:rPr>
        <w:t>K (</w:t>
      </w:r>
      <w:proofErr w:type="spellStart"/>
      <w:r w:rsidRPr="00294FD7">
        <w:rPr>
          <w:color w:val="000000" w:themeColor="text1"/>
          <w:lang w:val="en-US"/>
        </w:rPr>
        <w:t>Selleckchem</w:t>
      </w:r>
      <w:proofErr w:type="spellEnd"/>
      <w:r w:rsidRPr="00294FD7">
        <w:rPr>
          <w:color w:val="000000" w:themeColor="text1"/>
          <w:lang w:val="en-US"/>
        </w:rPr>
        <w:t>, S7844) and 25ng/mL Tirofiban (</w:t>
      </w:r>
      <w:proofErr w:type="spellStart"/>
      <w:r w:rsidRPr="00294FD7">
        <w:rPr>
          <w:color w:val="000000" w:themeColor="text1"/>
          <w:lang w:val="en-US"/>
        </w:rPr>
        <w:t>Selleckchem</w:t>
      </w:r>
      <w:proofErr w:type="spellEnd"/>
      <w:r w:rsidRPr="00294FD7">
        <w:rPr>
          <w:color w:val="000000" w:themeColor="text1"/>
          <w:lang w:val="en-US"/>
        </w:rPr>
        <w:t xml:space="preserve">, </w:t>
      </w:r>
      <w:r w:rsidRPr="00294FD7">
        <w:rPr>
          <w:rFonts w:cstheme="minorHAnsi"/>
          <w:color w:val="000000" w:themeColor="text1"/>
        </w:rPr>
        <w:t>S3085</w:t>
      </w:r>
      <w:r w:rsidRPr="00294FD7">
        <w:rPr>
          <w:rFonts w:cstheme="minorHAnsi"/>
          <w:color w:val="000000" w:themeColor="text1"/>
          <w:lang w:val="en-US"/>
        </w:rPr>
        <w:t>). After 14 days the size of the colonies was analyzed based on the scoring range of single-cell proliferation assay.</w:t>
      </w:r>
    </w:p>
    <w:p w:rsidR="00592545" w:rsidRPr="00387B95" w:rsidRDefault="00592545" w:rsidP="00592545">
      <w:pPr>
        <w:spacing w:line="276" w:lineRule="auto"/>
        <w:jc w:val="both"/>
        <w:rPr>
          <w:color w:val="FF0000"/>
          <w:lang w:val="en-US"/>
        </w:rPr>
      </w:pPr>
    </w:p>
    <w:p w:rsidR="00592545" w:rsidRPr="00387B95" w:rsidRDefault="00592545" w:rsidP="00592545">
      <w:pPr>
        <w:spacing w:line="276" w:lineRule="auto"/>
        <w:jc w:val="both"/>
        <w:rPr>
          <w:i/>
          <w:iCs/>
          <w:lang w:val="en-US"/>
        </w:rPr>
      </w:pPr>
      <w:r w:rsidRPr="00387B95">
        <w:rPr>
          <w:i/>
          <w:iCs/>
          <w:lang w:val="en-US"/>
        </w:rPr>
        <w:t>Quantitative PCR analysis</w:t>
      </w:r>
    </w:p>
    <w:p w:rsidR="00592545" w:rsidRPr="00387B95" w:rsidRDefault="00592545" w:rsidP="00592545">
      <w:pPr>
        <w:spacing w:line="276" w:lineRule="auto"/>
        <w:jc w:val="both"/>
        <w:rPr>
          <w:lang w:val="en-US"/>
        </w:rPr>
      </w:pPr>
      <w:r w:rsidRPr="00387B95">
        <w:rPr>
          <w:lang w:val="en-US"/>
        </w:rPr>
        <w:t xml:space="preserve">5.000 or more LT-HSCs, ST-HSCs or MPPs were sorted directly into RLT Plus lysis buffer and the RNA extraction was carried out using RNeasy Micro Kit (Qiagen). The RNA was then transcribed into cDNA using </w:t>
      </w:r>
      <w:proofErr w:type="spellStart"/>
      <w:r w:rsidRPr="00387B95">
        <w:rPr>
          <w:lang w:val="en-US"/>
        </w:rPr>
        <w:t>SuperScript</w:t>
      </w:r>
      <w:proofErr w:type="spellEnd"/>
      <w:r w:rsidRPr="00387B95">
        <w:rPr>
          <w:lang w:val="en-US"/>
        </w:rPr>
        <w:t xml:space="preserve"> VILO cDNA Synthesis Kit (Invitrogen). The amplicons for CD61 and housekeeping gene GAPDH were amplified and quantified via qPCR using </w:t>
      </w:r>
      <w:proofErr w:type="spellStart"/>
      <w:r w:rsidRPr="00387B95">
        <w:rPr>
          <w:lang w:val="en-US"/>
        </w:rPr>
        <w:t>LightCycler</w:t>
      </w:r>
      <w:proofErr w:type="spellEnd"/>
      <w:r w:rsidRPr="00387B95">
        <w:rPr>
          <w:lang w:val="en-US"/>
        </w:rPr>
        <w:t xml:space="preserve"> SYBR Green I </w:t>
      </w:r>
      <w:proofErr w:type="spellStart"/>
      <w:r w:rsidRPr="00387B95">
        <w:rPr>
          <w:lang w:val="en-US"/>
        </w:rPr>
        <w:t>MasterMix</w:t>
      </w:r>
      <w:proofErr w:type="spellEnd"/>
      <w:r w:rsidRPr="00387B95">
        <w:rPr>
          <w:lang w:val="en-US"/>
        </w:rPr>
        <w:t xml:space="preserve"> and </w:t>
      </w:r>
      <w:proofErr w:type="spellStart"/>
      <w:r w:rsidRPr="00387B95">
        <w:rPr>
          <w:lang w:val="en-US"/>
        </w:rPr>
        <w:t>LightCycler</w:t>
      </w:r>
      <w:proofErr w:type="spellEnd"/>
      <w:r w:rsidRPr="00387B95">
        <w:rPr>
          <w:lang w:val="en-US"/>
        </w:rPr>
        <w:t xml:space="preserve"> 480 Instrument (Roche). CD61 expression was normalized relative to the housekeeping gene.</w:t>
      </w:r>
    </w:p>
    <w:p w:rsidR="00592545" w:rsidRPr="00387B95" w:rsidRDefault="00592545" w:rsidP="00592545">
      <w:pPr>
        <w:spacing w:line="276" w:lineRule="auto"/>
        <w:jc w:val="both"/>
        <w:rPr>
          <w:lang w:val="en-US"/>
        </w:rPr>
      </w:pPr>
    </w:p>
    <w:p w:rsidR="00592545" w:rsidRPr="00387B95" w:rsidRDefault="00592545" w:rsidP="00592545">
      <w:pPr>
        <w:spacing w:line="276" w:lineRule="auto"/>
        <w:jc w:val="both"/>
        <w:rPr>
          <w:b/>
          <w:bCs/>
          <w:lang w:val="en-US"/>
        </w:rPr>
      </w:pPr>
      <w:r w:rsidRPr="00387B95">
        <w:rPr>
          <w:b/>
          <w:bCs/>
          <w:lang w:val="en-US"/>
        </w:rPr>
        <w:t>Transplantation</w:t>
      </w:r>
    </w:p>
    <w:p w:rsidR="00592545" w:rsidRPr="00387B95" w:rsidRDefault="00592545" w:rsidP="00592545">
      <w:pPr>
        <w:spacing w:line="276" w:lineRule="auto"/>
        <w:jc w:val="both"/>
        <w:rPr>
          <w:i/>
          <w:iCs/>
          <w:lang w:val="en-US"/>
        </w:rPr>
      </w:pPr>
    </w:p>
    <w:p w:rsidR="00592545" w:rsidRPr="00387B95" w:rsidRDefault="00592545" w:rsidP="00592545">
      <w:pPr>
        <w:spacing w:line="276" w:lineRule="auto"/>
        <w:jc w:val="both"/>
        <w:rPr>
          <w:i/>
          <w:iCs/>
          <w:lang w:val="en-US"/>
        </w:rPr>
      </w:pPr>
      <w:r w:rsidRPr="00387B95">
        <w:rPr>
          <w:i/>
          <w:iCs/>
          <w:lang w:val="en-US"/>
        </w:rPr>
        <w:t>CD61</w:t>
      </w:r>
      <w:r w:rsidRPr="00387B95">
        <w:rPr>
          <w:i/>
          <w:iCs/>
          <w:vertAlign w:val="superscript"/>
          <w:lang w:val="en-US"/>
        </w:rPr>
        <w:t>High</w:t>
      </w:r>
      <w:r w:rsidRPr="00387B95">
        <w:rPr>
          <w:i/>
          <w:iCs/>
          <w:lang w:val="en-US"/>
        </w:rPr>
        <w:t xml:space="preserve"> and CD61</w:t>
      </w:r>
      <w:r w:rsidRPr="00387B95">
        <w:rPr>
          <w:i/>
          <w:iCs/>
          <w:vertAlign w:val="superscript"/>
          <w:lang w:val="en-US"/>
        </w:rPr>
        <w:t>Low</w:t>
      </w:r>
      <w:r w:rsidRPr="00387B95">
        <w:rPr>
          <w:i/>
          <w:iCs/>
          <w:lang w:val="en-US"/>
        </w:rPr>
        <w:t xml:space="preserve"> LT-HSC transplantation</w:t>
      </w:r>
    </w:p>
    <w:p w:rsidR="00592545" w:rsidRPr="00387B95" w:rsidRDefault="00592545" w:rsidP="00592545">
      <w:pPr>
        <w:spacing w:line="276" w:lineRule="auto"/>
        <w:jc w:val="both"/>
        <w:rPr>
          <w:lang w:val="en-US"/>
        </w:rPr>
      </w:pPr>
      <w:r w:rsidRPr="00387B95">
        <w:rPr>
          <w:lang w:val="en-US"/>
        </w:rPr>
        <w:t>500 CD61</w:t>
      </w:r>
      <w:r w:rsidRPr="00387B95">
        <w:rPr>
          <w:vertAlign w:val="superscript"/>
          <w:lang w:val="en-US"/>
        </w:rPr>
        <w:t>High</w:t>
      </w:r>
      <w:r w:rsidRPr="00387B95">
        <w:rPr>
          <w:lang w:val="en-US"/>
        </w:rPr>
        <w:t xml:space="preserve"> and CD61</w:t>
      </w:r>
      <w:r w:rsidRPr="00387B95">
        <w:rPr>
          <w:vertAlign w:val="superscript"/>
          <w:lang w:val="en-US"/>
        </w:rPr>
        <w:t>Low</w:t>
      </w:r>
      <w:r w:rsidRPr="00387B95">
        <w:rPr>
          <w:lang w:val="en-US"/>
        </w:rPr>
        <w:t xml:space="preserve"> LT-HSCs were sorted from young or aged CD45.2</w:t>
      </w:r>
      <w:r w:rsidRPr="00387B95">
        <w:rPr>
          <w:vertAlign w:val="superscript"/>
          <w:lang w:val="en-US"/>
        </w:rPr>
        <w:t xml:space="preserve">+ </w:t>
      </w:r>
      <w:r w:rsidRPr="00387B95">
        <w:rPr>
          <w:lang w:val="en-US"/>
        </w:rPr>
        <w:t>C57BL/6 mouse and were transplanted together with 2 million CD45.1</w:t>
      </w:r>
      <w:r w:rsidRPr="00387B95">
        <w:rPr>
          <w:vertAlign w:val="superscript"/>
          <w:lang w:val="en-US"/>
        </w:rPr>
        <w:t>+</w:t>
      </w:r>
      <w:r w:rsidRPr="00387B95">
        <w:rPr>
          <w:lang w:val="en-US"/>
        </w:rPr>
        <w:t xml:space="preserve"> W41 whole bone marrow cells into </w:t>
      </w:r>
      <w:r w:rsidRPr="00387B95">
        <w:rPr>
          <w:lang w:val="en-US"/>
        </w:rPr>
        <w:lastRenderedPageBreak/>
        <w:t xml:space="preserve">gender-matched, lethally irradiated (9 </w:t>
      </w:r>
      <w:proofErr w:type="spellStart"/>
      <w:r w:rsidRPr="00387B95">
        <w:rPr>
          <w:lang w:val="en-US"/>
        </w:rPr>
        <w:t>Gy</w:t>
      </w:r>
      <w:proofErr w:type="spellEnd"/>
      <w:r w:rsidRPr="00387B95">
        <w:rPr>
          <w:lang w:val="en-US"/>
        </w:rPr>
        <w:t>) CD45.1</w:t>
      </w:r>
      <w:r w:rsidRPr="00387B95">
        <w:rPr>
          <w:vertAlign w:val="superscript"/>
          <w:lang w:val="en-US"/>
        </w:rPr>
        <w:t xml:space="preserve">+ </w:t>
      </w:r>
      <w:r w:rsidRPr="00387B95">
        <w:rPr>
          <w:lang w:val="en-US"/>
        </w:rPr>
        <w:t>C57BL/6.SJL recipients, respectively. 16 weeks after transplantation, 500 CD45.2</w:t>
      </w:r>
      <w:r w:rsidRPr="00387B95">
        <w:rPr>
          <w:vertAlign w:val="superscript"/>
          <w:lang w:val="en-US"/>
        </w:rPr>
        <w:t>+</w:t>
      </w:r>
      <w:r w:rsidRPr="00387B95">
        <w:rPr>
          <w:lang w:val="en-US"/>
        </w:rPr>
        <w:t xml:space="preserve"> donor-derived LT-HSCs were isolated from the primary recipients of CD61</w:t>
      </w:r>
      <w:r w:rsidRPr="00387B95">
        <w:rPr>
          <w:vertAlign w:val="superscript"/>
          <w:lang w:val="en-US"/>
        </w:rPr>
        <w:t>High</w:t>
      </w:r>
      <w:r w:rsidRPr="00387B95">
        <w:rPr>
          <w:lang w:val="en-US"/>
        </w:rPr>
        <w:t xml:space="preserve"> and CD61</w:t>
      </w:r>
      <w:r w:rsidRPr="00387B95">
        <w:rPr>
          <w:vertAlign w:val="superscript"/>
          <w:lang w:val="en-US"/>
        </w:rPr>
        <w:t>Low</w:t>
      </w:r>
      <w:r w:rsidRPr="00387B95">
        <w:rPr>
          <w:lang w:val="en-US"/>
        </w:rPr>
        <w:t xml:space="preserve"> groups and transplanted alongside 2 million CD45.1</w:t>
      </w:r>
      <w:r w:rsidRPr="00387B95">
        <w:rPr>
          <w:vertAlign w:val="superscript"/>
          <w:lang w:val="en-US"/>
        </w:rPr>
        <w:t>+</w:t>
      </w:r>
      <w:r w:rsidRPr="00387B95">
        <w:rPr>
          <w:lang w:val="en-US"/>
        </w:rPr>
        <w:t xml:space="preserve"> W41 bone marrow cells into gender-matched lethally irradiated (9 </w:t>
      </w:r>
      <w:proofErr w:type="spellStart"/>
      <w:r w:rsidRPr="00387B95">
        <w:rPr>
          <w:lang w:val="en-US"/>
        </w:rPr>
        <w:t>Gy</w:t>
      </w:r>
      <w:proofErr w:type="spellEnd"/>
      <w:r w:rsidRPr="00387B95">
        <w:rPr>
          <w:lang w:val="en-US"/>
        </w:rPr>
        <w:t>) CD45.1</w:t>
      </w:r>
      <w:r w:rsidRPr="00387B95">
        <w:rPr>
          <w:vertAlign w:val="superscript"/>
          <w:lang w:val="en-US"/>
        </w:rPr>
        <w:t xml:space="preserve">+ </w:t>
      </w:r>
      <w:r w:rsidRPr="00387B95">
        <w:rPr>
          <w:lang w:val="en-US"/>
        </w:rPr>
        <w:t xml:space="preserve">C57BL/6.SJL secondary recipients. </w:t>
      </w:r>
    </w:p>
    <w:p w:rsidR="00592545" w:rsidRPr="00387B95" w:rsidRDefault="00592545" w:rsidP="00592545">
      <w:pPr>
        <w:spacing w:line="276" w:lineRule="auto"/>
        <w:jc w:val="both"/>
        <w:rPr>
          <w:lang w:val="en-US"/>
        </w:rPr>
      </w:pPr>
    </w:p>
    <w:p w:rsidR="00592545" w:rsidRPr="00387B95" w:rsidRDefault="00592545" w:rsidP="00592545">
      <w:pPr>
        <w:spacing w:line="276" w:lineRule="auto"/>
        <w:jc w:val="both"/>
        <w:rPr>
          <w:i/>
          <w:iCs/>
          <w:lang w:val="en-US"/>
        </w:rPr>
      </w:pPr>
      <w:r w:rsidRPr="00387B95">
        <w:rPr>
          <w:i/>
          <w:iCs/>
          <w:lang w:val="en-US"/>
        </w:rPr>
        <w:t>CD61</w:t>
      </w:r>
      <w:r w:rsidRPr="00387B95">
        <w:rPr>
          <w:i/>
          <w:iCs/>
          <w:vertAlign w:val="superscript"/>
          <w:lang w:val="en-US"/>
        </w:rPr>
        <w:t>KD</w:t>
      </w:r>
      <w:r w:rsidRPr="00387B95">
        <w:rPr>
          <w:i/>
          <w:iCs/>
          <w:lang w:val="en-US"/>
        </w:rPr>
        <w:t xml:space="preserve"> LT-HSC transplantation</w:t>
      </w:r>
    </w:p>
    <w:p w:rsidR="00592545" w:rsidRPr="00387B95" w:rsidRDefault="00592545" w:rsidP="00592545">
      <w:pPr>
        <w:spacing w:line="276" w:lineRule="auto"/>
        <w:jc w:val="both"/>
        <w:rPr>
          <w:lang w:val="en-US"/>
        </w:rPr>
      </w:pPr>
      <w:r w:rsidRPr="00387B95">
        <w:rPr>
          <w:b/>
          <w:bCs/>
          <w:lang w:val="en-US"/>
        </w:rPr>
        <w:t>CD61</w:t>
      </w:r>
      <w:r w:rsidRPr="00387B95">
        <w:rPr>
          <w:b/>
          <w:bCs/>
          <w:vertAlign w:val="superscript"/>
          <w:lang w:val="en-US"/>
        </w:rPr>
        <w:t>KD</w:t>
      </w:r>
      <w:r w:rsidRPr="00387B95">
        <w:rPr>
          <w:lang w:val="en-US"/>
        </w:rPr>
        <w:t xml:space="preserve"> O</w:t>
      </w:r>
      <w:r w:rsidRPr="00387B95">
        <w:t>ligo</w:t>
      </w:r>
      <w:r w:rsidRPr="00387B95">
        <w:rPr>
          <w:lang w:val="en-US"/>
        </w:rPr>
        <w:t>nucleotides</w:t>
      </w:r>
      <w:r w:rsidRPr="00387B95">
        <w:t xml:space="preserve"> for </w:t>
      </w:r>
      <w:r w:rsidRPr="00387B95">
        <w:rPr>
          <w:lang w:val="en-US"/>
        </w:rPr>
        <w:t>CD61</w:t>
      </w:r>
      <w:r w:rsidRPr="00387B95">
        <w:rPr>
          <w:vertAlign w:val="superscript"/>
          <w:lang w:val="en-US"/>
        </w:rPr>
        <w:t>KD</w:t>
      </w:r>
      <w:r w:rsidRPr="00387B95">
        <w:rPr>
          <w:lang w:val="en-US"/>
        </w:rPr>
        <w:t xml:space="preserve"> </w:t>
      </w:r>
      <w:r w:rsidRPr="00387B95">
        <w:t>were annealed and cloned into the empty pLKO.1_mCherry vector upon digestion with AgeI and EcoRI</w:t>
      </w:r>
      <w:r w:rsidRPr="00387B95">
        <w:rPr>
          <w:lang w:val="en-US"/>
        </w:rPr>
        <w:t xml:space="preserve">. The virus was produced by transfecting </w:t>
      </w:r>
      <w:proofErr w:type="spellStart"/>
      <w:r w:rsidRPr="00387B95">
        <w:rPr>
          <w:lang w:val="en-US"/>
        </w:rPr>
        <w:t>LentiX</w:t>
      </w:r>
      <w:proofErr w:type="spellEnd"/>
      <w:r w:rsidRPr="00387B95">
        <w:rPr>
          <w:lang w:val="en-US"/>
        </w:rPr>
        <w:t xml:space="preserve"> HEK293 cells with the construct alongside packaging vectors (pCMV8.91, VSV-G) using </w:t>
      </w:r>
      <w:proofErr w:type="spellStart"/>
      <w:r w:rsidRPr="00387B95">
        <w:rPr>
          <w:lang w:val="en-US"/>
        </w:rPr>
        <w:t>FuGENE</w:t>
      </w:r>
      <w:proofErr w:type="spellEnd"/>
      <w:r w:rsidRPr="00387B95">
        <w:rPr>
          <w:lang w:val="en-US"/>
        </w:rPr>
        <w:t xml:space="preserve">. </w:t>
      </w:r>
    </w:p>
    <w:p w:rsidR="00592545" w:rsidRPr="00387B95" w:rsidRDefault="00592545" w:rsidP="00592545">
      <w:pPr>
        <w:spacing w:line="276" w:lineRule="auto"/>
        <w:jc w:val="both"/>
        <w:rPr>
          <w:lang w:val="en-US"/>
        </w:rPr>
      </w:pPr>
      <w:r w:rsidRPr="00387B95">
        <w:rPr>
          <w:b/>
          <w:bCs/>
          <w:lang w:val="en-US"/>
        </w:rPr>
        <w:t xml:space="preserve">Transduction </w:t>
      </w:r>
      <w:r w:rsidRPr="00387B95">
        <w:rPr>
          <w:lang w:val="en-US"/>
        </w:rPr>
        <w:t>After 24h the medium was changed to HemEx-Type9A and the viral supernatant was collected 24h later. LT-HSCs were isolated from CD45.2</w:t>
      </w:r>
      <w:r w:rsidRPr="00387B95">
        <w:rPr>
          <w:vertAlign w:val="superscript"/>
          <w:lang w:val="en-US"/>
        </w:rPr>
        <w:t xml:space="preserve">+ </w:t>
      </w:r>
      <w:r w:rsidRPr="00387B95">
        <w:rPr>
          <w:lang w:val="en-US"/>
        </w:rPr>
        <w:t xml:space="preserve">C57BL/6 mouse and plated on </w:t>
      </w:r>
      <w:proofErr w:type="spellStart"/>
      <w:r w:rsidRPr="00387B95">
        <w:rPr>
          <w:lang w:val="en-US"/>
        </w:rPr>
        <w:t>retronectin</w:t>
      </w:r>
      <w:proofErr w:type="spellEnd"/>
      <w:r w:rsidRPr="00387B95">
        <w:rPr>
          <w:lang w:val="en-US"/>
        </w:rPr>
        <w:t>-coated plates 24h prior to transduction in HemEx-Type9A (</w:t>
      </w:r>
      <w:proofErr w:type="spellStart"/>
      <w:r w:rsidRPr="00387B95">
        <w:rPr>
          <w:lang w:val="en-US"/>
        </w:rPr>
        <w:t>Nipro</w:t>
      </w:r>
      <w:proofErr w:type="spellEnd"/>
      <w:r w:rsidRPr="00387B95">
        <w:rPr>
          <w:lang w:val="en-US"/>
        </w:rPr>
        <w:t>) medium supplemented with 100ng/ml TPO and 10ng/ml SCF. The medium was removed and the filtered viral supernatant added to the LT-HSCs. The plate was centrifuged for 45min at 400g and incubated for 5 days at 37</w:t>
      </w:r>
      <w:r w:rsidRPr="00387B95">
        <w:rPr>
          <w:lang w:val="en-US"/>
        </w:rPr>
        <w:sym w:font="Symbol" w:char="F0B0"/>
      </w:r>
      <w:r w:rsidRPr="00387B95">
        <w:rPr>
          <w:lang w:val="en-US"/>
        </w:rPr>
        <w:t xml:space="preserve">C. </w:t>
      </w:r>
    </w:p>
    <w:p w:rsidR="00592545" w:rsidRPr="00387B95" w:rsidRDefault="00592545" w:rsidP="00592545">
      <w:pPr>
        <w:spacing w:line="276" w:lineRule="auto"/>
        <w:jc w:val="both"/>
        <w:rPr>
          <w:lang w:val="en-US"/>
        </w:rPr>
      </w:pPr>
      <w:r w:rsidRPr="00387B95">
        <w:rPr>
          <w:b/>
          <w:bCs/>
          <w:lang w:val="en-US"/>
        </w:rPr>
        <w:t>Transplantation</w:t>
      </w:r>
      <w:r w:rsidRPr="00387B95">
        <w:rPr>
          <w:lang w:val="en-US"/>
        </w:rPr>
        <w:t xml:space="preserve"> After 5 days the cells were collected from the wells </w:t>
      </w:r>
      <w:r>
        <w:rPr>
          <w:lang w:val="en-US"/>
        </w:rPr>
        <w:t xml:space="preserve">and </w:t>
      </w:r>
      <w:r w:rsidRPr="00387B95">
        <w:rPr>
          <w:lang w:val="en-US"/>
        </w:rPr>
        <w:t>500 GFP</w:t>
      </w:r>
      <w:r w:rsidRPr="00387B95">
        <w:rPr>
          <w:vertAlign w:val="superscript"/>
          <w:lang w:val="en-US"/>
        </w:rPr>
        <w:t>+</w:t>
      </w:r>
      <w:r w:rsidRPr="00387B95">
        <w:rPr>
          <w:lang w:val="en-US"/>
        </w:rPr>
        <w:t>/</w:t>
      </w:r>
      <w:proofErr w:type="spellStart"/>
      <w:r w:rsidRPr="00387B95">
        <w:rPr>
          <w:lang w:val="en-US"/>
        </w:rPr>
        <w:t>mCherry</w:t>
      </w:r>
      <w:proofErr w:type="spellEnd"/>
      <w:r w:rsidRPr="00387B95">
        <w:rPr>
          <w:vertAlign w:val="superscript"/>
          <w:lang w:val="en-US"/>
        </w:rPr>
        <w:t>+</w:t>
      </w:r>
      <w:r w:rsidRPr="00387B95">
        <w:rPr>
          <w:lang w:val="en-US"/>
        </w:rPr>
        <w:t xml:space="preserve"> LT-HSCs were sorted and transplanted alongside 2 million CD45.1</w:t>
      </w:r>
      <w:r w:rsidRPr="00387B95">
        <w:rPr>
          <w:vertAlign w:val="superscript"/>
          <w:lang w:val="en-US"/>
        </w:rPr>
        <w:t>+</w:t>
      </w:r>
      <w:r w:rsidRPr="00387B95">
        <w:rPr>
          <w:lang w:val="en-US"/>
        </w:rPr>
        <w:t xml:space="preserve"> W41 bone marrow cells into gender-matched lethally irradiated (9 </w:t>
      </w:r>
      <w:proofErr w:type="spellStart"/>
      <w:r w:rsidRPr="00387B95">
        <w:rPr>
          <w:lang w:val="en-US"/>
        </w:rPr>
        <w:t>Gy</w:t>
      </w:r>
      <w:proofErr w:type="spellEnd"/>
      <w:r w:rsidRPr="00387B95">
        <w:rPr>
          <w:lang w:val="en-US"/>
        </w:rPr>
        <w:t>) CD45.1</w:t>
      </w:r>
      <w:r w:rsidRPr="00387B95">
        <w:rPr>
          <w:vertAlign w:val="superscript"/>
          <w:lang w:val="en-US"/>
        </w:rPr>
        <w:t xml:space="preserve">+ </w:t>
      </w:r>
      <w:r w:rsidRPr="00387B95">
        <w:rPr>
          <w:lang w:val="en-US"/>
        </w:rPr>
        <w:t>C57BL/6.SJL recipients.</w:t>
      </w:r>
    </w:p>
    <w:p w:rsidR="00592545" w:rsidRPr="00387B95" w:rsidRDefault="00592545" w:rsidP="00592545">
      <w:pPr>
        <w:spacing w:line="276" w:lineRule="auto"/>
        <w:jc w:val="both"/>
        <w:rPr>
          <w:lang w:val="en-US"/>
        </w:rPr>
      </w:pPr>
    </w:p>
    <w:tbl>
      <w:tblPr>
        <w:tblStyle w:val="PlainTable5"/>
        <w:tblW w:w="6379" w:type="dxa"/>
        <w:jc w:val="center"/>
        <w:tblLook w:val="04A0" w:firstRow="1" w:lastRow="0" w:firstColumn="1" w:lastColumn="0" w:noHBand="0" w:noVBand="1"/>
      </w:tblPr>
      <w:tblGrid>
        <w:gridCol w:w="1083"/>
        <w:gridCol w:w="5296"/>
      </w:tblGrid>
      <w:tr w:rsidR="00592545" w:rsidRPr="00387B95" w:rsidTr="00680D0A">
        <w:trPr>
          <w:cnfStyle w:val="100000000000" w:firstRow="1" w:lastRow="0" w:firstColumn="0" w:lastColumn="0" w:oddVBand="0" w:evenVBand="0" w:oddHBand="0" w:evenHBand="0" w:firstRowFirstColumn="0" w:firstRowLastColumn="0" w:lastRowFirstColumn="0" w:lastRowLastColumn="0"/>
          <w:trHeight w:val="201"/>
          <w:jc w:val="center"/>
        </w:trPr>
        <w:tc>
          <w:tcPr>
            <w:cnfStyle w:val="001000000100" w:firstRow="0" w:lastRow="0" w:firstColumn="1" w:lastColumn="0" w:oddVBand="0" w:evenVBand="0" w:oddHBand="0" w:evenHBand="0" w:firstRowFirstColumn="1" w:firstRowLastColumn="0" w:lastRowFirstColumn="0" w:lastRowLastColumn="0"/>
            <w:tcW w:w="0" w:type="dxa"/>
            <w:noWrap/>
            <w:hideMark/>
          </w:tcPr>
          <w:p w:rsidR="00592545" w:rsidRPr="00387B95" w:rsidRDefault="00592545" w:rsidP="00680D0A">
            <w:pPr>
              <w:jc w:val="center"/>
              <w:rPr>
                <w:rFonts w:ascii="Calibri" w:eastAsia="Times New Roman" w:hAnsi="Calibri" w:cs="Calibri"/>
                <w:color w:val="000000" w:themeColor="text1"/>
                <w:sz w:val="24"/>
                <w:lang w:val="nl-NL" w:eastAsia="en-GB"/>
              </w:rPr>
            </w:pPr>
            <w:r w:rsidRPr="00387B95">
              <w:rPr>
                <w:rFonts w:ascii="Calibri" w:eastAsia="Times New Roman" w:hAnsi="Calibri" w:cs="Calibri"/>
                <w:color w:val="000000" w:themeColor="text1"/>
                <w:sz w:val="24"/>
                <w:lang w:eastAsia="en-GB"/>
              </w:rPr>
              <w:t>Name</w:t>
            </w:r>
          </w:p>
        </w:tc>
        <w:tc>
          <w:tcPr>
            <w:tcW w:w="5079" w:type="dxa"/>
            <w:noWrap/>
            <w:hideMark/>
          </w:tcPr>
          <w:p w:rsidR="00592545" w:rsidRPr="00387B95" w:rsidRDefault="00592545" w:rsidP="00680D0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lang w:eastAsia="en-GB"/>
              </w:rPr>
            </w:pPr>
            <w:r w:rsidRPr="00387B95">
              <w:rPr>
                <w:rFonts w:ascii="Calibri" w:eastAsia="Times New Roman" w:hAnsi="Calibri" w:cs="Calibri"/>
                <w:color w:val="000000" w:themeColor="text1"/>
                <w:sz w:val="24"/>
                <w:lang w:eastAsia="en-GB"/>
              </w:rPr>
              <w:t>Sequence</w:t>
            </w:r>
          </w:p>
        </w:tc>
      </w:tr>
      <w:tr w:rsidR="00592545" w:rsidRPr="00387B95" w:rsidTr="00680D0A">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vAlign w:val="center"/>
            <w:hideMark/>
          </w:tcPr>
          <w:p w:rsidR="00592545" w:rsidRPr="00387B95" w:rsidRDefault="00592545" w:rsidP="00680D0A">
            <w:pPr>
              <w:jc w:val="center"/>
              <w:rPr>
                <w:rFonts w:ascii="Calibri" w:eastAsia="Times New Roman" w:hAnsi="Calibri" w:cs="Calibri"/>
                <w:color w:val="000000"/>
                <w:sz w:val="24"/>
                <w:lang w:eastAsia="en-GB"/>
              </w:rPr>
            </w:pPr>
            <w:r w:rsidRPr="00387B95">
              <w:rPr>
                <w:rFonts w:ascii="Calibri" w:eastAsia="Times New Roman" w:hAnsi="Calibri" w:cs="Calibri"/>
                <w:color w:val="000000"/>
                <w:sz w:val="24"/>
                <w:lang w:eastAsia="en-GB"/>
              </w:rPr>
              <w:t>shRNA</w:t>
            </w:r>
            <w:r w:rsidRPr="00387B95">
              <w:rPr>
                <w:rFonts w:ascii="Calibri" w:eastAsia="Times New Roman" w:hAnsi="Calibri" w:cs="Calibri"/>
                <w:color w:val="000000"/>
                <w:sz w:val="24"/>
                <w:lang w:val="nl-NL" w:eastAsia="en-GB"/>
              </w:rPr>
              <w:t>.</w:t>
            </w:r>
            <w:r w:rsidRPr="00387B95">
              <w:rPr>
                <w:rFonts w:ascii="Calibri" w:eastAsia="Times New Roman" w:hAnsi="Calibri" w:cs="Calibri"/>
                <w:color w:val="000000"/>
                <w:sz w:val="24"/>
                <w:lang w:eastAsia="en-GB"/>
              </w:rPr>
              <w:t>1</w:t>
            </w:r>
          </w:p>
        </w:tc>
        <w:tc>
          <w:tcPr>
            <w:tcW w:w="5079" w:type="dxa"/>
            <w:noWrap/>
            <w:vAlign w:val="center"/>
            <w:hideMark/>
          </w:tcPr>
          <w:p w:rsidR="00592545" w:rsidRPr="00387B95" w:rsidRDefault="00592545" w:rsidP="00680D0A">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87B95">
              <w:rPr>
                <w:rFonts w:ascii="Calibri" w:eastAsia="Times New Roman" w:hAnsi="Calibri" w:cs="Calibri"/>
                <w:color w:val="000000"/>
                <w:lang w:eastAsia="en-GB"/>
              </w:rPr>
              <w:t>CCGG</w:t>
            </w:r>
            <w:r w:rsidRPr="00387B95">
              <w:rPr>
                <w:rFonts w:ascii="Calibri" w:eastAsia="Times New Roman" w:hAnsi="Calibri" w:cs="Calibri"/>
                <w:color w:val="000000"/>
                <w:lang w:val="nl-NL" w:eastAsia="en-GB"/>
              </w:rPr>
              <w:t xml:space="preserve"> </w:t>
            </w:r>
            <w:r w:rsidRPr="00387B95">
              <w:rPr>
                <w:rFonts w:ascii="Calibri" w:eastAsia="Times New Roman" w:hAnsi="Calibri" w:cs="Calibri"/>
                <w:color w:val="000000"/>
                <w:lang w:eastAsia="en-GB"/>
              </w:rPr>
              <w:t>GCATCCCATTTGCTAGTGTTT CTCGAG AAACACTAGCAAATGGGATGCTTTTT</w:t>
            </w:r>
          </w:p>
        </w:tc>
      </w:tr>
      <w:tr w:rsidR="00592545" w:rsidRPr="00387B95" w:rsidTr="00680D0A">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vAlign w:val="center"/>
            <w:hideMark/>
          </w:tcPr>
          <w:p w:rsidR="00592545" w:rsidRPr="00387B95" w:rsidRDefault="00592545" w:rsidP="00680D0A">
            <w:pPr>
              <w:jc w:val="center"/>
              <w:rPr>
                <w:rFonts w:ascii="Calibri" w:eastAsia="Times New Roman" w:hAnsi="Calibri" w:cs="Calibri"/>
                <w:color w:val="000000"/>
                <w:sz w:val="24"/>
                <w:lang w:eastAsia="en-GB"/>
              </w:rPr>
            </w:pPr>
            <w:r w:rsidRPr="00387B95">
              <w:rPr>
                <w:rFonts w:ascii="Calibri" w:eastAsia="Times New Roman" w:hAnsi="Calibri" w:cs="Calibri"/>
                <w:color w:val="000000"/>
                <w:sz w:val="24"/>
                <w:lang w:eastAsia="en-GB"/>
              </w:rPr>
              <w:t>shRNA</w:t>
            </w:r>
            <w:r w:rsidRPr="00387B95">
              <w:rPr>
                <w:rFonts w:ascii="Calibri" w:eastAsia="Times New Roman" w:hAnsi="Calibri" w:cs="Calibri"/>
                <w:color w:val="000000"/>
                <w:sz w:val="24"/>
                <w:lang w:val="nl-NL" w:eastAsia="en-GB"/>
              </w:rPr>
              <w:t>.</w:t>
            </w:r>
            <w:r w:rsidRPr="00387B95">
              <w:rPr>
                <w:rFonts w:ascii="Calibri" w:eastAsia="Times New Roman" w:hAnsi="Calibri" w:cs="Calibri"/>
                <w:color w:val="000000"/>
                <w:sz w:val="24"/>
                <w:lang w:eastAsia="en-GB"/>
              </w:rPr>
              <w:t>2</w:t>
            </w:r>
          </w:p>
        </w:tc>
        <w:tc>
          <w:tcPr>
            <w:tcW w:w="5079" w:type="dxa"/>
            <w:noWrap/>
            <w:vAlign w:val="center"/>
            <w:hideMark/>
          </w:tcPr>
          <w:p w:rsidR="00592545" w:rsidRPr="00387B95" w:rsidRDefault="00592545" w:rsidP="00680D0A">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87B95">
              <w:rPr>
                <w:rFonts w:ascii="Calibri" w:eastAsia="Times New Roman" w:hAnsi="Calibri" w:cs="Calibri"/>
                <w:color w:val="000000"/>
                <w:lang w:eastAsia="en-GB"/>
              </w:rPr>
              <w:t>CCGG GCTCATCTGGAAGCTACTCAT CTCGAG ATGAGTAGCTTCCAGATGAGCTTTTT</w:t>
            </w:r>
          </w:p>
        </w:tc>
      </w:tr>
      <w:tr w:rsidR="00592545" w:rsidRPr="00387B95" w:rsidTr="00680D0A">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vAlign w:val="center"/>
            <w:hideMark/>
          </w:tcPr>
          <w:p w:rsidR="00592545" w:rsidRPr="00387B95" w:rsidRDefault="00592545" w:rsidP="00680D0A">
            <w:pPr>
              <w:jc w:val="center"/>
              <w:rPr>
                <w:rFonts w:ascii="Calibri" w:eastAsia="Times New Roman" w:hAnsi="Calibri" w:cs="Calibri"/>
                <w:color w:val="000000"/>
                <w:sz w:val="24"/>
                <w:lang w:eastAsia="en-GB"/>
              </w:rPr>
            </w:pPr>
            <w:r w:rsidRPr="00387B95">
              <w:rPr>
                <w:rFonts w:ascii="Calibri" w:eastAsia="Times New Roman" w:hAnsi="Calibri" w:cs="Calibri"/>
                <w:color w:val="000000"/>
                <w:sz w:val="24"/>
                <w:lang w:eastAsia="en-GB"/>
              </w:rPr>
              <w:t>shRNA</w:t>
            </w:r>
            <w:r w:rsidRPr="00387B95">
              <w:rPr>
                <w:rFonts w:ascii="Calibri" w:eastAsia="Times New Roman" w:hAnsi="Calibri" w:cs="Calibri"/>
                <w:color w:val="000000"/>
                <w:sz w:val="24"/>
                <w:lang w:val="nl-NL" w:eastAsia="en-GB"/>
              </w:rPr>
              <w:t>.</w:t>
            </w:r>
            <w:r w:rsidRPr="00387B95">
              <w:rPr>
                <w:rFonts w:ascii="Calibri" w:eastAsia="Times New Roman" w:hAnsi="Calibri" w:cs="Calibri"/>
                <w:color w:val="000000"/>
                <w:sz w:val="24"/>
                <w:lang w:eastAsia="en-GB"/>
              </w:rPr>
              <w:t>3</w:t>
            </w:r>
          </w:p>
        </w:tc>
        <w:tc>
          <w:tcPr>
            <w:tcW w:w="5079" w:type="dxa"/>
            <w:noWrap/>
            <w:vAlign w:val="center"/>
            <w:hideMark/>
          </w:tcPr>
          <w:p w:rsidR="00592545" w:rsidRPr="00387B95" w:rsidRDefault="00592545" w:rsidP="00680D0A">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87B95">
              <w:rPr>
                <w:rFonts w:ascii="Calibri" w:eastAsia="Times New Roman" w:hAnsi="Calibri" w:cs="Calibri"/>
                <w:color w:val="000000"/>
                <w:lang w:eastAsia="en-GB"/>
              </w:rPr>
              <w:t>CCGG CGCCGTGAATTGTACCTACAA CTCGAG TTGTAGGTACAATTCACGGCGTTTTT</w:t>
            </w:r>
          </w:p>
        </w:tc>
      </w:tr>
    </w:tbl>
    <w:p w:rsidR="00592545" w:rsidRPr="00387B95" w:rsidRDefault="00592545" w:rsidP="00592545">
      <w:pPr>
        <w:spacing w:line="276" w:lineRule="auto"/>
        <w:jc w:val="both"/>
        <w:rPr>
          <w:lang w:val="en-US"/>
        </w:rPr>
      </w:pPr>
    </w:p>
    <w:p w:rsidR="00592545" w:rsidRPr="00387B95" w:rsidRDefault="00592545" w:rsidP="00592545">
      <w:pPr>
        <w:spacing w:line="276" w:lineRule="auto"/>
        <w:jc w:val="both"/>
        <w:rPr>
          <w:i/>
          <w:iCs/>
          <w:lang w:val="en-US"/>
        </w:rPr>
      </w:pPr>
      <w:r w:rsidRPr="00387B95">
        <w:rPr>
          <w:i/>
          <w:iCs/>
          <w:lang w:val="en-US"/>
        </w:rPr>
        <w:t>Peripheral blood count</w:t>
      </w:r>
    </w:p>
    <w:p w:rsidR="00592545" w:rsidRPr="00387B95" w:rsidRDefault="00592545" w:rsidP="00592545">
      <w:pPr>
        <w:spacing w:line="276" w:lineRule="auto"/>
        <w:jc w:val="both"/>
      </w:pPr>
      <w:r w:rsidRPr="00387B95">
        <w:t>Peripheral blood was collected from the retro-orbital venous plexus in heparinized capillary tubes. 25 μl PB was used for cell counting using Medonic CA-620.</w:t>
      </w:r>
    </w:p>
    <w:p w:rsidR="00592545" w:rsidRPr="00387B95" w:rsidRDefault="00592545" w:rsidP="00592545">
      <w:pPr>
        <w:spacing w:line="276" w:lineRule="auto"/>
        <w:jc w:val="both"/>
      </w:pPr>
    </w:p>
    <w:p w:rsidR="00592545" w:rsidRPr="00FF466B" w:rsidRDefault="00592545" w:rsidP="00592545">
      <w:pPr>
        <w:spacing w:line="276" w:lineRule="auto"/>
        <w:jc w:val="both"/>
        <w:rPr>
          <w:b/>
          <w:bCs/>
          <w:lang w:val="en-US"/>
        </w:rPr>
      </w:pPr>
      <w:r w:rsidRPr="00FF466B">
        <w:rPr>
          <w:b/>
          <w:bCs/>
          <w:lang w:val="en-US"/>
        </w:rPr>
        <w:t>RNA-sequencing</w:t>
      </w:r>
    </w:p>
    <w:p w:rsidR="00592545" w:rsidRPr="00FF466B" w:rsidRDefault="00592545" w:rsidP="00592545">
      <w:pPr>
        <w:spacing w:line="276" w:lineRule="auto"/>
        <w:jc w:val="both"/>
        <w:rPr>
          <w:b/>
          <w:bCs/>
          <w:lang w:val="en-US"/>
        </w:rPr>
      </w:pPr>
    </w:p>
    <w:p w:rsidR="00592545" w:rsidRPr="00667DEA" w:rsidRDefault="00592545" w:rsidP="00592545">
      <w:pPr>
        <w:spacing w:line="276" w:lineRule="auto"/>
        <w:jc w:val="both"/>
        <w:rPr>
          <w:lang w:val="en-US"/>
        </w:rPr>
      </w:pPr>
      <w:r w:rsidRPr="00667DEA">
        <w:t>Total RNA was isolated from 5000 LT-HSCs using RNeasy Plus Micro Kit (QIAGEN, 74034) according to the manufacturer’s instructions. Library preparation was performed with SMART Ultra-Low Input kit v4 (Takara) and Nextera™ XT Library Prep kit (Illumina). Samples were sequenced using a NextSeq 5000 (Illumina) in the same flow cell and were pulled equimolarly</w:t>
      </w:r>
      <w:r w:rsidRPr="00667DEA">
        <w:rPr>
          <w:lang w:val="en-US"/>
        </w:rPr>
        <w:t>.</w:t>
      </w:r>
    </w:p>
    <w:p w:rsidR="00592545" w:rsidRPr="009B26D2" w:rsidRDefault="00592545" w:rsidP="00592545">
      <w:pPr>
        <w:spacing w:line="276" w:lineRule="auto"/>
        <w:jc w:val="both"/>
        <w:rPr>
          <w:rFonts w:ascii="Calibri" w:eastAsia="Times New Roman" w:hAnsi="Calibri" w:cs="Calibri"/>
          <w:color w:val="000000" w:themeColor="text1"/>
          <w:bdr w:val="none" w:sz="0" w:space="0" w:color="auto" w:frame="1"/>
          <w:lang w:eastAsia="en-GB"/>
        </w:rPr>
      </w:pPr>
      <w:r w:rsidRPr="009B26D2">
        <w:rPr>
          <w:rFonts w:ascii="Calibri" w:eastAsia="Times New Roman" w:hAnsi="Calibri" w:cs="Calibri"/>
          <w:b/>
          <w:bCs/>
          <w:color w:val="000000" w:themeColor="text1"/>
          <w:bdr w:val="none" w:sz="0" w:space="0" w:color="auto" w:frame="1"/>
          <w:lang w:eastAsia="en-GB"/>
        </w:rPr>
        <w:t>Data analysis</w:t>
      </w:r>
      <w:r w:rsidRPr="00174DAE">
        <w:rPr>
          <w:rFonts w:ascii="Calibri" w:eastAsia="Times New Roman" w:hAnsi="Calibri" w:cs="Calibri"/>
          <w:color w:val="000000" w:themeColor="text1"/>
          <w:bdr w:val="none" w:sz="0" w:space="0" w:color="auto" w:frame="1"/>
          <w:lang w:eastAsia="en-GB"/>
        </w:rPr>
        <w:t xml:space="preserve"> FASTQ files were quality-control checked using FastQC (0.11.9) and Picard (2.23.0). Following, reads were mapped to reference mouse genome (GENCODE, GRCm38, </w:t>
      </w:r>
      <w:r w:rsidRPr="00174DAE">
        <w:rPr>
          <w:rFonts w:ascii="Calibri" w:eastAsia="Times New Roman" w:hAnsi="Calibri" w:cs="Calibri"/>
          <w:color w:val="000000" w:themeColor="text1"/>
          <w:bdr w:val="none" w:sz="0" w:space="0" w:color="auto" w:frame="1"/>
          <w:lang w:eastAsia="en-GB"/>
        </w:rPr>
        <w:lastRenderedPageBreak/>
        <w:t xml:space="preserve">M13) using STAR (2.7.0d) with standard arguments and --outFilterMatchNminOverLread 0.4 --outFilterScoreMinOverLread 0.4. Unstranded read counts were used to perform differential expression analysis using </w:t>
      </w:r>
      <w:r w:rsidRPr="009B26D2">
        <w:rPr>
          <w:rFonts w:ascii="Calibri" w:eastAsia="Times New Roman" w:hAnsi="Calibri" w:cs="Calibri"/>
          <w:color w:val="000000" w:themeColor="text1"/>
          <w:bdr w:val="none" w:sz="0" w:space="0" w:color="auto" w:frame="1"/>
          <w:lang w:val="en-US" w:eastAsia="en-GB"/>
        </w:rPr>
        <w:t>DES</w:t>
      </w:r>
      <w:r>
        <w:rPr>
          <w:rFonts w:ascii="Calibri" w:eastAsia="Times New Roman" w:hAnsi="Calibri" w:cs="Calibri"/>
          <w:color w:val="000000" w:themeColor="text1"/>
          <w:bdr w:val="none" w:sz="0" w:space="0" w:color="auto" w:frame="1"/>
          <w:lang w:val="en-US" w:eastAsia="en-GB"/>
        </w:rPr>
        <w:t>eq2</w:t>
      </w:r>
      <w:r w:rsidRPr="00174DAE">
        <w:rPr>
          <w:rFonts w:ascii="Calibri" w:eastAsia="Times New Roman" w:hAnsi="Calibri" w:cs="Calibri"/>
          <w:color w:val="000000" w:themeColor="text1"/>
          <w:bdr w:val="none" w:sz="0" w:space="0" w:color="auto" w:frame="1"/>
          <w:lang w:eastAsia="en-GB"/>
        </w:rPr>
        <w:t>.</w:t>
      </w:r>
    </w:p>
    <w:p w:rsidR="00592545" w:rsidRDefault="00592545" w:rsidP="00592545">
      <w:pPr>
        <w:rPr>
          <w:rFonts w:ascii="Calibri" w:eastAsia="Times New Roman" w:hAnsi="Calibri" w:cs="Calibri"/>
          <w:color w:val="000000" w:themeColor="text1"/>
          <w:bdr w:val="none" w:sz="0" w:space="0" w:color="auto" w:frame="1"/>
          <w:lang w:val="en-US" w:eastAsia="en-GB"/>
        </w:rPr>
      </w:pPr>
    </w:p>
    <w:p w:rsidR="00592545" w:rsidRPr="009B26D2" w:rsidRDefault="00592545" w:rsidP="00592545">
      <w:pPr>
        <w:rPr>
          <w:rFonts w:ascii="Calibri" w:eastAsia="Times New Roman" w:hAnsi="Calibri" w:cs="Calibri"/>
          <w:b/>
          <w:bCs/>
          <w:color w:val="000000" w:themeColor="text1"/>
          <w:bdr w:val="none" w:sz="0" w:space="0" w:color="auto" w:frame="1"/>
          <w:lang w:eastAsia="en-GB"/>
        </w:rPr>
      </w:pPr>
      <w:r w:rsidRPr="009B26D2">
        <w:rPr>
          <w:rFonts w:ascii="Calibri" w:eastAsia="Times New Roman" w:hAnsi="Calibri" w:cs="Calibri"/>
          <w:b/>
          <w:bCs/>
          <w:color w:val="000000" w:themeColor="text1"/>
          <w:bdr w:val="none" w:sz="0" w:space="0" w:color="auto" w:frame="1"/>
          <w:lang w:eastAsia="en-GB"/>
        </w:rPr>
        <w:t>Statistical analysis</w:t>
      </w:r>
    </w:p>
    <w:p w:rsidR="00592545" w:rsidRDefault="00592545" w:rsidP="00592545">
      <w:pPr>
        <w:rPr>
          <w:rFonts w:ascii="Calibri" w:eastAsia="Times New Roman" w:hAnsi="Calibri" w:cs="Calibri"/>
          <w:color w:val="000000" w:themeColor="text1"/>
          <w:bdr w:val="none" w:sz="0" w:space="0" w:color="auto" w:frame="1"/>
          <w:lang w:eastAsia="en-GB"/>
        </w:rPr>
      </w:pPr>
    </w:p>
    <w:p w:rsidR="00592545" w:rsidRDefault="00592545" w:rsidP="00592545">
      <w:pPr>
        <w:spacing w:line="276" w:lineRule="auto"/>
        <w:jc w:val="both"/>
        <w:rPr>
          <w:rFonts w:ascii="Calibri" w:eastAsia="Times New Roman" w:hAnsi="Calibri" w:cs="Calibri"/>
          <w:color w:val="000000" w:themeColor="text1"/>
          <w:bdr w:val="none" w:sz="0" w:space="0" w:color="auto" w:frame="1"/>
          <w:lang w:eastAsia="en-GB"/>
        </w:rPr>
      </w:pPr>
      <w:r w:rsidRPr="009B26D2">
        <w:rPr>
          <w:rFonts w:ascii="Calibri" w:eastAsia="Times New Roman" w:hAnsi="Calibri" w:cs="Calibri"/>
          <w:color w:val="000000" w:themeColor="text1"/>
          <w:bdr w:val="none" w:sz="0" w:space="0" w:color="auto" w:frame="1"/>
          <w:lang w:eastAsia="en-GB"/>
        </w:rPr>
        <w:t>All experiments were performed as least 2 times. The number of mice or technical replicates is indicated in the figure legends. Data are shown as mean ± SD. Unpaired</w:t>
      </w:r>
      <w:r w:rsidRPr="009B26D2">
        <w:rPr>
          <w:rFonts w:ascii="Calibri" w:eastAsia="Times New Roman" w:hAnsi="Calibri" w:cs="Calibri"/>
          <w:color w:val="000000" w:themeColor="text1"/>
          <w:bdr w:val="none" w:sz="0" w:space="0" w:color="auto" w:frame="1"/>
          <w:lang w:val="en-US" w:eastAsia="en-GB"/>
        </w:rPr>
        <w:t xml:space="preserve">, </w:t>
      </w:r>
      <w:r w:rsidRPr="009B26D2">
        <w:rPr>
          <w:rFonts w:ascii="Calibri" w:eastAsia="Times New Roman" w:hAnsi="Calibri" w:cs="Calibri"/>
          <w:color w:val="000000" w:themeColor="text1"/>
          <w:bdr w:val="none" w:sz="0" w:space="0" w:color="auto" w:frame="1"/>
          <w:lang w:eastAsia="en-GB"/>
        </w:rPr>
        <w:t xml:space="preserve">two-tailed Student t-test and two-way ANOVA with Sidak’s multiple comparison test were performed in GraphPad Prism </w:t>
      </w:r>
      <w:r w:rsidRPr="009B26D2">
        <w:rPr>
          <w:rFonts w:ascii="Calibri" w:eastAsia="Times New Roman" w:hAnsi="Calibri" w:cs="Calibri"/>
          <w:color w:val="000000" w:themeColor="text1"/>
          <w:bdr w:val="none" w:sz="0" w:space="0" w:color="auto" w:frame="1"/>
          <w:lang w:val="en-US" w:eastAsia="en-GB"/>
        </w:rPr>
        <w:t>9</w:t>
      </w:r>
      <w:r w:rsidRPr="009B26D2">
        <w:rPr>
          <w:rFonts w:ascii="Calibri" w:eastAsia="Times New Roman" w:hAnsi="Calibri" w:cs="Calibri"/>
          <w:color w:val="000000" w:themeColor="text1"/>
          <w:bdr w:val="none" w:sz="0" w:space="0" w:color="auto" w:frame="1"/>
          <w:lang w:eastAsia="en-GB"/>
        </w:rPr>
        <w:t>.0</w:t>
      </w:r>
      <w:r w:rsidRPr="009B26D2">
        <w:rPr>
          <w:rFonts w:ascii="Calibri" w:eastAsia="Times New Roman" w:hAnsi="Calibri" w:cs="Calibri"/>
          <w:color w:val="000000" w:themeColor="text1"/>
          <w:bdr w:val="none" w:sz="0" w:space="0" w:color="auto" w:frame="1"/>
          <w:lang w:val="en-US" w:eastAsia="en-GB"/>
        </w:rPr>
        <w:t xml:space="preserve"> and </w:t>
      </w:r>
      <w:r>
        <w:rPr>
          <w:rFonts w:ascii="Calibri" w:eastAsia="Times New Roman" w:hAnsi="Calibri" w:cs="Calibri"/>
          <w:color w:val="000000" w:themeColor="text1"/>
          <w:bdr w:val="none" w:sz="0" w:space="0" w:color="auto" w:frame="1"/>
          <w:lang w:val="en-US" w:eastAsia="en-GB"/>
        </w:rPr>
        <w:t>10.0</w:t>
      </w:r>
      <w:r w:rsidRPr="009B26D2">
        <w:rPr>
          <w:rFonts w:ascii="Calibri" w:eastAsia="Times New Roman" w:hAnsi="Calibri" w:cs="Calibri"/>
          <w:color w:val="000000" w:themeColor="text1"/>
          <w:bdr w:val="none" w:sz="0" w:space="0" w:color="auto" w:frame="1"/>
          <w:lang w:eastAsia="en-GB"/>
        </w:rPr>
        <w:t>. Significant p-value was indicated as *p&lt;0.05, **p&lt;0.01, ***p&lt;0.001 and ****p&lt;0.0001</w:t>
      </w:r>
    </w:p>
    <w:p w:rsidR="00CD63DC" w:rsidRDefault="00CD63DC"/>
    <w:sectPr w:rsidR="00CD63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545"/>
    <w:rsid w:val="002F2AF9"/>
    <w:rsid w:val="00592545"/>
    <w:rsid w:val="00CD63D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A8A623F-FDDA-1448-A1FA-C8CFE0FDD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5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5">
    <w:name w:val="Plain Table 5"/>
    <w:basedOn w:val="TableNormal"/>
    <w:uiPriority w:val="45"/>
    <w:rsid w:val="00592545"/>
    <w:rPr>
      <w:kern w:val="0"/>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1126</Words>
  <Characters>6827</Characters>
  <Application>Microsoft Office Word</Application>
  <DocSecurity>0</DocSecurity>
  <Lines>133</Lines>
  <Paragraphs>44</Paragraphs>
  <ScaleCrop>false</ScaleCrop>
  <Company/>
  <LinksUpToDate>false</LinksUpToDate>
  <CharactersWithSpaces>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Skinder, N (eriba)</dc:creator>
  <cp:keywords/>
  <dc:description/>
  <cp:lastModifiedBy>Skinder, N (eriba)</cp:lastModifiedBy>
  <cp:revision>1</cp:revision>
  <dcterms:created xsi:type="dcterms:W3CDTF">2023-08-07T11:48:00Z</dcterms:created>
  <dcterms:modified xsi:type="dcterms:W3CDTF">2023-08-07T11:49:00Z</dcterms:modified>
</cp:coreProperties>
</file>