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before="61"/>
        <w:ind w:right="1260"/>
      </w:pPr>
      <w:r>
        <w:rPr>
          <w:color w:val="0D0D0D"/>
        </w:rPr>
        <w:t>Integrated Machine Learning Framework for Portfolio Optimization</w:t>
      </w:r>
      <w:r>
        <w:rPr>
          <w:color w:val="0D0D0D"/>
          <w:spacing w:val="-5"/>
        </w:rPr>
        <w:t> </w:t>
      </w:r>
      <w:r>
        <w:rPr>
          <w:color w:val="0D0D0D"/>
        </w:rPr>
        <w:t>and</w:t>
      </w:r>
      <w:r>
        <w:rPr>
          <w:color w:val="0D0D0D"/>
          <w:spacing w:val="-3"/>
        </w:rPr>
        <w:t> </w:t>
      </w:r>
      <w:r>
        <w:rPr>
          <w:color w:val="0D0D0D"/>
        </w:rPr>
        <w:t>Risk</w:t>
      </w:r>
      <w:r>
        <w:rPr>
          <w:color w:val="0D0D0D"/>
          <w:spacing w:val="-6"/>
        </w:rPr>
        <w:t> </w:t>
      </w:r>
      <w:r>
        <w:rPr>
          <w:color w:val="0D0D0D"/>
        </w:rPr>
        <w:t>Assessment:</w:t>
      </w:r>
      <w:r>
        <w:rPr>
          <w:color w:val="0D0D0D"/>
          <w:spacing w:val="-5"/>
        </w:rPr>
        <w:t> </w:t>
      </w:r>
      <w:r>
        <w:rPr>
          <w:color w:val="0D0D0D"/>
        </w:rPr>
        <w:t>A</w:t>
      </w:r>
      <w:r>
        <w:rPr>
          <w:color w:val="0D0D0D"/>
          <w:spacing w:val="-7"/>
        </w:rPr>
        <w:t> </w:t>
      </w:r>
      <w:r>
        <w:rPr>
          <w:color w:val="0D0D0D"/>
        </w:rPr>
        <w:t>Case</w:t>
      </w:r>
      <w:r>
        <w:rPr>
          <w:color w:val="0D0D0D"/>
          <w:spacing w:val="-4"/>
        </w:rPr>
        <w:t> </w:t>
      </w:r>
      <w:r>
        <w:rPr>
          <w:color w:val="0D0D0D"/>
        </w:rPr>
        <w:t>Study</w:t>
      </w:r>
      <w:r>
        <w:rPr>
          <w:color w:val="0D0D0D"/>
          <w:spacing w:val="-6"/>
        </w:rPr>
        <w:t> </w:t>
      </w:r>
      <w:r>
        <w:rPr>
          <w:color w:val="0D0D0D"/>
        </w:rPr>
        <w:t>of</w:t>
      </w:r>
      <w:r>
        <w:rPr>
          <w:color w:val="0D0D0D"/>
          <w:spacing w:val="-3"/>
        </w:rPr>
        <w:t> </w:t>
      </w:r>
      <w:r>
        <w:rPr>
          <w:color w:val="0D0D0D"/>
        </w:rPr>
        <w:t>Nifty</w:t>
      </w:r>
      <w:r>
        <w:rPr>
          <w:color w:val="0D0D0D"/>
          <w:spacing w:val="-5"/>
        </w:rPr>
        <w:t> </w:t>
      </w:r>
      <w:r>
        <w:rPr>
          <w:color w:val="0D0D0D"/>
        </w:rPr>
        <w:t>50 </w:t>
      </w:r>
      <w:r>
        <w:rPr>
          <w:color w:val="0D0D0D"/>
          <w:spacing w:val="-2"/>
        </w:rPr>
        <w:t>Companies</w:t>
      </w:r>
    </w:p>
    <w:p>
      <w:pPr>
        <w:spacing w:line="321" w:lineRule="exact" w:before="1"/>
        <w:ind w:left="993" w:right="1131" w:firstLine="0"/>
        <w:jc w:val="center"/>
        <w:rPr>
          <w:b/>
          <w:sz w:val="28"/>
        </w:rPr>
      </w:pPr>
      <w:r>
        <w:rPr>
          <w:b/>
          <w:color w:val="0D0D0D"/>
          <w:sz w:val="28"/>
        </w:rPr>
        <w:t>Nagavarshini</w:t>
      </w:r>
      <w:r>
        <w:rPr>
          <w:b/>
          <w:color w:val="0D0D0D"/>
          <w:spacing w:val="-9"/>
          <w:sz w:val="28"/>
        </w:rPr>
        <w:t> </w:t>
      </w:r>
      <w:r>
        <w:rPr>
          <w:b/>
          <w:color w:val="0D0D0D"/>
          <w:sz w:val="28"/>
        </w:rPr>
        <w:t>R</w:t>
      </w:r>
      <w:r>
        <w:rPr>
          <w:b/>
          <w:color w:val="0D0D0D"/>
          <w:spacing w:val="-5"/>
          <w:sz w:val="28"/>
        </w:rPr>
        <w:t> </w:t>
      </w:r>
      <w:r>
        <w:rPr>
          <w:b/>
          <w:color w:val="0D0D0D"/>
          <w:spacing w:val="-10"/>
          <w:sz w:val="28"/>
        </w:rPr>
        <w:t>N</w:t>
      </w:r>
    </w:p>
    <w:p>
      <w:pPr>
        <w:spacing w:before="0"/>
        <w:ind w:left="4119" w:right="4257" w:hanging="5"/>
        <w:jc w:val="center"/>
        <w:rPr>
          <w:i/>
          <w:sz w:val="24"/>
        </w:rPr>
      </w:pPr>
      <w:r>
        <w:rPr>
          <w:i/>
          <w:color w:val="0D0D0D"/>
          <w:sz w:val="24"/>
        </w:rPr>
        <w:t>MA Financial Economics Madras</w:t>
      </w:r>
      <w:r>
        <w:rPr>
          <w:i/>
          <w:color w:val="0D0D0D"/>
          <w:spacing w:val="-12"/>
          <w:sz w:val="24"/>
        </w:rPr>
        <w:t> </w:t>
      </w:r>
      <w:r>
        <w:rPr>
          <w:i/>
          <w:color w:val="0D0D0D"/>
          <w:sz w:val="24"/>
        </w:rPr>
        <w:t>School</w:t>
      </w:r>
      <w:r>
        <w:rPr>
          <w:i/>
          <w:color w:val="0D0D0D"/>
          <w:spacing w:val="-12"/>
          <w:sz w:val="24"/>
        </w:rPr>
        <w:t> </w:t>
      </w:r>
      <w:r>
        <w:rPr>
          <w:i/>
          <w:color w:val="0D0D0D"/>
          <w:sz w:val="24"/>
        </w:rPr>
        <w:t>of</w:t>
      </w:r>
      <w:r>
        <w:rPr>
          <w:i/>
          <w:color w:val="0D0D0D"/>
          <w:spacing w:val="-12"/>
          <w:sz w:val="24"/>
        </w:rPr>
        <w:t> </w:t>
      </w:r>
      <w:r>
        <w:rPr>
          <w:i/>
          <w:color w:val="0D0D0D"/>
          <w:sz w:val="24"/>
        </w:rPr>
        <w:t>Economics</w:t>
      </w:r>
    </w:p>
    <w:p>
      <w:pPr>
        <w:pStyle w:val="Heading1"/>
        <w:spacing w:before="366"/>
      </w:pPr>
      <w:r>
        <w:rPr>
          <w:color w:val="0D0D0D"/>
          <w:spacing w:val="-2"/>
        </w:rPr>
        <w:t>Abstract</w:t>
      </w:r>
    </w:p>
    <w:p>
      <w:pPr>
        <w:pStyle w:val="BodyText"/>
        <w:spacing w:before="321"/>
        <w:ind w:left="1015" w:right="1260"/>
      </w:pPr>
      <w:r>
        <w:rPr>
          <w:color w:val="0D0D0D"/>
        </w:rPr>
        <w:t>This study aims to construct optimized portfolios with the objective of achieving better returns while effectively managing overall portfolio risk. To achieve this goal, sophisticated machine learning models, such as Extreme Gradient Boosting (XGBoost), Agglomerative Hierarchical Clustering, and Generalized Autoregressive Conditional Heteroskedasticity (GARCH),</w:t>
      </w:r>
      <w:r>
        <w:rPr>
          <w:color w:val="0D0D0D"/>
          <w:spacing w:val="-4"/>
        </w:rPr>
        <w:t> </w:t>
      </w:r>
      <w:r>
        <w:rPr>
          <w:color w:val="0D0D0D"/>
        </w:rPr>
        <w:t>have</w:t>
      </w:r>
      <w:r>
        <w:rPr>
          <w:color w:val="0D0D0D"/>
          <w:spacing w:val="-5"/>
        </w:rPr>
        <w:t> </w:t>
      </w:r>
      <w:r>
        <w:rPr>
          <w:color w:val="0D0D0D"/>
        </w:rPr>
        <w:t>been</w:t>
      </w:r>
      <w:r>
        <w:rPr>
          <w:color w:val="0D0D0D"/>
          <w:spacing w:val="-4"/>
        </w:rPr>
        <w:t> </w:t>
      </w:r>
      <w:r>
        <w:rPr>
          <w:color w:val="0D0D0D"/>
        </w:rPr>
        <w:t>used.</w:t>
      </w:r>
      <w:r>
        <w:rPr>
          <w:color w:val="0D0D0D"/>
          <w:spacing w:val="-4"/>
        </w:rPr>
        <w:t> </w:t>
      </w:r>
      <w:r>
        <w:rPr>
          <w:color w:val="0D0D0D"/>
        </w:rPr>
        <w:t>Additionally,</w:t>
      </w:r>
      <w:r>
        <w:rPr>
          <w:color w:val="0D0D0D"/>
          <w:spacing w:val="-4"/>
        </w:rPr>
        <w:t> </w:t>
      </w:r>
      <w:r>
        <w:rPr>
          <w:color w:val="0D0D0D"/>
        </w:rPr>
        <w:t>widely</w:t>
      </w:r>
      <w:r>
        <w:rPr>
          <w:color w:val="0D0D0D"/>
          <w:spacing w:val="-4"/>
        </w:rPr>
        <w:t> </w:t>
      </w:r>
      <w:r>
        <w:rPr>
          <w:color w:val="0D0D0D"/>
        </w:rPr>
        <w:t>recognized</w:t>
      </w:r>
      <w:r>
        <w:rPr>
          <w:color w:val="0D0D0D"/>
          <w:spacing w:val="-4"/>
        </w:rPr>
        <w:t> </w:t>
      </w:r>
      <w:r>
        <w:rPr>
          <w:color w:val="0D0D0D"/>
        </w:rPr>
        <w:t>optimization</w:t>
      </w:r>
      <w:r>
        <w:rPr>
          <w:color w:val="0D0D0D"/>
          <w:spacing w:val="-4"/>
        </w:rPr>
        <w:t> </w:t>
      </w:r>
      <w:r>
        <w:rPr>
          <w:color w:val="0D0D0D"/>
        </w:rPr>
        <w:t>techniques</w:t>
      </w:r>
      <w:r>
        <w:rPr>
          <w:color w:val="0D0D0D"/>
          <w:spacing w:val="-4"/>
        </w:rPr>
        <w:t> </w:t>
      </w:r>
      <w:r>
        <w:rPr>
          <w:color w:val="0D0D0D"/>
        </w:rPr>
        <w:t>such</w:t>
      </w:r>
      <w:r>
        <w:rPr>
          <w:color w:val="0D0D0D"/>
          <w:spacing w:val="-2"/>
        </w:rPr>
        <w:t> </w:t>
      </w:r>
      <w:r>
        <w:rPr>
          <w:color w:val="0D0D0D"/>
        </w:rPr>
        <w:t>as Mean-Variance Optimization and quantitative methods like Hierarchical Risk Parity Asset Allocation have been utilized to formulate five distinct portfolios.</w:t>
      </w:r>
    </w:p>
    <w:p>
      <w:pPr>
        <w:pStyle w:val="BodyText"/>
        <w:spacing w:before="1"/>
      </w:pPr>
    </w:p>
    <w:p>
      <w:pPr>
        <w:pStyle w:val="BodyText"/>
        <w:ind w:left="1015" w:right="1260"/>
      </w:pPr>
      <w:r>
        <w:rPr>
          <w:color w:val="0D0D0D"/>
        </w:rPr>
        <w:t>The portfolios are constructed using yahoo finance data of Nifty 50 companies from the period spanning 2014 to 2023. The primary objective of the study is to analyse the risk and returns</w:t>
      </w:r>
      <w:r>
        <w:rPr>
          <w:color w:val="0D0D0D"/>
          <w:spacing w:val="-3"/>
        </w:rPr>
        <w:t> </w:t>
      </w:r>
      <w:r>
        <w:rPr>
          <w:color w:val="0D0D0D"/>
        </w:rPr>
        <w:t>of</w:t>
      </w:r>
      <w:r>
        <w:rPr>
          <w:color w:val="0D0D0D"/>
          <w:spacing w:val="-4"/>
        </w:rPr>
        <w:t> </w:t>
      </w:r>
      <w:r>
        <w:rPr>
          <w:color w:val="0D0D0D"/>
        </w:rPr>
        <w:t>these</w:t>
      </w:r>
      <w:r>
        <w:rPr>
          <w:color w:val="0D0D0D"/>
          <w:spacing w:val="-4"/>
        </w:rPr>
        <w:t> </w:t>
      </w:r>
      <w:r>
        <w:rPr>
          <w:color w:val="0D0D0D"/>
        </w:rPr>
        <w:t>portfolios</w:t>
      </w:r>
      <w:r>
        <w:rPr>
          <w:color w:val="0D0D0D"/>
          <w:spacing w:val="-3"/>
        </w:rPr>
        <w:t> </w:t>
      </w:r>
      <w:r>
        <w:rPr>
          <w:color w:val="0D0D0D"/>
        </w:rPr>
        <w:t>to</w:t>
      </w:r>
      <w:r>
        <w:rPr>
          <w:color w:val="0D0D0D"/>
          <w:spacing w:val="-3"/>
        </w:rPr>
        <w:t> </w:t>
      </w:r>
      <w:r>
        <w:rPr>
          <w:color w:val="0D0D0D"/>
        </w:rPr>
        <w:t>identify</w:t>
      </w:r>
      <w:r>
        <w:rPr>
          <w:color w:val="0D0D0D"/>
          <w:spacing w:val="-3"/>
        </w:rPr>
        <w:t> </w:t>
      </w:r>
      <w:r>
        <w:rPr>
          <w:color w:val="0D0D0D"/>
        </w:rPr>
        <w:t>the</w:t>
      </w:r>
      <w:r>
        <w:rPr>
          <w:color w:val="0D0D0D"/>
          <w:spacing w:val="-4"/>
        </w:rPr>
        <w:t> </w:t>
      </w:r>
      <w:r>
        <w:rPr>
          <w:color w:val="0D0D0D"/>
        </w:rPr>
        <w:t>most</w:t>
      </w:r>
      <w:r>
        <w:rPr>
          <w:color w:val="0D0D0D"/>
          <w:spacing w:val="-3"/>
        </w:rPr>
        <w:t> </w:t>
      </w:r>
      <w:r>
        <w:rPr>
          <w:color w:val="0D0D0D"/>
        </w:rPr>
        <w:t>effective</w:t>
      </w:r>
      <w:r>
        <w:rPr>
          <w:color w:val="0D0D0D"/>
          <w:spacing w:val="-4"/>
        </w:rPr>
        <w:t> </w:t>
      </w:r>
      <w:r>
        <w:rPr>
          <w:color w:val="0D0D0D"/>
        </w:rPr>
        <w:t>portfolio</w:t>
      </w:r>
      <w:r>
        <w:rPr>
          <w:color w:val="0D0D0D"/>
          <w:spacing w:val="-3"/>
        </w:rPr>
        <w:t> </w:t>
      </w:r>
      <w:r>
        <w:rPr>
          <w:color w:val="0D0D0D"/>
        </w:rPr>
        <w:t>strategy.</w:t>
      </w:r>
      <w:r>
        <w:rPr>
          <w:color w:val="0D0D0D"/>
          <w:spacing w:val="-2"/>
        </w:rPr>
        <w:t> </w:t>
      </w:r>
      <w:r>
        <w:rPr>
          <w:color w:val="0D0D0D"/>
        </w:rPr>
        <w:t>The</w:t>
      </w:r>
      <w:r>
        <w:rPr>
          <w:color w:val="0D0D0D"/>
          <w:spacing w:val="-5"/>
        </w:rPr>
        <w:t> </w:t>
      </w:r>
      <w:r>
        <w:rPr>
          <w:color w:val="0D0D0D"/>
        </w:rPr>
        <w:t>research</w:t>
      </w:r>
      <w:r>
        <w:rPr>
          <w:color w:val="0D0D0D"/>
          <w:spacing w:val="-3"/>
        </w:rPr>
        <w:t> </w:t>
      </w:r>
      <w:r>
        <w:rPr>
          <w:color w:val="0D0D0D"/>
        </w:rPr>
        <w:t>aims to provide valuable insights and enhance the understanding of the application of machine learning and optimization techniques for investors and portfolio managers.</w:t>
      </w:r>
    </w:p>
    <w:p>
      <w:pPr>
        <w:pStyle w:val="BodyText"/>
      </w:pPr>
    </w:p>
    <w:p>
      <w:pPr>
        <w:pStyle w:val="BodyText"/>
      </w:pPr>
    </w:p>
    <w:p>
      <w:pPr>
        <w:pStyle w:val="BodyText"/>
      </w:pPr>
    </w:p>
    <w:p>
      <w:pPr>
        <w:pStyle w:val="Heading1"/>
      </w:pPr>
      <w:r>
        <w:rPr>
          <w:color w:val="0D0D0D"/>
        </w:rPr>
        <w:t>Key</w:t>
      </w:r>
      <w:r>
        <w:rPr>
          <w:color w:val="0D0D0D"/>
          <w:spacing w:val="-8"/>
        </w:rPr>
        <w:t> </w:t>
      </w:r>
      <w:r>
        <w:rPr>
          <w:color w:val="0D0D0D"/>
          <w:spacing w:val="-2"/>
        </w:rPr>
        <w:t>words</w:t>
      </w:r>
    </w:p>
    <w:p>
      <w:pPr>
        <w:pStyle w:val="BodyText"/>
        <w:spacing w:before="367"/>
        <w:ind w:left="1015" w:right="1260"/>
      </w:pPr>
      <w:r>
        <w:rPr>
          <w:color w:val="0D0D0D"/>
        </w:rPr>
        <w:t>Nifty</w:t>
      </w:r>
      <w:r>
        <w:rPr>
          <w:color w:val="0D0D0D"/>
          <w:spacing w:val="-5"/>
        </w:rPr>
        <w:t> </w:t>
      </w:r>
      <w:r>
        <w:rPr>
          <w:color w:val="0D0D0D"/>
        </w:rPr>
        <w:t>50,</w:t>
      </w:r>
      <w:r>
        <w:rPr>
          <w:color w:val="0D0D0D"/>
          <w:spacing w:val="-5"/>
        </w:rPr>
        <w:t> </w:t>
      </w:r>
      <w:r>
        <w:rPr>
          <w:color w:val="0D0D0D"/>
        </w:rPr>
        <w:t>Portfolio</w:t>
      </w:r>
      <w:r>
        <w:rPr>
          <w:color w:val="0D0D0D"/>
          <w:spacing w:val="-5"/>
        </w:rPr>
        <w:t> </w:t>
      </w:r>
      <w:r>
        <w:rPr>
          <w:color w:val="0D0D0D"/>
        </w:rPr>
        <w:t>optimization,</w:t>
      </w:r>
      <w:r>
        <w:rPr>
          <w:color w:val="0D0D0D"/>
          <w:spacing w:val="-4"/>
        </w:rPr>
        <w:t> </w:t>
      </w:r>
      <w:r>
        <w:rPr>
          <w:color w:val="0D0D0D"/>
        </w:rPr>
        <w:t>XGBoost,</w:t>
      </w:r>
      <w:r>
        <w:rPr>
          <w:color w:val="0D0D0D"/>
          <w:spacing w:val="-5"/>
        </w:rPr>
        <w:t> </w:t>
      </w:r>
      <w:r>
        <w:rPr>
          <w:color w:val="0D0D0D"/>
        </w:rPr>
        <w:t>Mean</w:t>
      </w:r>
      <w:r>
        <w:rPr>
          <w:color w:val="0D0D0D"/>
          <w:spacing w:val="-3"/>
        </w:rPr>
        <w:t> </w:t>
      </w:r>
      <w:r>
        <w:rPr>
          <w:color w:val="0D0D0D"/>
        </w:rPr>
        <w:t>variance</w:t>
      </w:r>
      <w:r>
        <w:rPr>
          <w:color w:val="0D0D0D"/>
          <w:spacing w:val="-6"/>
        </w:rPr>
        <w:t> </w:t>
      </w:r>
      <w:r>
        <w:rPr>
          <w:color w:val="0D0D0D"/>
        </w:rPr>
        <w:t>optimization,</w:t>
      </w:r>
      <w:r>
        <w:rPr>
          <w:color w:val="0D0D0D"/>
          <w:spacing w:val="-5"/>
        </w:rPr>
        <w:t> </w:t>
      </w:r>
      <w:r>
        <w:rPr>
          <w:color w:val="0D0D0D"/>
        </w:rPr>
        <w:t>Agglomerative hierarchical clustering, Sharpe ratio, Volatility ,GARCH,HRP</w:t>
      </w:r>
    </w:p>
    <w:p>
      <w:pPr>
        <w:pStyle w:val="BodyText"/>
        <w:spacing w:after="0"/>
        <w:sectPr>
          <w:type w:val="continuous"/>
          <w:pgSz w:w="11910" w:h="16840"/>
          <w:pgMar w:top="1360" w:bottom="280" w:left="425" w:right="283"/>
        </w:sectPr>
      </w:pPr>
    </w:p>
    <w:p>
      <w:pPr>
        <w:pStyle w:val="BodyText"/>
        <w:rPr>
          <w:sz w:val="32"/>
        </w:rPr>
      </w:pPr>
    </w:p>
    <w:p>
      <w:pPr>
        <w:pStyle w:val="BodyText"/>
        <w:rPr>
          <w:sz w:val="32"/>
        </w:rPr>
      </w:pPr>
    </w:p>
    <w:p>
      <w:pPr>
        <w:pStyle w:val="BodyText"/>
        <w:rPr>
          <w:sz w:val="32"/>
        </w:rPr>
      </w:pPr>
    </w:p>
    <w:p>
      <w:pPr>
        <w:pStyle w:val="BodyText"/>
        <w:spacing w:before="263"/>
        <w:rPr>
          <w:sz w:val="32"/>
        </w:rPr>
      </w:pPr>
    </w:p>
    <w:p>
      <w:pPr>
        <w:pStyle w:val="Heading1"/>
        <w:ind w:right="1260"/>
      </w:pPr>
      <w:r>
        <w:rPr>
          <w:color w:val="0D0D0D"/>
        </w:rPr>
        <w:t>Integrated Machine Learning Framework for Portfolio Optimization</w:t>
      </w:r>
      <w:r>
        <w:rPr>
          <w:color w:val="0D0D0D"/>
          <w:spacing w:val="-6"/>
        </w:rPr>
        <w:t> </w:t>
      </w:r>
      <w:r>
        <w:rPr>
          <w:color w:val="0D0D0D"/>
        </w:rPr>
        <w:t>and</w:t>
      </w:r>
      <w:r>
        <w:rPr>
          <w:color w:val="0D0D0D"/>
          <w:spacing w:val="-3"/>
        </w:rPr>
        <w:t> </w:t>
      </w:r>
      <w:r>
        <w:rPr>
          <w:color w:val="0D0D0D"/>
        </w:rPr>
        <w:t>Risk</w:t>
      </w:r>
      <w:r>
        <w:rPr>
          <w:color w:val="0D0D0D"/>
          <w:spacing w:val="-6"/>
        </w:rPr>
        <w:t> </w:t>
      </w:r>
      <w:r>
        <w:rPr>
          <w:color w:val="0D0D0D"/>
        </w:rPr>
        <w:t>Assessment:</w:t>
      </w:r>
      <w:r>
        <w:rPr>
          <w:color w:val="0D0D0D"/>
          <w:spacing w:val="-5"/>
        </w:rPr>
        <w:t> </w:t>
      </w:r>
      <w:r>
        <w:rPr>
          <w:color w:val="0D0D0D"/>
        </w:rPr>
        <w:t>A</w:t>
      </w:r>
      <w:r>
        <w:rPr>
          <w:color w:val="0D0D0D"/>
          <w:spacing w:val="-7"/>
        </w:rPr>
        <w:t> </w:t>
      </w:r>
      <w:r>
        <w:rPr>
          <w:color w:val="0D0D0D"/>
        </w:rPr>
        <w:t>Case</w:t>
      </w:r>
      <w:r>
        <w:rPr>
          <w:color w:val="0D0D0D"/>
          <w:spacing w:val="-4"/>
        </w:rPr>
        <w:t> </w:t>
      </w:r>
      <w:r>
        <w:rPr>
          <w:color w:val="0D0D0D"/>
        </w:rPr>
        <w:t>Study</w:t>
      </w:r>
      <w:r>
        <w:rPr>
          <w:color w:val="0D0D0D"/>
          <w:spacing w:val="-6"/>
        </w:rPr>
        <w:t> </w:t>
      </w:r>
      <w:r>
        <w:rPr>
          <w:color w:val="0D0D0D"/>
        </w:rPr>
        <w:t>of</w:t>
      </w:r>
      <w:r>
        <w:rPr>
          <w:color w:val="0D0D0D"/>
          <w:spacing w:val="-3"/>
        </w:rPr>
        <w:t> </w:t>
      </w:r>
      <w:r>
        <w:rPr>
          <w:color w:val="0D0D0D"/>
        </w:rPr>
        <w:t>Nifty</w:t>
      </w:r>
      <w:r>
        <w:rPr>
          <w:color w:val="0D0D0D"/>
          <w:spacing w:val="-5"/>
        </w:rPr>
        <w:t> </w:t>
      </w:r>
      <w:r>
        <w:rPr>
          <w:color w:val="0D0D0D"/>
        </w:rPr>
        <w:t>50 </w:t>
      </w:r>
      <w:r>
        <w:rPr>
          <w:color w:val="0D0D0D"/>
          <w:spacing w:val="-2"/>
        </w:rPr>
        <w:t>Companies</w:t>
      </w:r>
    </w:p>
    <w:p>
      <w:pPr>
        <w:pStyle w:val="BodyText"/>
        <w:rPr>
          <w:b/>
          <w:sz w:val="32"/>
        </w:rPr>
      </w:pPr>
    </w:p>
    <w:p>
      <w:pPr>
        <w:spacing w:before="0"/>
        <w:ind w:left="1015" w:right="0" w:firstLine="0"/>
        <w:jc w:val="left"/>
        <w:rPr>
          <w:b/>
          <w:sz w:val="32"/>
        </w:rPr>
      </w:pPr>
      <w:r>
        <w:rPr>
          <w:b/>
          <w:color w:val="0D0D0D"/>
          <w:spacing w:val="-2"/>
          <w:sz w:val="32"/>
        </w:rPr>
        <w:t>Introduction</w:t>
      </w:r>
    </w:p>
    <w:p>
      <w:pPr>
        <w:pStyle w:val="BodyText"/>
        <w:spacing w:before="278"/>
        <w:ind w:left="1015" w:right="1222"/>
      </w:pPr>
      <w:r>
        <w:rPr>
          <w:color w:val="0D0D0D"/>
        </w:rPr>
        <w:t>The finance industry has experienced tremendous growth in recent decades, driven by advanced quantitative, mathematical, and analytical techniques. However, the process of investing and portfolio building has often been flawed due to the irrational thinking and behaviour of investors. Portfolio optimization, a critical domain in finance, has the potential to</w:t>
      </w:r>
      <w:r>
        <w:rPr>
          <w:color w:val="0D0D0D"/>
          <w:spacing w:val="-4"/>
        </w:rPr>
        <w:t> </w:t>
      </w:r>
      <w:r>
        <w:rPr>
          <w:color w:val="0D0D0D"/>
        </w:rPr>
        <w:t>yield</w:t>
      </w:r>
      <w:r>
        <w:rPr>
          <w:color w:val="0D0D0D"/>
          <w:spacing w:val="-4"/>
        </w:rPr>
        <w:t> </w:t>
      </w:r>
      <w:r>
        <w:rPr>
          <w:color w:val="0D0D0D"/>
        </w:rPr>
        <w:t>high</w:t>
      </w:r>
      <w:r>
        <w:rPr>
          <w:color w:val="0D0D0D"/>
          <w:spacing w:val="-4"/>
        </w:rPr>
        <w:t> </w:t>
      </w:r>
      <w:r>
        <w:rPr>
          <w:color w:val="0D0D0D"/>
        </w:rPr>
        <w:t>profits</w:t>
      </w:r>
      <w:r>
        <w:rPr>
          <w:color w:val="0D0D0D"/>
          <w:spacing w:val="-4"/>
        </w:rPr>
        <w:t> </w:t>
      </w:r>
      <w:r>
        <w:rPr>
          <w:color w:val="0D0D0D"/>
        </w:rPr>
        <w:t>when</w:t>
      </w:r>
      <w:r>
        <w:rPr>
          <w:color w:val="0D0D0D"/>
          <w:spacing w:val="-4"/>
        </w:rPr>
        <w:t> </w:t>
      </w:r>
      <w:r>
        <w:rPr>
          <w:color w:val="0D0D0D"/>
        </w:rPr>
        <w:t>approached</w:t>
      </w:r>
      <w:r>
        <w:rPr>
          <w:color w:val="0D0D0D"/>
          <w:spacing w:val="-3"/>
        </w:rPr>
        <w:t> </w:t>
      </w:r>
      <w:r>
        <w:rPr>
          <w:color w:val="0D0D0D"/>
        </w:rPr>
        <w:t>using</w:t>
      </w:r>
      <w:r>
        <w:rPr>
          <w:color w:val="0D0D0D"/>
          <w:spacing w:val="-4"/>
        </w:rPr>
        <w:t> </w:t>
      </w:r>
      <w:r>
        <w:rPr>
          <w:color w:val="0D0D0D"/>
        </w:rPr>
        <w:t>sophisticated</w:t>
      </w:r>
      <w:r>
        <w:rPr>
          <w:color w:val="0D0D0D"/>
          <w:spacing w:val="-4"/>
        </w:rPr>
        <w:t> </w:t>
      </w:r>
      <w:r>
        <w:rPr>
          <w:color w:val="0D0D0D"/>
        </w:rPr>
        <w:t>machine</w:t>
      </w:r>
      <w:r>
        <w:rPr>
          <w:color w:val="0D0D0D"/>
          <w:spacing w:val="-4"/>
        </w:rPr>
        <w:t> </w:t>
      </w:r>
      <w:r>
        <w:rPr>
          <w:color w:val="0D0D0D"/>
        </w:rPr>
        <w:t>learning</w:t>
      </w:r>
      <w:r>
        <w:rPr>
          <w:color w:val="0D0D0D"/>
          <w:spacing w:val="-3"/>
        </w:rPr>
        <w:t> </w:t>
      </w:r>
      <w:r>
        <w:rPr>
          <w:color w:val="0D0D0D"/>
        </w:rPr>
        <w:t>and</w:t>
      </w:r>
      <w:r>
        <w:rPr>
          <w:color w:val="0D0D0D"/>
          <w:spacing w:val="-4"/>
        </w:rPr>
        <w:t> </w:t>
      </w:r>
      <w:r>
        <w:rPr>
          <w:color w:val="0D0D0D"/>
        </w:rPr>
        <w:t>optimization techniques. In this study, five distinct portfolios are constructed using such techniques, focusing on the Nifty 50 companies. For a comprehensive analysis, 10 years (2014-2024) of historical daily stock price data from Yahoo Finance is utilized.</w:t>
      </w:r>
    </w:p>
    <w:p>
      <w:pPr>
        <w:pStyle w:val="BodyText"/>
      </w:pPr>
    </w:p>
    <w:p>
      <w:pPr>
        <w:pStyle w:val="BodyText"/>
        <w:ind w:left="1015" w:right="1222"/>
      </w:pPr>
      <w:r>
        <w:rPr>
          <w:color w:val="0D0D0D"/>
        </w:rPr>
        <w:t>The primary objective for any investor or portfolio manager is to minimize portfolio risk while</w:t>
      </w:r>
      <w:r>
        <w:rPr>
          <w:color w:val="0D0D0D"/>
          <w:spacing w:val="-3"/>
        </w:rPr>
        <w:t> </w:t>
      </w:r>
      <w:r>
        <w:rPr>
          <w:color w:val="0D0D0D"/>
        </w:rPr>
        <w:t>maximizing</w:t>
      </w:r>
      <w:r>
        <w:rPr>
          <w:color w:val="0D0D0D"/>
          <w:spacing w:val="-3"/>
        </w:rPr>
        <w:t> </w:t>
      </w:r>
      <w:r>
        <w:rPr>
          <w:color w:val="0D0D0D"/>
        </w:rPr>
        <w:t>returns,</w:t>
      </w:r>
      <w:r>
        <w:rPr>
          <w:color w:val="0D0D0D"/>
          <w:spacing w:val="-3"/>
        </w:rPr>
        <w:t> </w:t>
      </w:r>
      <w:r>
        <w:rPr>
          <w:color w:val="0D0D0D"/>
        </w:rPr>
        <w:t>and</w:t>
      </w:r>
      <w:r>
        <w:rPr>
          <w:color w:val="0D0D0D"/>
          <w:spacing w:val="-3"/>
        </w:rPr>
        <w:t> </w:t>
      </w:r>
      <w:r>
        <w:rPr>
          <w:color w:val="0D0D0D"/>
        </w:rPr>
        <w:t>one</w:t>
      </w:r>
      <w:r>
        <w:rPr>
          <w:color w:val="0D0D0D"/>
          <w:spacing w:val="-4"/>
        </w:rPr>
        <w:t> </w:t>
      </w:r>
      <w:r>
        <w:rPr>
          <w:color w:val="0D0D0D"/>
        </w:rPr>
        <w:t>efficient</w:t>
      </w:r>
      <w:r>
        <w:rPr>
          <w:color w:val="0D0D0D"/>
          <w:spacing w:val="-3"/>
        </w:rPr>
        <w:t> </w:t>
      </w:r>
      <w:r>
        <w:rPr>
          <w:color w:val="0D0D0D"/>
        </w:rPr>
        <w:t>method</w:t>
      </w:r>
      <w:r>
        <w:rPr>
          <w:color w:val="0D0D0D"/>
          <w:spacing w:val="-3"/>
        </w:rPr>
        <w:t> </w:t>
      </w:r>
      <w:r>
        <w:rPr>
          <w:color w:val="0D0D0D"/>
        </w:rPr>
        <w:t>to</w:t>
      </w:r>
      <w:r>
        <w:rPr>
          <w:color w:val="0D0D0D"/>
          <w:spacing w:val="-3"/>
        </w:rPr>
        <w:t> </w:t>
      </w:r>
      <w:r>
        <w:rPr>
          <w:color w:val="0D0D0D"/>
        </w:rPr>
        <w:t>achieve</w:t>
      </w:r>
      <w:r>
        <w:rPr>
          <w:color w:val="0D0D0D"/>
          <w:spacing w:val="-5"/>
        </w:rPr>
        <w:t> </w:t>
      </w:r>
      <w:r>
        <w:rPr>
          <w:color w:val="0D0D0D"/>
        </w:rPr>
        <w:t>this</w:t>
      </w:r>
      <w:r>
        <w:rPr>
          <w:color w:val="0D0D0D"/>
          <w:spacing w:val="-3"/>
        </w:rPr>
        <w:t> </w:t>
      </w:r>
      <w:r>
        <w:rPr>
          <w:color w:val="0D0D0D"/>
        </w:rPr>
        <w:t>is</w:t>
      </w:r>
      <w:r>
        <w:rPr>
          <w:color w:val="0D0D0D"/>
          <w:spacing w:val="-3"/>
        </w:rPr>
        <w:t> </w:t>
      </w:r>
      <w:r>
        <w:rPr>
          <w:color w:val="0D0D0D"/>
        </w:rPr>
        <w:t>through</w:t>
      </w:r>
      <w:r>
        <w:rPr>
          <w:color w:val="0D0D0D"/>
          <w:spacing w:val="-3"/>
        </w:rPr>
        <w:t> </w:t>
      </w:r>
      <w:r>
        <w:rPr>
          <w:color w:val="0D0D0D"/>
        </w:rPr>
        <w:t>diversification. Portfolios are exposed to systematic and market risks, and diversification can effectively manage market risk. One such approach involves selecting stocks from highly uncorrelated sectors. Thus, the Nifty 50 stocks are split into 11 sectors based on the Global Industry Classification Standard. The first portfolio is built by selecting one stock from each sector and optimizing them using the Mean-Variance Optimization technique.(*</w:t>
      </w:r>
    </w:p>
    <w:p>
      <w:pPr>
        <w:pStyle w:val="BodyText"/>
        <w:spacing w:before="274"/>
        <w:ind w:left="1015" w:right="1260"/>
      </w:pPr>
      <w:r>
        <w:rPr>
          <w:color w:val="0D0D0D"/>
        </w:rPr>
        <w:t>The</w:t>
      </w:r>
      <w:r>
        <w:rPr>
          <w:color w:val="0D0D0D"/>
          <w:spacing w:val="-6"/>
        </w:rPr>
        <w:t> </w:t>
      </w:r>
      <w:r>
        <w:rPr>
          <w:color w:val="0D0D0D"/>
        </w:rPr>
        <w:t>second</w:t>
      </w:r>
      <w:r>
        <w:rPr>
          <w:color w:val="0D0D0D"/>
          <w:spacing w:val="-4"/>
        </w:rPr>
        <w:t> </w:t>
      </w:r>
      <w:r>
        <w:rPr>
          <w:color w:val="0D0D0D"/>
        </w:rPr>
        <w:t>portfolio</w:t>
      </w:r>
      <w:r>
        <w:rPr>
          <w:color w:val="0D0D0D"/>
          <w:spacing w:val="-4"/>
        </w:rPr>
        <w:t> </w:t>
      </w:r>
      <w:r>
        <w:rPr>
          <w:color w:val="0D0D0D"/>
        </w:rPr>
        <w:t>utilizes</w:t>
      </w:r>
      <w:r>
        <w:rPr>
          <w:color w:val="0D0D0D"/>
          <w:spacing w:val="-4"/>
        </w:rPr>
        <w:t> </w:t>
      </w:r>
      <w:r>
        <w:rPr>
          <w:color w:val="0D0D0D"/>
        </w:rPr>
        <w:t>the</w:t>
      </w:r>
      <w:r>
        <w:rPr>
          <w:color w:val="0D0D0D"/>
          <w:spacing w:val="-4"/>
        </w:rPr>
        <w:t> </w:t>
      </w:r>
      <w:r>
        <w:rPr>
          <w:color w:val="0D0D0D"/>
        </w:rPr>
        <w:t>Extreme</w:t>
      </w:r>
      <w:r>
        <w:rPr>
          <w:color w:val="0D0D0D"/>
          <w:spacing w:val="-5"/>
        </w:rPr>
        <w:t> </w:t>
      </w:r>
      <w:r>
        <w:rPr>
          <w:color w:val="0D0D0D"/>
        </w:rPr>
        <w:t>Gradient</w:t>
      </w:r>
      <w:r>
        <w:rPr>
          <w:color w:val="0D0D0D"/>
          <w:spacing w:val="-2"/>
        </w:rPr>
        <w:t> </w:t>
      </w:r>
      <w:r>
        <w:rPr>
          <w:color w:val="0D0D0D"/>
        </w:rPr>
        <w:t>Boosting</w:t>
      </w:r>
      <w:r>
        <w:rPr>
          <w:color w:val="0D0D0D"/>
          <w:spacing w:val="-4"/>
        </w:rPr>
        <w:t> </w:t>
      </w:r>
      <w:r>
        <w:rPr>
          <w:color w:val="0D0D0D"/>
        </w:rPr>
        <w:t>(XGBoost)</w:t>
      </w:r>
      <w:r>
        <w:rPr>
          <w:color w:val="0D0D0D"/>
          <w:spacing w:val="-4"/>
        </w:rPr>
        <w:t> </w:t>
      </w:r>
      <w:r>
        <w:rPr>
          <w:color w:val="0D0D0D"/>
        </w:rPr>
        <w:t>model</w:t>
      </w:r>
      <w:r>
        <w:rPr>
          <w:color w:val="0D0D0D"/>
          <w:spacing w:val="-4"/>
        </w:rPr>
        <w:t> </w:t>
      </w:r>
      <w:r>
        <w:rPr>
          <w:color w:val="0D0D0D"/>
        </w:rPr>
        <w:t>to</w:t>
      </w:r>
      <w:r>
        <w:rPr>
          <w:color w:val="0D0D0D"/>
          <w:spacing w:val="-4"/>
        </w:rPr>
        <w:t> </w:t>
      </w:r>
      <w:r>
        <w:rPr>
          <w:color w:val="0D0D0D"/>
        </w:rPr>
        <w:t>predict stock performance. The</w:t>
      </w:r>
      <w:r>
        <w:rPr>
          <w:color w:val="0D0D0D"/>
          <w:spacing w:val="-1"/>
        </w:rPr>
        <w:t> </w:t>
      </w:r>
      <w:r>
        <w:rPr>
          <w:color w:val="0D0D0D"/>
        </w:rPr>
        <w:t>top 25 percentile stocks with the highest Sharpe</w:t>
      </w:r>
      <w:r>
        <w:rPr>
          <w:color w:val="0D0D0D"/>
          <w:spacing w:val="-2"/>
        </w:rPr>
        <w:t> </w:t>
      </w:r>
      <w:r>
        <w:rPr>
          <w:color w:val="0D0D0D"/>
        </w:rPr>
        <w:t>ratio (indicating excess return for the volatility of holding the risky stock) are selected from the Nifty 50 stocks. Mean-Variance Optimization is then applied to optimize this portfolio.</w:t>
      </w:r>
    </w:p>
    <w:p>
      <w:pPr>
        <w:pStyle w:val="BodyText"/>
      </w:pPr>
    </w:p>
    <w:p>
      <w:pPr>
        <w:pStyle w:val="BodyText"/>
        <w:ind w:left="1015" w:right="1316"/>
        <w:jc w:val="both"/>
      </w:pPr>
      <w:r>
        <w:rPr>
          <w:color w:val="0D0D0D"/>
        </w:rPr>
        <w:t>The</w:t>
      </w:r>
      <w:r>
        <w:rPr>
          <w:color w:val="0D0D0D"/>
          <w:spacing w:val="-2"/>
        </w:rPr>
        <w:t> </w:t>
      </w:r>
      <w:r>
        <w:rPr>
          <w:color w:val="0D0D0D"/>
        </w:rPr>
        <w:t>third portfolio, also constructed using XGBoost, analyses Nifty 50 stocks for their Root Mean</w:t>
      </w:r>
      <w:r>
        <w:rPr>
          <w:color w:val="0D0D0D"/>
          <w:spacing w:val="-3"/>
        </w:rPr>
        <w:t> </w:t>
      </w:r>
      <w:r>
        <w:rPr>
          <w:color w:val="0D0D0D"/>
        </w:rPr>
        <w:t>Squared</w:t>
      </w:r>
      <w:r>
        <w:rPr>
          <w:color w:val="0D0D0D"/>
          <w:spacing w:val="-2"/>
        </w:rPr>
        <w:t> </w:t>
      </w:r>
      <w:r>
        <w:rPr>
          <w:color w:val="0D0D0D"/>
        </w:rPr>
        <w:t>Error</w:t>
      </w:r>
      <w:r>
        <w:rPr>
          <w:color w:val="0D0D0D"/>
          <w:spacing w:val="-3"/>
        </w:rPr>
        <w:t> </w:t>
      </w:r>
      <w:r>
        <w:rPr>
          <w:color w:val="0D0D0D"/>
        </w:rPr>
        <w:t>(RMSE)</w:t>
      </w:r>
      <w:r>
        <w:rPr>
          <w:color w:val="0D0D0D"/>
          <w:spacing w:val="-4"/>
        </w:rPr>
        <w:t> </w:t>
      </w:r>
      <w:r>
        <w:rPr>
          <w:color w:val="0D0D0D"/>
        </w:rPr>
        <w:t>and</w:t>
      </w:r>
      <w:r>
        <w:rPr>
          <w:color w:val="0D0D0D"/>
          <w:spacing w:val="-3"/>
        </w:rPr>
        <w:t> </w:t>
      </w:r>
      <w:r>
        <w:rPr>
          <w:color w:val="0D0D0D"/>
        </w:rPr>
        <w:t>Mean</w:t>
      </w:r>
      <w:r>
        <w:rPr>
          <w:color w:val="0D0D0D"/>
          <w:spacing w:val="-3"/>
        </w:rPr>
        <w:t> </w:t>
      </w:r>
      <w:r>
        <w:rPr>
          <w:color w:val="0D0D0D"/>
        </w:rPr>
        <w:t>Absolute</w:t>
      </w:r>
      <w:r>
        <w:rPr>
          <w:color w:val="0D0D0D"/>
          <w:spacing w:val="-4"/>
        </w:rPr>
        <w:t> </w:t>
      </w:r>
      <w:r>
        <w:rPr>
          <w:color w:val="0D0D0D"/>
        </w:rPr>
        <w:t>Percentage</w:t>
      </w:r>
      <w:r>
        <w:rPr>
          <w:color w:val="0D0D0D"/>
          <w:spacing w:val="-4"/>
        </w:rPr>
        <w:t> </w:t>
      </w:r>
      <w:r>
        <w:rPr>
          <w:color w:val="0D0D0D"/>
        </w:rPr>
        <w:t>Error</w:t>
      </w:r>
      <w:r>
        <w:rPr>
          <w:color w:val="0D0D0D"/>
          <w:spacing w:val="-5"/>
        </w:rPr>
        <w:t> </w:t>
      </w:r>
      <w:r>
        <w:rPr>
          <w:color w:val="0D0D0D"/>
        </w:rPr>
        <w:t>(MAPE)</w:t>
      </w:r>
      <w:r>
        <w:rPr>
          <w:color w:val="0D0D0D"/>
          <w:spacing w:val="-3"/>
        </w:rPr>
        <w:t> </w:t>
      </w:r>
      <w:r>
        <w:rPr>
          <w:color w:val="0D0D0D"/>
        </w:rPr>
        <w:t>values.</w:t>
      </w:r>
      <w:r>
        <w:rPr>
          <w:color w:val="0D0D0D"/>
          <w:spacing w:val="-3"/>
        </w:rPr>
        <w:t> </w:t>
      </w:r>
      <w:r>
        <w:rPr>
          <w:color w:val="0D0D0D"/>
        </w:rPr>
        <w:t>The</w:t>
      </w:r>
      <w:r>
        <w:rPr>
          <w:color w:val="0D0D0D"/>
          <w:spacing w:val="-5"/>
        </w:rPr>
        <w:t> </w:t>
      </w:r>
      <w:r>
        <w:rPr>
          <w:color w:val="0D0D0D"/>
        </w:rPr>
        <w:t>top 25 percentile stocks with the lowest MAPE values are</w:t>
      </w:r>
      <w:r>
        <w:rPr>
          <w:color w:val="0D0D0D"/>
          <w:spacing w:val="-2"/>
        </w:rPr>
        <w:t> </w:t>
      </w:r>
      <w:r>
        <w:rPr>
          <w:color w:val="0D0D0D"/>
        </w:rPr>
        <w:t>chosen for</w:t>
      </w:r>
      <w:r>
        <w:rPr>
          <w:color w:val="0D0D0D"/>
          <w:spacing w:val="-2"/>
        </w:rPr>
        <w:t> </w:t>
      </w:r>
      <w:r>
        <w:rPr>
          <w:color w:val="0D0D0D"/>
        </w:rPr>
        <w:t>their accuracy, and Mean- Variance Optimization is implemented.</w:t>
      </w:r>
    </w:p>
    <w:p>
      <w:pPr>
        <w:pStyle w:val="BodyText"/>
        <w:spacing w:before="1"/>
      </w:pPr>
    </w:p>
    <w:p>
      <w:pPr>
        <w:pStyle w:val="BodyText"/>
        <w:ind w:left="1015" w:right="1375"/>
        <w:jc w:val="both"/>
      </w:pPr>
      <w:r>
        <w:rPr>
          <w:color w:val="0D0D0D"/>
        </w:rPr>
        <w:t>The</w:t>
      </w:r>
      <w:r>
        <w:rPr>
          <w:color w:val="0D0D0D"/>
          <w:spacing w:val="-5"/>
        </w:rPr>
        <w:t> </w:t>
      </w:r>
      <w:r>
        <w:rPr>
          <w:color w:val="0D0D0D"/>
        </w:rPr>
        <w:t>fourth</w:t>
      </w:r>
      <w:r>
        <w:rPr>
          <w:color w:val="0D0D0D"/>
          <w:spacing w:val="-3"/>
        </w:rPr>
        <w:t> </w:t>
      </w:r>
      <w:r>
        <w:rPr>
          <w:color w:val="0D0D0D"/>
        </w:rPr>
        <w:t>portfolio</w:t>
      </w:r>
      <w:r>
        <w:rPr>
          <w:color w:val="0D0D0D"/>
          <w:spacing w:val="-3"/>
        </w:rPr>
        <w:t> </w:t>
      </w:r>
      <w:r>
        <w:rPr>
          <w:color w:val="0D0D0D"/>
        </w:rPr>
        <w:t>considers</w:t>
      </w:r>
      <w:r>
        <w:rPr>
          <w:color w:val="0D0D0D"/>
          <w:spacing w:val="-3"/>
        </w:rPr>
        <w:t> </w:t>
      </w:r>
      <w:r>
        <w:rPr>
          <w:color w:val="0D0D0D"/>
        </w:rPr>
        <w:t>all</w:t>
      </w:r>
      <w:r>
        <w:rPr>
          <w:color w:val="0D0D0D"/>
          <w:spacing w:val="-3"/>
        </w:rPr>
        <w:t> </w:t>
      </w:r>
      <w:r>
        <w:rPr>
          <w:color w:val="0D0D0D"/>
        </w:rPr>
        <w:t>Nifty</w:t>
      </w:r>
      <w:r>
        <w:rPr>
          <w:color w:val="0D0D0D"/>
          <w:spacing w:val="-3"/>
        </w:rPr>
        <w:t> </w:t>
      </w:r>
      <w:r>
        <w:rPr>
          <w:color w:val="0D0D0D"/>
        </w:rPr>
        <w:t>50</w:t>
      </w:r>
      <w:r>
        <w:rPr>
          <w:color w:val="0D0D0D"/>
          <w:spacing w:val="-3"/>
        </w:rPr>
        <w:t> </w:t>
      </w:r>
      <w:r>
        <w:rPr>
          <w:color w:val="0D0D0D"/>
        </w:rPr>
        <w:t>stocks,</w:t>
      </w:r>
      <w:r>
        <w:rPr>
          <w:color w:val="0D0D0D"/>
          <w:spacing w:val="-3"/>
        </w:rPr>
        <w:t> </w:t>
      </w:r>
      <w:r>
        <w:rPr>
          <w:color w:val="0D0D0D"/>
        </w:rPr>
        <w:t>irrespective</w:t>
      </w:r>
      <w:r>
        <w:rPr>
          <w:color w:val="0D0D0D"/>
          <w:spacing w:val="-4"/>
        </w:rPr>
        <w:t> </w:t>
      </w:r>
      <w:r>
        <w:rPr>
          <w:color w:val="0D0D0D"/>
        </w:rPr>
        <w:t>of</w:t>
      </w:r>
      <w:r>
        <w:rPr>
          <w:color w:val="0D0D0D"/>
          <w:spacing w:val="-3"/>
        </w:rPr>
        <w:t> </w:t>
      </w:r>
      <w:r>
        <w:rPr>
          <w:color w:val="0D0D0D"/>
        </w:rPr>
        <w:t>their</w:t>
      </w:r>
      <w:r>
        <w:rPr>
          <w:color w:val="0D0D0D"/>
          <w:spacing w:val="-3"/>
        </w:rPr>
        <w:t> </w:t>
      </w:r>
      <w:r>
        <w:rPr>
          <w:color w:val="0D0D0D"/>
        </w:rPr>
        <w:t>performance</w:t>
      </w:r>
      <w:r>
        <w:rPr>
          <w:color w:val="0D0D0D"/>
          <w:spacing w:val="-4"/>
        </w:rPr>
        <w:t> </w:t>
      </w:r>
      <w:r>
        <w:rPr>
          <w:color w:val="0D0D0D"/>
        </w:rPr>
        <w:t>metrics, and applies Mean-Variance Optimization.</w:t>
      </w:r>
    </w:p>
    <w:p>
      <w:pPr>
        <w:pStyle w:val="BodyText"/>
      </w:pPr>
    </w:p>
    <w:p>
      <w:pPr>
        <w:pStyle w:val="BodyText"/>
        <w:ind w:left="1015" w:right="1260"/>
      </w:pPr>
      <w:r>
        <w:rPr>
          <w:color w:val="0D0D0D"/>
        </w:rPr>
        <w:t>The</w:t>
      </w:r>
      <w:r>
        <w:rPr>
          <w:color w:val="0D0D0D"/>
          <w:spacing w:val="-5"/>
        </w:rPr>
        <w:t> </w:t>
      </w:r>
      <w:r>
        <w:rPr>
          <w:color w:val="0D0D0D"/>
        </w:rPr>
        <w:t>fifth</w:t>
      </w:r>
      <w:r>
        <w:rPr>
          <w:color w:val="0D0D0D"/>
          <w:spacing w:val="-4"/>
        </w:rPr>
        <w:t> </w:t>
      </w:r>
      <w:r>
        <w:rPr>
          <w:color w:val="0D0D0D"/>
        </w:rPr>
        <w:t>model</w:t>
      </w:r>
      <w:r>
        <w:rPr>
          <w:color w:val="0D0D0D"/>
          <w:spacing w:val="-4"/>
        </w:rPr>
        <w:t> </w:t>
      </w:r>
      <w:r>
        <w:rPr>
          <w:color w:val="0D0D0D"/>
        </w:rPr>
        <w:t>is</w:t>
      </w:r>
      <w:r>
        <w:rPr>
          <w:color w:val="0D0D0D"/>
          <w:spacing w:val="-4"/>
        </w:rPr>
        <w:t> </w:t>
      </w:r>
      <w:r>
        <w:rPr>
          <w:color w:val="0D0D0D"/>
        </w:rPr>
        <w:t>built</w:t>
      </w:r>
      <w:r>
        <w:rPr>
          <w:color w:val="0D0D0D"/>
          <w:spacing w:val="-4"/>
        </w:rPr>
        <w:t> </w:t>
      </w:r>
      <w:r>
        <w:rPr>
          <w:color w:val="0D0D0D"/>
        </w:rPr>
        <w:t>using</w:t>
      </w:r>
      <w:r>
        <w:rPr>
          <w:color w:val="0D0D0D"/>
          <w:spacing w:val="-4"/>
        </w:rPr>
        <w:t> </w:t>
      </w:r>
      <w:r>
        <w:rPr>
          <w:color w:val="0D0D0D"/>
        </w:rPr>
        <w:t>the</w:t>
      </w:r>
      <w:r>
        <w:rPr>
          <w:color w:val="0D0D0D"/>
          <w:spacing w:val="-4"/>
        </w:rPr>
        <w:t> </w:t>
      </w:r>
      <w:r>
        <w:rPr>
          <w:color w:val="0D0D0D"/>
        </w:rPr>
        <w:t>Agglomerative</w:t>
      </w:r>
      <w:r>
        <w:rPr>
          <w:color w:val="0D0D0D"/>
          <w:spacing w:val="-3"/>
        </w:rPr>
        <w:t> </w:t>
      </w:r>
      <w:r>
        <w:rPr>
          <w:color w:val="0D0D0D"/>
        </w:rPr>
        <w:t>Hierarchical</w:t>
      </w:r>
      <w:r>
        <w:rPr>
          <w:color w:val="0D0D0D"/>
          <w:spacing w:val="-4"/>
        </w:rPr>
        <w:t> </w:t>
      </w:r>
      <w:r>
        <w:rPr>
          <w:color w:val="0D0D0D"/>
        </w:rPr>
        <w:t>Clustering</w:t>
      </w:r>
      <w:r>
        <w:rPr>
          <w:color w:val="0D0D0D"/>
          <w:spacing w:val="-3"/>
        </w:rPr>
        <w:t> </w:t>
      </w:r>
      <w:r>
        <w:rPr>
          <w:color w:val="0D0D0D"/>
        </w:rPr>
        <w:t>model,</w:t>
      </w:r>
      <w:r>
        <w:rPr>
          <w:color w:val="0D0D0D"/>
          <w:spacing w:val="-4"/>
        </w:rPr>
        <w:t> </w:t>
      </w:r>
      <w:r>
        <w:rPr>
          <w:color w:val="0D0D0D"/>
        </w:rPr>
        <w:t>where</w:t>
      </w:r>
      <w:r>
        <w:rPr>
          <w:color w:val="0D0D0D"/>
          <w:spacing w:val="-5"/>
        </w:rPr>
        <w:t> </w:t>
      </w:r>
      <w:r>
        <w:rPr>
          <w:color w:val="0D0D0D"/>
        </w:rPr>
        <w:t>50 stocks are clustered based on pairwise similarity, and the Hierarchical Risk Parity Asset Allocation technique is used to weight the stocks in the portfolio.</w:t>
      </w:r>
    </w:p>
    <w:p>
      <w:pPr>
        <w:pStyle w:val="BodyText"/>
        <w:spacing w:after="0"/>
        <w:sectPr>
          <w:pgSz w:w="11910" w:h="16840"/>
          <w:pgMar w:top="1920" w:bottom="280" w:left="425" w:right="283"/>
        </w:sectPr>
      </w:pPr>
    </w:p>
    <w:p>
      <w:pPr>
        <w:pStyle w:val="BodyText"/>
        <w:spacing w:before="60"/>
        <w:ind w:left="1015" w:right="1260"/>
      </w:pPr>
      <w:r>
        <w:rPr>
          <w:color w:val="0D0D0D"/>
        </w:rPr>
        <w:t>Finally,</w:t>
      </w:r>
      <w:r>
        <w:rPr>
          <w:color w:val="0D0D0D"/>
          <w:spacing w:val="-3"/>
        </w:rPr>
        <w:t> </w:t>
      </w:r>
      <w:r>
        <w:rPr>
          <w:color w:val="0D0D0D"/>
        </w:rPr>
        <w:t>GARCH</w:t>
      </w:r>
      <w:r>
        <w:rPr>
          <w:color w:val="0D0D0D"/>
          <w:spacing w:val="-3"/>
        </w:rPr>
        <w:t> </w:t>
      </w:r>
      <w:r>
        <w:rPr>
          <w:color w:val="0D0D0D"/>
        </w:rPr>
        <w:t>models</w:t>
      </w:r>
      <w:r>
        <w:rPr>
          <w:color w:val="0D0D0D"/>
          <w:spacing w:val="-3"/>
        </w:rPr>
        <w:t> </w:t>
      </w:r>
      <w:r>
        <w:rPr>
          <w:color w:val="0D0D0D"/>
        </w:rPr>
        <w:t>are</w:t>
      </w:r>
      <w:r>
        <w:rPr>
          <w:color w:val="0D0D0D"/>
          <w:spacing w:val="-4"/>
        </w:rPr>
        <w:t> </w:t>
      </w:r>
      <w:r>
        <w:rPr>
          <w:color w:val="0D0D0D"/>
        </w:rPr>
        <w:t>developed</w:t>
      </w:r>
      <w:r>
        <w:rPr>
          <w:color w:val="0D0D0D"/>
          <w:spacing w:val="-3"/>
        </w:rPr>
        <w:t> </w:t>
      </w:r>
      <w:r>
        <w:rPr>
          <w:color w:val="0D0D0D"/>
        </w:rPr>
        <w:t>to</w:t>
      </w:r>
      <w:r>
        <w:rPr>
          <w:color w:val="0D0D0D"/>
          <w:spacing w:val="-3"/>
        </w:rPr>
        <w:t> </w:t>
      </w:r>
      <w:r>
        <w:rPr>
          <w:color w:val="0D0D0D"/>
        </w:rPr>
        <w:t>analyse</w:t>
      </w:r>
      <w:r>
        <w:rPr>
          <w:color w:val="0D0D0D"/>
          <w:spacing w:val="-2"/>
        </w:rPr>
        <w:t> </w:t>
      </w:r>
      <w:r>
        <w:rPr>
          <w:color w:val="0D0D0D"/>
        </w:rPr>
        <w:t>stock</w:t>
      </w:r>
      <w:r>
        <w:rPr>
          <w:color w:val="0D0D0D"/>
          <w:spacing w:val="-3"/>
        </w:rPr>
        <w:t> </w:t>
      </w:r>
      <w:r>
        <w:rPr>
          <w:color w:val="0D0D0D"/>
        </w:rPr>
        <w:t>volatility</w:t>
      </w:r>
      <w:r>
        <w:rPr>
          <w:color w:val="0D0D0D"/>
          <w:spacing w:val="-3"/>
        </w:rPr>
        <w:t> </w:t>
      </w:r>
      <w:r>
        <w:rPr>
          <w:color w:val="0D0D0D"/>
        </w:rPr>
        <w:t>for</w:t>
      </w:r>
      <w:r>
        <w:rPr>
          <w:color w:val="0D0D0D"/>
          <w:spacing w:val="-4"/>
        </w:rPr>
        <w:t> </w:t>
      </w:r>
      <w:r>
        <w:rPr>
          <w:color w:val="0D0D0D"/>
        </w:rPr>
        <w:t>the</w:t>
      </w:r>
      <w:r>
        <w:rPr>
          <w:color w:val="0D0D0D"/>
          <w:spacing w:val="-3"/>
        </w:rPr>
        <w:t> </w:t>
      </w:r>
      <w:r>
        <w:rPr>
          <w:color w:val="0D0D0D"/>
        </w:rPr>
        <w:t>year</w:t>
      </w:r>
      <w:r>
        <w:rPr>
          <w:color w:val="0D0D0D"/>
          <w:spacing w:val="-3"/>
        </w:rPr>
        <w:t> </w:t>
      </w:r>
      <w:r>
        <w:rPr>
          <w:color w:val="0D0D0D"/>
        </w:rPr>
        <w:t>2023.</w:t>
      </w:r>
      <w:r>
        <w:rPr>
          <w:color w:val="0D0D0D"/>
          <w:spacing w:val="-3"/>
        </w:rPr>
        <w:t> </w:t>
      </w:r>
      <w:r>
        <w:rPr>
          <w:color w:val="0D0D0D"/>
        </w:rPr>
        <w:t>Various risk and return metrics such as annualized returns, Sortino ratio, Calmar ratio, Maximum Drawdown, 95% Conditional Value at Risk (cVar), and 99% cVar are studied to determine the most efficient portfolio construction strategies.</w:t>
      </w:r>
    </w:p>
    <w:p>
      <w:pPr>
        <w:pStyle w:val="BodyText"/>
        <w:spacing w:before="130"/>
        <w:rPr>
          <w:sz w:val="20"/>
        </w:rPr>
      </w:pPr>
      <w:r>
        <w:rPr>
          <w:sz w:val="20"/>
        </w:rPr>
        <w:drawing>
          <wp:anchor distT="0" distB="0" distL="0" distR="0" allowOverlap="1" layoutInCell="1" locked="0" behindDoc="1" simplePos="0" relativeHeight="487587840">
            <wp:simplePos x="0" y="0"/>
            <wp:positionH relativeFrom="page">
              <wp:posOffset>975663</wp:posOffset>
            </wp:positionH>
            <wp:positionV relativeFrom="paragraph">
              <wp:posOffset>244388</wp:posOffset>
            </wp:positionV>
            <wp:extent cx="5580648" cy="3536918"/>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580648" cy="3536918"/>
                    </a:xfrm>
                    <a:prstGeom prst="rect">
                      <a:avLst/>
                    </a:prstGeom>
                  </pic:spPr>
                </pic:pic>
              </a:graphicData>
            </a:graphic>
          </wp:anchor>
        </w:drawing>
      </w:r>
    </w:p>
    <w:p>
      <w:pPr>
        <w:pStyle w:val="BodyText"/>
        <w:spacing w:before="165"/>
      </w:pPr>
    </w:p>
    <w:p>
      <w:pPr>
        <w:pStyle w:val="BodyText"/>
        <w:ind w:left="840" w:right="1131"/>
        <w:jc w:val="center"/>
      </w:pPr>
      <w:r>
        <w:rPr>
          <w:color w:val="0D0D0D"/>
        </w:rPr>
        <w:t>Fig.1.</w:t>
      </w:r>
      <w:r>
        <w:rPr>
          <w:color w:val="0D0D0D"/>
          <w:spacing w:val="-1"/>
        </w:rPr>
        <w:t> </w:t>
      </w:r>
      <w:r>
        <w:rPr>
          <w:color w:val="0D0D0D"/>
        </w:rPr>
        <w:t>The</w:t>
      </w:r>
      <w:r>
        <w:rPr>
          <w:color w:val="0D0D0D"/>
          <w:spacing w:val="-1"/>
        </w:rPr>
        <w:t> </w:t>
      </w:r>
      <w:r>
        <w:rPr>
          <w:color w:val="0D0D0D"/>
        </w:rPr>
        <w:t>portfolio indices of the</w:t>
      </w:r>
      <w:r>
        <w:rPr>
          <w:color w:val="0D0D0D"/>
          <w:spacing w:val="-1"/>
        </w:rPr>
        <w:t> </w:t>
      </w:r>
      <w:r>
        <w:rPr>
          <w:color w:val="0D0D0D"/>
        </w:rPr>
        <w:t>five</w:t>
      </w:r>
      <w:r>
        <w:rPr>
          <w:color w:val="0D0D0D"/>
          <w:spacing w:val="-3"/>
        </w:rPr>
        <w:t> </w:t>
      </w:r>
      <w:r>
        <w:rPr>
          <w:color w:val="0D0D0D"/>
        </w:rPr>
        <w:t>portfolios for</w:t>
      </w:r>
      <w:r>
        <w:rPr>
          <w:color w:val="0D0D0D"/>
          <w:spacing w:val="-2"/>
        </w:rPr>
        <w:t> </w:t>
      </w:r>
      <w:r>
        <w:rPr>
          <w:color w:val="0D0D0D"/>
        </w:rPr>
        <w:t>the years 2014</w:t>
      </w:r>
      <w:r>
        <w:rPr>
          <w:color w:val="0D0D0D"/>
          <w:spacing w:val="3"/>
        </w:rPr>
        <w:t> </w:t>
      </w:r>
      <w:r>
        <w:rPr>
          <w:color w:val="0D0D0D"/>
        </w:rPr>
        <w:t>– </w:t>
      </w:r>
      <w:r>
        <w:rPr>
          <w:color w:val="0D0D0D"/>
          <w:spacing w:val="-4"/>
        </w:rPr>
        <w:t>2023</w:t>
      </w:r>
    </w:p>
    <w:p>
      <w:pPr>
        <w:pStyle w:val="Heading1"/>
        <w:spacing w:before="275"/>
      </w:pPr>
      <w:r>
        <w:rPr>
          <w:color w:val="0D0D0D"/>
          <w:spacing w:val="-2"/>
        </w:rPr>
        <w:t>Methodology</w:t>
      </w:r>
    </w:p>
    <w:p>
      <w:pPr>
        <w:pStyle w:val="BodyText"/>
        <w:spacing w:before="367"/>
        <w:ind w:left="1015" w:right="1174"/>
      </w:pPr>
      <w:r>
        <w:rPr>
          <w:color w:val="0D0D0D"/>
        </w:rPr>
        <w:t>The stock market serves as a platform where investors engage in buying and selling ownership shares, offering the potential for returns and providing publicly traded companies with</w:t>
      </w:r>
      <w:r>
        <w:rPr>
          <w:color w:val="0D0D0D"/>
          <w:spacing w:val="-3"/>
        </w:rPr>
        <w:t> </w:t>
      </w:r>
      <w:r>
        <w:rPr>
          <w:color w:val="0D0D0D"/>
        </w:rPr>
        <w:t>a</w:t>
      </w:r>
      <w:r>
        <w:rPr>
          <w:color w:val="0D0D0D"/>
          <w:spacing w:val="-3"/>
        </w:rPr>
        <w:t> </w:t>
      </w:r>
      <w:r>
        <w:rPr>
          <w:color w:val="0D0D0D"/>
        </w:rPr>
        <w:t>means</w:t>
      </w:r>
      <w:r>
        <w:rPr>
          <w:color w:val="0D0D0D"/>
          <w:spacing w:val="-3"/>
        </w:rPr>
        <w:t> </w:t>
      </w:r>
      <w:r>
        <w:rPr>
          <w:color w:val="0D0D0D"/>
        </w:rPr>
        <w:t>to</w:t>
      </w:r>
      <w:r>
        <w:rPr>
          <w:color w:val="0D0D0D"/>
          <w:spacing w:val="-3"/>
        </w:rPr>
        <w:t> </w:t>
      </w:r>
      <w:r>
        <w:rPr>
          <w:color w:val="0D0D0D"/>
        </w:rPr>
        <w:t>raise</w:t>
      </w:r>
      <w:r>
        <w:rPr>
          <w:color w:val="0D0D0D"/>
          <w:spacing w:val="-2"/>
        </w:rPr>
        <w:t> </w:t>
      </w:r>
      <w:r>
        <w:rPr>
          <w:color w:val="0D0D0D"/>
        </w:rPr>
        <w:t>capital</w:t>
      </w:r>
      <w:r>
        <w:rPr>
          <w:color w:val="0D0D0D"/>
          <w:spacing w:val="-3"/>
        </w:rPr>
        <w:t> </w:t>
      </w:r>
      <w:r>
        <w:rPr>
          <w:color w:val="0D0D0D"/>
        </w:rPr>
        <w:t>through</w:t>
      </w:r>
      <w:r>
        <w:rPr>
          <w:color w:val="0D0D0D"/>
          <w:spacing w:val="-3"/>
        </w:rPr>
        <w:t> </w:t>
      </w:r>
      <w:r>
        <w:rPr>
          <w:color w:val="0D0D0D"/>
        </w:rPr>
        <w:t>the</w:t>
      </w:r>
      <w:r>
        <w:rPr>
          <w:color w:val="0D0D0D"/>
          <w:spacing w:val="-3"/>
        </w:rPr>
        <w:t> </w:t>
      </w:r>
      <w:r>
        <w:rPr>
          <w:color w:val="0D0D0D"/>
        </w:rPr>
        <w:t>issuance</w:t>
      </w:r>
      <w:r>
        <w:rPr>
          <w:color w:val="0D0D0D"/>
          <w:spacing w:val="-2"/>
        </w:rPr>
        <w:t> </w:t>
      </w:r>
      <w:r>
        <w:rPr>
          <w:color w:val="0D0D0D"/>
        </w:rPr>
        <w:t>of</w:t>
      </w:r>
      <w:r>
        <w:rPr>
          <w:color w:val="0D0D0D"/>
          <w:spacing w:val="-3"/>
        </w:rPr>
        <w:t> </w:t>
      </w:r>
      <w:r>
        <w:rPr>
          <w:color w:val="0D0D0D"/>
        </w:rPr>
        <w:t>stocks.</w:t>
      </w:r>
      <w:r>
        <w:rPr>
          <w:color w:val="0D0D0D"/>
          <w:spacing w:val="-3"/>
        </w:rPr>
        <w:t> </w:t>
      </w:r>
      <w:r>
        <w:rPr>
          <w:color w:val="0D0D0D"/>
        </w:rPr>
        <w:t>The</w:t>
      </w:r>
      <w:r>
        <w:rPr>
          <w:color w:val="0D0D0D"/>
          <w:spacing w:val="-4"/>
        </w:rPr>
        <w:t> </w:t>
      </w:r>
      <w:r>
        <w:rPr>
          <w:color w:val="0D0D0D"/>
        </w:rPr>
        <w:t>Nifty</w:t>
      </w:r>
      <w:r>
        <w:rPr>
          <w:color w:val="0D0D0D"/>
          <w:spacing w:val="-3"/>
        </w:rPr>
        <w:t> </w:t>
      </w:r>
      <w:r>
        <w:rPr>
          <w:color w:val="0D0D0D"/>
        </w:rPr>
        <w:t>50</w:t>
      </w:r>
      <w:r>
        <w:rPr>
          <w:color w:val="0D0D0D"/>
          <w:spacing w:val="-3"/>
        </w:rPr>
        <w:t> </w:t>
      </w:r>
      <w:r>
        <w:rPr>
          <w:color w:val="0D0D0D"/>
        </w:rPr>
        <w:t>index</w:t>
      </w:r>
      <w:r>
        <w:rPr>
          <w:color w:val="0D0D0D"/>
          <w:spacing w:val="-3"/>
        </w:rPr>
        <w:t> </w:t>
      </w:r>
      <w:r>
        <w:rPr>
          <w:color w:val="0D0D0D"/>
        </w:rPr>
        <w:t>represents</w:t>
      </w:r>
      <w:r>
        <w:rPr>
          <w:color w:val="0D0D0D"/>
          <w:spacing w:val="-2"/>
        </w:rPr>
        <w:t> </w:t>
      </w:r>
      <w:r>
        <w:rPr>
          <w:color w:val="0D0D0D"/>
        </w:rPr>
        <w:t>the performance of 50 large-cap companies across various sectors in the Indian economy. These companies, well-established and listed on the National Stock Exchange of India, span diverse industries including finance, information technology, pharmaceuticals, and consumer goods.</w:t>
      </w:r>
    </w:p>
    <w:p>
      <w:pPr>
        <w:pStyle w:val="BodyText"/>
        <w:spacing w:before="1"/>
      </w:pPr>
    </w:p>
    <w:p>
      <w:pPr>
        <w:pStyle w:val="BodyText"/>
        <w:ind w:left="1015" w:right="1260"/>
      </w:pPr>
      <w:r>
        <w:rPr>
          <w:color w:val="0D0D0D"/>
        </w:rPr>
        <w:t>While</w:t>
      </w:r>
      <w:r>
        <w:rPr>
          <w:color w:val="0D0D0D"/>
          <w:spacing w:val="-1"/>
        </w:rPr>
        <w:t> </w:t>
      </w:r>
      <w:r>
        <w:rPr>
          <w:color w:val="0D0D0D"/>
        </w:rPr>
        <w:t>the stock market can be</w:t>
      </w:r>
      <w:r>
        <w:rPr>
          <w:color w:val="0D0D0D"/>
          <w:spacing w:val="-1"/>
        </w:rPr>
        <w:t> </w:t>
      </w:r>
      <w:r>
        <w:rPr>
          <w:color w:val="0D0D0D"/>
        </w:rPr>
        <w:t>profitable, it is not without risks, primarily due</w:t>
      </w:r>
      <w:r>
        <w:rPr>
          <w:color w:val="0D0D0D"/>
          <w:spacing w:val="-1"/>
        </w:rPr>
        <w:t> </w:t>
      </w:r>
      <w:r>
        <w:rPr>
          <w:color w:val="0D0D0D"/>
        </w:rPr>
        <w:t>to market fluctuations</w:t>
      </w:r>
      <w:r>
        <w:rPr>
          <w:color w:val="0D0D0D"/>
          <w:spacing w:val="-5"/>
        </w:rPr>
        <w:t> </w:t>
      </w:r>
      <w:r>
        <w:rPr>
          <w:color w:val="0D0D0D"/>
        </w:rPr>
        <w:t>influenced</w:t>
      </w:r>
      <w:r>
        <w:rPr>
          <w:color w:val="0D0D0D"/>
          <w:spacing w:val="-5"/>
        </w:rPr>
        <w:t> </w:t>
      </w:r>
      <w:r>
        <w:rPr>
          <w:color w:val="0D0D0D"/>
        </w:rPr>
        <w:t>by</w:t>
      </w:r>
      <w:r>
        <w:rPr>
          <w:color w:val="0D0D0D"/>
          <w:spacing w:val="-5"/>
        </w:rPr>
        <w:t> </w:t>
      </w:r>
      <w:r>
        <w:rPr>
          <w:color w:val="0D0D0D"/>
        </w:rPr>
        <w:t>various</w:t>
      </w:r>
      <w:r>
        <w:rPr>
          <w:color w:val="0D0D0D"/>
          <w:spacing w:val="-5"/>
        </w:rPr>
        <w:t> </w:t>
      </w:r>
      <w:r>
        <w:rPr>
          <w:color w:val="0D0D0D"/>
        </w:rPr>
        <w:t>factors.</w:t>
      </w:r>
      <w:r>
        <w:rPr>
          <w:color w:val="0D0D0D"/>
          <w:spacing w:val="-5"/>
        </w:rPr>
        <w:t> </w:t>
      </w:r>
      <w:r>
        <w:rPr>
          <w:color w:val="0D0D0D"/>
        </w:rPr>
        <w:t>These</w:t>
      </w:r>
      <w:r>
        <w:rPr>
          <w:color w:val="0D0D0D"/>
          <w:spacing w:val="-4"/>
        </w:rPr>
        <w:t> </w:t>
      </w:r>
      <w:r>
        <w:rPr>
          <w:color w:val="0D0D0D"/>
        </w:rPr>
        <w:t>factors</w:t>
      </w:r>
      <w:r>
        <w:rPr>
          <w:color w:val="0D0D0D"/>
          <w:spacing w:val="-5"/>
        </w:rPr>
        <w:t> </w:t>
      </w:r>
      <w:r>
        <w:rPr>
          <w:color w:val="0D0D0D"/>
        </w:rPr>
        <w:t>encompass</w:t>
      </w:r>
      <w:r>
        <w:rPr>
          <w:color w:val="0D0D0D"/>
          <w:spacing w:val="-5"/>
        </w:rPr>
        <w:t> </w:t>
      </w:r>
      <w:r>
        <w:rPr>
          <w:color w:val="0D0D0D"/>
        </w:rPr>
        <w:t>investor</w:t>
      </w:r>
      <w:r>
        <w:rPr>
          <w:color w:val="0D0D0D"/>
          <w:spacing w:val="-5"/>
        </w:rPr>
        <w:t> </w:t>
      </w:r>
      <w:r>
        <w:rPr>
          <w:color w:val="0D0D0D"/>
        </w:rPr>
        <w:t>sentiments, dynamic economic indicators, inflation, consumer spending, interest rates, geopolitical events, monetary policies, government regulations, and other market sentiments.</w:t>
      </w:r>
    </w:p>
    <w:p>
      <w:pPr>
        <w:pStyle w:val="BodyText"/>
      </w:pPr>
    </w:p>
    <w:p>
      <w:pPr>
        <w:pStyle w:val="BodyText"/>
        <w:ind w:left="1015" w:right="1174"/>
      </w:pPr>
      <w:r>
        <w:rPr>
          <w:color w:val="0D0D0D"/>
        </w:rPr>
        <w:t>To</w:t>
      </w:r>
      <w:r>
        <w:rPr>
          <w:color w:val="0D0D0D"/>
          <w:spacing w:val="-4"/>
        </w:rPr>
        <w:t> </w:t>
      </w:r>
      <w:r>
        <w:rPr>
          <w:color w:val="0D0D0D"/>
        </w:rPr>
        <w:t>mitigate</w:t>
      </w:r>
      <w:r>
        <w:rPr>
          <w:color w:val="0D0D0D"/>
          <w:spacing w:val="-4"/>
        </w:rPr>
        <w:t> </w:t>
      </w:r>
      <w:r>
        <w:rPr>
          <w:color w:val="0D0D0D"/>
        </w:rPr>
        <w:t>the</w:t>
      </w:r>
      <w:r>
        <w:rPr>
          <w:color w:val="0D0D0D"/>
          <w:spacing w:val="-5"/>
        </w:rPr>
        <w:t> </w:t>
      </w:r>
      <w:r>
        <w:rPr>
          <w:color w:val="0D0D0D"/>
        </w:rPr>
        <w:t>risks</w:t>
      </w:r>
      <w:r>
        <w:rPr>
          <w:color w:val="0D0D0D"/>
          <w:spacing w:val="-4"/>
        </w:rPr>
        <w:t> </w:t>
      </w:r>
      <w:r>
        <w:rPr>
          <w:color w:val="0D0D0D"/>
        </w:rPr>
        <w:t>associated</w:t>
      </w:r>
      <w:r>
        <w:rPr>
          <w:color w:val="0D0D0D"/>
          <w:spacing w:val="-4"/>
        </w:rPr>
        <w:t> </w:t>
      </w:r>
      <w:r>
        <w:rPr>
          <w:color w:val="0D0D0D"/>
        </w:rPr>
        <w:t>with</w:t>
      </w:r>
      <w:r>
        <w:rPr>
          <w:color w:val="0D0D0D"/>
          <w:spacing w:val="-4"/>
        </w:rPr>
        <w:t> </w:t>
      </w:r>
      <w:r>
        <w:rPr>
          <w:color w:val="0D0D0D"/>
        </w:rPr>
        <w:t>market</w:t>
      </w:r>
      <w:r>
        <w:rPr>
          <w:color w:val="0D0D0D"/>
          <w:spacing w:val="-2"/>
        </w:rPr>
        <w:t> </w:t>
      </w:r>
      <w:r>
        <w:rPr>
          <w:color w:val="0D0D0D"/>
        </w:rPr>
        <w:t>fluctuations,</w:t>
      </w:r>
      <w:r>
        <w:rPr>
          <w:color w:val="0D0D0D"/>
          <w:spacing w:val="-4"/>
        </w:rPr>
        <w:t> </w:t>
      </w:r>
      <w:r>
        <w:rPr>
          <w:color w:val="0D0D0D"/>
        </w:rPr>
        <w:t>diversification</w:t>
      </w:r>
      <w:r>
        <w:rPr>
          <w:color w:val="0D0D0D"/>
          <w:spacing w:val="-4"/>
        </w:rPr>
        <w:t> </w:t>
      </w:r>
      <w:r>
        <w:rPr>
          <w:color w:val="0D0D0D"/>
        </w:rPr>
        <w:t>is</w:t>
      </w:r>
      <w:r>
        <w:rPr>
          <w:color w:val="0D0D0D"/>
          <w:spacing w:val="-4"/>
        </w:rPr>
        <w:t> </w:t>
      </w:r>
      <w:r>
        <w:rPr>
          <w:color w:val="0D0D0D"/>
        </w:rPr>
        <w:t>crucial. In</w:t>
      </w:r>
      <w:r>
        <w:rPr>
          <w:color w:val="0D0D0D"/>
          <w:spacing w:val="-4"/>
        </w:rPr>
        <w:t> </w:t>
      </w:r>
      <w:r>
        <w:rPr>
          <w:color w:val="0D0D0D"/>
        </w:rPr>
        <w:t>order</w:t>
      </w:r>
      <w:r>
        <w:rPr>
          <w:color w:val="0D0D0D"/>
          <w:spacing w:val="-4"/>
        </w:rPr>
        <w:t> </w:t>
      </w:r>
      <w:r>
        <w:rPr>
          <w:color w:val="0D0D0D"/>
        </w:rPr>
        <w:t>to do so five different portfolios have been created using machine learning techniques such as XGBoost and hierarchical clustering to select the stocks and mean variance optimization and Hierarchical Risk Parity(HRP) asset allocation to allocate weights to stocks and GARCH model to forecast volatility.</w:t>
      </w:r>
    </w:p>
    <w:p>
      <w:pPr>
        <w:pStyle w:val="BodyText"/>
        <w:spacing w:after="0"/>
        <w:sectPr>
          <w:pgSz w:w="11910" w:h="16840"/>
          <w:pgMar w:top="1360" w:bottom="280" w:left="425" w:right="283"/>
        </w:sectPr>
      </w:pPr>
    </w:p>
    <w:p>
      <w:pPr>
        <w:pStyle w:val="BodyText"/>
      </w:pPr>
    </w:p>
    <w:p>
      <w:pPr>
        <w:pStyle w:val="BodyText"/>
        <w:spacing w:before="53"/>
      </w:pPr>
    </w:p>
    <w:p>
      <w:pPr>
        <w:pStyle w:val="Heading2"/>
      </w:pPr>
      <w:r>
        <w:rPr>
          <w:color w:val="0D0D0D"/>
        </w:rPr>
        <w:t>Extreme</w:t>
      </w:r>
      <w:r>
        <w:rPr>
          <w:color w:val="0D0D0D"/>
          <w:spacing w:val="-3"/>
        </w:rPr>
        <w:t> </w:t>
      </w:r>
      <w:r>
        <w:rPr>
          <w:color w:val="0D0D0D"/>
        </w:rPr>
        <w:t>Gradient</w:t>
      </w:r>
      <w:r>
        <w:rPr>
          <w:color w:val="0D0D0D"/>
          <w:spacing w:val="-1"/>
        </w:rPr>
        <w:t> </w:t>
      </w:r>
      <w:r>
        <w:rPr>
          <w:color w:val="0D0D0D"/>
          <w:spacing w:val="-2"/>
        </w:rPr>
        <w:t>Boosting(XGBoost)</w:t>
      </w:r>
    </w:p>
    <w:p>
      <w:pPr>
        <w:pStyle w:val="BodyText"/>
        <w:rPr>
          <w:b/>
        </w:rPr>
      </w:pPr>
    </w:p>
    <w:p>
      <w:pPr>
        <w:pStyle w:val="BodyText"/>
        <w:ind w:left="1015"/>
      </w:pPr>
      <w:r>
        <w:rPr>
          <w:color w:val="0D0D0D"/>
        </w:rPr>
        <w:t>XGBoost</w:t>
      </w:r>
      <w:r>
        <w:rPr>
          <w:color w:val="0D0D0D"/>
          <w:spacing w:val="-2"/>
        </w:rPr>
        <w:t> </w:t>
      </w:r>
      <w:r>
        <w:rPr>
          <w:color w:val="0D0D0D"/>
        </w:rPr>
        <w:t>is</w:t>
      </w:r>
      <w:r>
        <w:rPr>
          <w:color w:val="0D0D0D"/>
          <w:spacing w:val="-1"/>
        </w:rPr>
        <w:t> </w:t>
      </w:r>
      <w:r>
        <w:rPr>
          <w:color w:val="0D0D0D"/>
        </w:rPr>
        <w:t>a</w:t>
      </w:r>
      <w:r>
        <w:rPr>
          <w:color w:val="0D0D0D"/>
          <w:spacing w:val="-1"/>
        </w:rPr>
        <w:t> </w:t>
      </w:r>
      <w:r>
        <w:rPr>
          <w:color w:val="0D0D0D"/>
        </w:rPr>
        <w:t>collection</w:t>
      </w:r>
      <w:r>
        <w:rPr>
          <w:color w:val="0D0D0D"/>
          <w:spacing w:val="-1"/>
        </w:rPr>
        <w:t> </w:t>
      </w:r>
      <w:r>
        <w:rPr>
          <w:color w:val="0D0D0D"/>
        </w:rPr>
        <w:t>of</w:t>
      </w:r>
      <w:r>
        <w:rPr>
          <w:color w:val="0D0D0D"/>
          <w:spacing w:val="-2"/>
        </w:rPr>
        <w:t> </w:t>
      </w:r>
      <w:r>
        <w:rPr>
          <w:color w:val="0D0D0D"/>
        </w:rPr>
        <w:t>weak</w:t>
      </w:r>
      <w:r>
        <w:rPr>
          <w:color w:val="0D0D0D"/>
          <w:spacing w:val="1"/>
        </w:rPr>
        <w:t> </w:t>
      </w:r>
      <w:r>
        <w:rPr>
          <w:color w:val="0D0D0D"/>
        </w:rPr>
        <w:t>classifier</w:t>
      </w:r>
      <w:r>
        <w:rPr>
          <w:color w:val="0D0D0D"/>
          <w:spacing w:val="-2"/>
        </w:rPr>
        <w:t> </w:t>
      </w:r>
      <w:r>
        <w:rPr>
          <w:color w:val="0D0D0D"/>
        </w:rPr>
        <w:t>decision</w:t>
      </w:r>
      <w:r>
        <w:rPr>
          <w:color w:val="0D0D0D"/>
          <w:spacing w:val="-1"/>
        </w:rPr>
        <w:t> </w:t>
      </w:r>
      <w:r>
        <w:rPr>
          <w:color w:val="0D0D0D"/>
        </w:rPr>
        <w:t>trees</w:t>
      </w:r>
      <w:r>
        <w:rPr>
          <w:color w:val="0D0D0D"/>
          <w:spacing w:val="-1"/>
        </w:rPr>
        <w:t> </w:t>
      </w:r>
      <w:r>
        <w:rPr>
          <w:color w:val="0D0D0D"/>
        </w:rPr>
        <w:t>and</w:t>
      </w:r>
      <w:r>
        <w:rPr>
          <w:color w:val="0D0D0D"/>
          <w:spacing w:val="-1"/>
        </w:rPr>
        <w:t> </w:t>
      </w:r>
      <w:r>
        <w:rPr>
          <w:color w:val="0D0D0D"/>
        </w:rPr>
        <w:t>it</w:t>
      </w:r>
      <w:r>
        <w:rPr>
          <w:color w:val="0D0D0D"/>
          <w:spacing w:val="-1"/>
        </w:rPr>
        <w:t> </w:t>
      </w:r>
      <w:r>
        <w:rPr>
          <w:color w:val="0D0D0D"/>
        </w:rPr>
        <w:t>primarily</w:t>
      </w:r>
      <w:r>
        <w:rPr>
          <w:color w:val="0D0D0D"/>
          <w:spacing w:val="-1"/>
        </w:rPr>
        <w:t> </w:t>
      </w:r>
      <w:r>
        <w:rPr>
          <w:color w:val="0D0D0D"/>
        </w:rPr>
        <w:t>focuses</w:t>
      </w:r>
      <w:r>
        <w:rPr>
          <w:color w:val="0D0D0D"/>
          <w:spacing w:val="-1"/>
        </w:rPr>
        <w:t> </w:t>
      </w:r>
      <w:r>
        <w:rPr>
          <w:color w:val="0D0D0D"/>
          <w:spacing w:val="-5"/>
        </w:rPr>
        <w:t>to</w:t>
      </w:r>
    </w:p>
    <w:p>
      <w:pPr>
        <w:pStyle w:val="BodyText"/>
        <w:ind w:left="1015" w:right="1260"/>
      </w:pPr>
      <w:r>
        <w:rPr>
          <w:color w:val="0D0D0D"/>
        </w:rPr>
        <w:t>train</w:t>
      </w:r>
      <w:r>
        <w:rPr>
          <w:color w:val="0D0D0D"/>
          <w:spacing w:val="-3"/>
        </w:rPr>
        <w:t> </w:t>
      </w:r>
      <w:r>
        <w:rPr>
          <w:color w:val="0D0D0D"/>
        </w:rPr>
        <w:t>the</w:t>
      </w:r>
      <w:r>
        <w:rPr>
          <w:color w:val="0D0D0D"/>
          <w:spacing w:val="-4"/>
        </w:rPr>
        <w:t> </w:t>
      </w:r>
      <w:r>
        <w:rPr>
          <w:color w:val="0D0D0D"/>
        </w:rPr>
        <w:t>new</w:t>
      </w:r>
      <w:r>
        <w:rPr>
          <w:color w:val="0D0D0D"/>
          <w:spacing w:val="-3"/>
        </w:rPr>
        <w:t> </w:t>
      </w:r>
      <w:r>
        <w:rPr>
          <w:color w:val="0D0D0D"/>
        </w:rPr>
        <w:t>decision</w:t>
      </w:r>
      <w:r>
        <w:rPr>
          <w:color w:val="0D0D0D"/>
          <w:spacing w:val="-3"/>
        </w:rPr>
        <w:t> </w:t>
      </w:r>
      <w:r>
        <w:rPr>
          <w:color w:val="0D0D0D"/>
        </w:rPr>
        <w:t>tree</w:t>
      </w:r>
      <w:r>
        <w:rPr>
          <w:color w:val="0D0D0D"/>
          <w:spacing w:val="-4"/>
        </w:rPr>
        <w:t> </w:t>
      </w:r>
      <w:r>
        <w:rPr>
          <w:color w:val="0D0D0D"/>
        </w:rPr>
        <w:t>to</w:t>
      </w:r>
      <w:r>
        <w:rPr>
          <w:color w:val="0D0D0D"/>
          <w:spacing w:val="-3"/>
        </w:rPr>
        <w:t> </w:t>
      </w:r>
      <w:r>
        <w:rPr>
          <w:color w:val="0D0D0D"/>
        </w:rPr>
        <w:t>learn</w:t>
      </w:r>
      <w:r>
        <w:rPr>
          <w:color w:val="0D0D0D"/>
          <w:spacing w:val="-3"/>
        </w:rPr>
        <w:t> </w:t>
      </w:r>
      <w:r>
        <w:rPr>
          <w:color w:val="0D0D0D"/>
        </w:rPr>
        <w:t>from</w:t>
      </w:r>
      <w:r>
        <w:rPr>
          <w:color w:val="0D0D0D"/>
          <w:spacing w:val="-3"/>
        </w:rPr>
        <w:t> </w:t>
      </w:r>
      <w:r>
        <w:rPr>
          <w:color w:val="0D0D0D"/>
        </w:rPr>
        <w:t>the</w:t>
      </w:r>
      <w:r>
        <w:rPr>
          <w:color w:val="0D0D0D"/>
          <w:spacing w:val="-3"/>
        </w:rPr>
        <w:t> </w:t>
      </w:r>
      <w:r>
        <w:rPr>
          <w:color w:val="0D0D0D"/>
        </w:rPr>
        <w:t>errors</w:t>
      </w:r>
      <w:r>
        <w:rPr>
          <w:color w:val="0D0D0D"/>
          <w:spacing w:val="-1"/>
        </w:rPr>
        <w:t> </w:t>
      </w:r>
      <w:r>
        <w:rPr>
          <w:color w:val="0D0D0D"/>
        </w:rPr>
        <w:t>committed</w:t>
      </w:r>
      <w:r>
        <w:rPr>
          <w:color w:val="0D0D0D"/>
          <w:spacing w:val="-3"/>
        </w:rPr>
        <w:t> </w:t>
      </w:r>
      <w:r>
        <w:rPr>
          <w:color w:val="0D0D0D"/>
        </w:rPr>
        <w:t>by</w:t>
      </w:r>
      <w:r>
        <w:rPr>
          <w:color w:val="0D0D0D"/>
          <w:spacing w:val="-3"/>
        </w:rPr>
        <w:t> </w:t>
      </w:r>
      <w:r>
        <w:rPr>
          <w:color w:val="0D0D0D"/>
        </w:rPr>
        <w:t>the</w:t>
      </w:r>
      <w:r>
        <w:rPr>
          <w:color w:val="0D0D0D"/>
          <w:spacing w:val="-4"/>
        </w:rPr>
        <w:t> </w:t>
      </w:r>
      <w:r>
        <w:rPr>
          <w:color w:val="0D0D0D"/>
        </w:rPr>
        <w:t>previous</w:t>
      </w:r>
      <w:r>
        <w:rPr>
          <w:color w:val="0D0D0D"/>
          <w:spacing w:val="-3"/>
        </w:rPr>
        <w:t> </w:t>
      </w:r>
      <w:r>
        <w:rPr>
          <w:color w:val="0D0D0D"/>
        </w:rPr>
        <w:t>trees using</w:t>
      </w:r>
      <w:r>
        <w:rPr>
          <w:color w:val="0D0D0D"/>
          <w:spacing w:val="-3"/>
        </w:rPr>
        <w:t> </w:t>
      </w:r>
      <w:r>
        <w:rPr>
          <w:color w:val="0D0D0D"/>
        </w:rPr>
        <w:t>a gradient</w:t>
      </w:r>
      <w:r>
        <w:rPr>
          <w:color w:val="0D0D0D"/>
          <w:spacing w:val="-4"/>
        </w:rPr>
        <w:t> </w:t>
      </w:r>
      <w:r>
        <w:rPr>
          <w:color w:val="0D0D0D"/>
        </w:rPr>
        <w:t>descent-like</w:t>
      </w:r>
      <w:r>
        <w:rPr>
          <w:color w:val="0D0D0D"/>
          <w:spacing w:val="-5"/>
        </w:rPr>
        <w:t> </w:t>
      </w:r>
      <w:r>
        <w:rPr>
          <w:color w:val="0D0D0D"/>
        </w:rPr>
        <w:t>procedure</w:t>
      </w:r>
      <w:r>
        <w:rPr>
          <w:color w:val="0D0D0D"/>
          <w:spacing w:val="-3"/>
        </w:rPr>
        <w:t> </w:t>
      </w:r>
      <w:r>
        <w:rPr>
          <w:i/>
          <w:color w:val="4471C4"/>
        </w:rPr>
        <w:t>(May.K,2022).</w:t>
      </w:r>
      <w:r>
        <w:rPr>
          <w:i/>
          <w:color w:val="4471C4"/>
          <w:spacing w:val="-3"/>
        </w:rPr>
        <w:t> </w:t>
      </w:r>
      <w:r>
        <w:rPr>
          <w:color w:val="0D0D0D"/>
        </w:rPr>
        <w:t>In</w:t>
      </w:r>
      <w:r>
        <w:rPr>
          <w:color w:val="0D0D0D"/>
          <w:spacing w:val="-3"/>
        </w:rPr>
        <w:t> </w:t>
      </w:r>
      <w:r>
        <w:rPr>
          <w:color w:val="0D0D0D"/>
        </w:rPr>
        <w:t>this</w:t>
      </w:r>
      <w:r>
        <w:rPr>
          <w:color w:val="0D0D0D"/>
          <w:spacing w:val="-4"/>
        </w:rPr>
        <w:t> </w:t>
      </w:r>
      <w:r>
        <w:rPr>
          <w:color w:val="0D0D0D"/>
        </w:rPr>
        <w:t>study,</w:t>
      </w:r>
      <w:r>
        <w:rPr>
          <w:color w:val="0D0D0D"/>
          <w:spacing w:val="-4"/>
        </w:rPr>
        <w:t> </w:t>
      </w:r>
      <w:r>
        <w:rPr>
          <w:color w:val="0D0D0D"/>
        </w:rPr>
        <w:t>XGBoost</w:t>
      </w:r>
      <w:r>
        <w:rPr>
          <w:color w:val="0D0D0D"/>
          <w:spacing w:val="-3"/>
        </w:rPr>
        <w:t> </w:t>
      </w:r>
      <w:r>
        <w:rPr>
          <w:color w:val="0D0D0D"/>
        </w:rPr>
        <w:t>classifier</w:t>
      </w:r>
      <w:r>
        <w:rPr>
          <w:color w:val="0D0D0D"/>
          <w:spacing w:val="-4"/>
        </w:rPr>
        <w:t> </w:t>
      </w:r>
      <w:r>
        <w:rPr>
          <w:color w:val="0D0D0D"/>
        </w:rPr>
        <w:t>mosel</w:t>
      </w:r>
      <w:r>
        <w:rPr>
          <w:color w:val="0D0D0D"/>
          <w:spacing w:val="-3"/>
        </w:rPr>
        <w:t> </w:t>
      </w:r>
      <w:r>
        <w:rPr>
          <w:color w:val="0D0D0D"/>
        </w:rPr>
        <w:t>has been used to select the top 25% of stocks with the highest Sharpe ratio, lowest Mean Absolute Percentage Error (MAPE), and lowest Root Mean Squared Error (RMSE) with accuracy of 73.42,.The model is trained using historical stock data and subsequently evaluated for its accuracy in prediction.</w:t>
      </w:r>
    </w:p>
    <w:p>
      <w:pPr>
        <w:pStyle w:val="BodyText"/>
        <w:spacing w:before="1"/>
      </w:pPr>
    </w:p>
    <w:p>
      <w:pPr>
        <w:pStyle w:val="Heading2"/>
      </w:pPr>
      <w:r>
        <w:rPr>
          <w:color w:val="0D0D0D"/>
        </w:rPr>
        <w:t>Mean</w:t>
      </w:r>
      <w:r>
        <w:rPr>
          <w:color w:val="0D0D0D"/>
          <w:spacing w:val="-3"/>
        </w:rPr>
        <w:t> </w:t>
      </w:r>
      <w:r>
        <w:rPr>
          <w:color w:val="0D0D0D"/>
        </w:rPr>
        <w:t>Variance</w:t>
      </w:r>
      <w:r>
        <w:rPr>
          <w:color w:val="0D0D0D"/>
          <w:spacing w:val="-2"/>
        </w:rPr>
        <w:t> Optimisation</w:t>
      </w:r>
    </w:p>
    <w:p>
      <w:pPr>
        <w:pStyle w:val="BodyText"/>
        <w:rPr>
          <w:b/>
        </w:rPr>
      </w:pPr>
    </w:p>
    <w:p>
      <w:pPr>
        <w:pStyle w:val="BodyText"/>
        <w:ind w:left="1015" w:right="1222"/>
        <w:rPr>
          <w:i/>
        </w:rPr>
      </w:pPr>
      <w:r>
        <w:rPr>
          <w:color w:val="0D0D0D"/>
        </w:rPr>
        <w:t>Harry Markowitz introduced mean-variance optimization in 1952, forming the basis of modern portfolio theory. This theory guides investors in constructing portfolios that maximize expected returns for a given level of volatility or risk.</w:t>
      </w:r>
      <w:r>
        <w:rPr/>
        <w:t>It may be formulated as a convex</w:t>
      </w:r>
      <w:r>
        <w:rPr>
          <w:spacing w:val="-3"/>
        </w:rPr>
        <w:t> </w:t>
      </w:r>
      <w:r>
        <w:rPr/>
        <w:t>optimization</w:t>
      </w:r>
      <w:r>
        <w:rPr>
          <w:spacing w:val="-3"/>
        </w:rPr>
        <w:t> </w:t>
      </w:r>
      <w:r>
        <w:rPr/>
        <w:t>problem</w:t>
      </w:r>
      <w:r>
        <w:rPr>
          <w:spacing w:val="-3"/>
        </w:rPr>
        <w:t> </w:t>
      </w:r>
      <w:r>
        <w:rPr/>
        <w:t>that</w:t>
      </w:r>
      <w:r>
        <w:rPr>
          <w:spacing w:val="-3"/>
        </w:rPr>
        <w:t> </w:t>
      </w:r>
      <w:r>
        <w:rPr/>
        <w:t>can</w:t>
      </w:r>
      <w:r>
        <w:rPr>
          <w:spacing w:val="-3"/>
        </w:rPr>
        <w:t> </w:t>
      </w:r>
      <w:r>
        <w:rPr/>
        <w:t>be</w:t>
      </w:r>
      <w:r>
        <w:rPr>
          <w:spacing w:val="-4"/>
        </w:rPr>
        <w:t> </w:t>
      </w:r>
      <w:r>
        <w:rPr/>
        <w:t>solved</w:t>
      </w:r>
      <w:r>
        <w:rPr>
          <w:spacing w:val="-1"/>
        </w:rPr>
        <w:t> </w:t>
      </w:r>
      <w:r>
        <w:rPr/>
        <w:t>analytically. </w:t>
      </w:r>
      <w:r>
        <w:rPr>
          <w:i/>
          <w:color w:val="4471C4"/>
        </w:rPr>
        <w:t>(Lop´ez</w:t>
      </w:r>
      <w:r>
        <w:rPr>
          <w:i/>
          <w:color w:val="4471C4"/>
          <w:spacing w:val="-3"/>
        </w:rPr>
        <w:t> </w:t>
      </w:r>
      <w:r>
        <w:rPr>
          <w:i/>
          <w:color w:val="4471C4"/>
        </w:rPr>
        <w:t>de</w:t>
      </w:r>
      <w:r>
        <w:rPr>
          <w:i/>
          <w:color w:val="4471C4"/>
          <w:spacing w:val="-4"/>
        </w:rPr>
        <w:t> </w:t>
      </w:r>
      <w:r>
        <w:rPr>
          <w:i/>
          <w:color w:val="4471C4"/>
        </w:rPr>
        <w:t>Prado,</w:t>
      </w:r>
      <w:r>
        <w:rPr>
          <w:i/>
          <w:color w:val="4471C4"/>
          <w:spacing w:val="-3"/>
        </w:rPr>
        <w:t> </w:t>
      </w:r>
      <w:r>
        <w:rPr>
          <w:i/>
          <w:color w:val="4471C4"/>
        </w:rPr>
        <w:t>2016,</w:t>
      </w:r>
      <w:r>
        <w:rPr>
          <w:i/>
          <w:color w:val="4471C4"/>
          <w:spacing w:val="-3"/>
        </w:rPr>
        <w:t> </w:t>
      </w:r>
      <w:r>
        <w:rPr>
          <w:i/>
          <w:color w:val="4471C4"/>
        </w:rPr>
        <w:t>2019).</w:t>
      </w:r>
    </w:p>
    <w:p>
      <w:pPr>
        <w:pStyle w:val="BodyText"/>
        <w:rPr>
          <w:i/>
        </w:rPr>
      </w:pPr>
    </w:p>
    <w:p>
      <w:pPr>
        <w:pStyle w:val="BodyText"/>
        <w:ind w:left="1015" w:right="1260"/>
      </w:pPr>
      <w:r>
        <w:rPr>
          <w:color w:val="0D0D0D"/>
        </w:rPr>
        <w:t>The goal here is to find the optimal portfolio that maximizes utility. The process begins by assuming</w:t>
      </w:r>
      <w:r>
        <w:rPr>
          <w:color w:val="0D0D0D"/>
          <w:spacing w:val="-3"/>
        </w:rPr>
        <w:t> </w:t>
      </w:r>
      <w:r>
        <w:rPr>
          <w:color w:val="0D0D0D"/>
        </w:rPr>
        <w:t>a</w:t>
      </w:r>
      <w:r>
        <w:rPr>
          <w:color w:val="0D0D0D"/>
          <w:spacing w:val="-3"/>
        </w:rPr>
        <w:t> </w:t>
      </w:r>
      <w:r>
        <w:rPr>
          <w:color w:val="0D0D0D"/>
        </w:rPr>
        <w:t>set</w:t>
      </w:r>
      <w:r>
        <w:rPr>
          <w:color w:val="0D0D0D"/>
          <w:spacing w:val="-3"/>
        </w:rPr>
        <w:t> </w:t>
      </w:r>
      <w:r>
        <w:rPr>
          <w:color w:val="0D0D0D"/>
        </w:rPr>
        <w:t>of</w:t>
      </w:r>
      <w:r>
        <w:rPr>
          <w:color w:val="0D0D0D"/>
          <w:spacing w:val="-3"/>
        </w:rPr>
        <w:t> </w:t>
      </w:r>
      <w:r>
        <w:rPr>
          <w:color w:val="0D0D0D"/>
        </w:rPr>
        <w:t>weights</w:t>
      </w:r>
      <w:r>
        <w:rPr>
          <w:color w:val="0D0D0D"/>
          <w:spacing w:val="-3"/>
        </w:rPr>
        <w:t> </w:t>
      </w:r>
      <w:r>
        <w:rPr>
          <w:color w:val="0D0D0D"/>
        </w:rPr>
        <w:t>that</w:t>
      </w:r>
      <w:r>
        <w:rPr>
          <w:color w:val="0D0D0D"/>
          <w:spacing w:val="-3"/>
        </w:rPr>
        <w:t> </w:t>
      </w:r>
      <w:r>
        <w:rPr>
          <w:color w:val="0D0D0D"/>
        </w:rPr>
        <w:t>produce</w:t>
      </w:r>
      <w:r>
        <w:rPr>
          <w:color w:val="0D0D0D"/>
          <w:spacing w:val="-4"/>
        </w:rPr>
        <w:t> </w:t>
      </w:r>
      <w:r>
        <w:rPr>
          <w:color w:val="0D0D0D"/>
        </w:rPr>
        <w:t>the</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calculating</w:t>
      </w:r>
      <w:r>
        <w:rPr>
          <w:color w:val="0D0D0D"/>
          <w:spacing w:val="-3"/>
        </w:rPr>
        <w:t> </w:t>
      </w:r>
      <w:r>
        <w:rPr>
          <w:color w:val="0D0D0D"/>
        </w:rPr>
        <w:t>the</w:t>
      </w:r>
      <w:r>
        <w:rPr>
          <w:color w:val="0D0D0D"/>
          <w:spacing w:val="-3"/>
        </w:rPr>
        <w:t> </w:t>
      </w:r>
      <w:r>
        <w:rPr>
          <w:color w:val="0D0D0D"/>
        </w:rPr>
        <w:t>expected</w:t>
      </w:r>
      <w:r>
        <w:rPr>
          <w:color w:val="0D0D0D"/>
          <w:spacing w:val="-3"/>
        </w:rPr>
        <w:t> </w:t>
      </w:r>
      <w:r>
        <w:rPr>
          <w:color w:val="0D0D0D"/>
        </w:rPr>
        <w:t>return</w:t>
      </w:r>
      <w:r>
        <w:rPr>
          <w:color w:val="0D0D0D"/>
          <w:spacing w:val="-3"/>
        </w:rPr>
        <w:t> </w:t>
      </w:r>
      <w:r>
        <w:rPr>
          <w:color w:val="0D0D0D"/>
        </w:rPr>
        <w:t>and risk of this portfolio.</w:t>
      </w:r>
    </w:p>
    <w:p>
      <w:pPr>
        <w:pStyle w:val="BodyText"/>
        <w:ind w:left="1015" w:right="1260"/>
      </w:pPr>
      <w:r>
        <w:rPr>
          <w:color w:val="0D0D0D"/>
        </w:rPr>
        <w:t>Total</w:t>
      </w:r>
      <w:r>
        <w:rPr>
          <w:color w:val="0D0D0D"/>
          <w:spacing w:val="-3"/>
        </w:rPr>
        <w:t> </w:t>
      </w:r>
      <w:r>
        <w:rPr>
          <w:color w:val="0D0D0D"/>
        </w:rPr>
        <w:t>utility</w:t>
      </w:r>
      <w:r>
        <w:rPr>
          <w:color w:val="0D0D0D"/>
          <w:spacing w:val="-3"/>
        </w:rPr>
        <w:t> </w:t>
      </w:r>
      <w:r>
        <w:rPr>
          <w:color w:val="0D0D0D"/>
        </w:rPr>
        <w:t>can</w:t>
      </w:r>
      <w:r>
        <w:rPr>
          <w:color w:val="0D0D0D"/>
          <w:spacing w:val="-3"/>
        </w:rPr>
        <w:t> </w:t>
      </w:r>
      <w:r>
        <w:rPr>
          <w:color w:val="0D0D0D"/>
        </w:rPr>
        <w:t>be</w:t>
      </w:r>
      <w:r>
        <w:rPr>
          <w:color w:val="0D0D0D"/>
          <w:spacing w:val="-4"/>
        </w:rPr>
        <w:t> </w:t>
      </w:r>
      <w:r>
        <w:rPr>
          <w:color w:val="0D0D0D"/>
        </w:rPr>
        <w:t>calculated</w:t>
      </w:r>
      <w:r>
        <w:rPr>
          <w:color w:val="0D0D0D"/>
          <w:spacing w:val="-3"/>
        </w:rPr>
        <w:t> </w:t>
      </w:r>
      <w:r>
        <w:rPr>
          <w:color w:val="0D0D0D"/>
        </w:rPr>
        <w:t>by</w:t>
      </w:r>
      <w:r>
        <w:rPr>
          <w:color w:val="0D0D0D"/>
          <w:spacing w:val="-3"/>
        </w:rPr>
        <w:t> </w:t>
      </w:r>
      <w:r>
        <w:rPr>
          <w:color w:val="0D0D0D"/>
        </w:rPr>
        <w:t>multiplying</w:t>
      </w:r>
      <w:r>
        <w:rPr>
          <w:color w:val="0D0D0D"/>
          <w:spacing w:val="-3"/>
        </w:rPr>
        <w:t> </w:t>
      </w:r>
      <w:r>
        <w:rPr>
          <w:color w:val="0D0D0D"/>
        </w:rPr>
        <w:t>the</w:t>
      </w:r>
      <w:r>
        <w:rPr>
          <w:color w:val="0D0D0D"/>
          <w:spacing w:val="-4"/>
        </w:rPr>
        <w:t> </w:t>
      </w:r>
      <w:r>
        <w:rPr>
          <w:color w:val="0D0D0D"/>
        </w:rPr>
        <w:t>probability</w:t>
      </w:r>
      <w:r>
        <w:rPr>
          <w:color w:val="0D0D0D"/>
          <w:spacing w:val="-3"/>
        </w:rPr>
        <w:t> </w:t>
      </w:r>
      <w:r>
        <w:rPr>
          <w:color w:val="0D0D0D"/>
        </w:rPr>
        <w:t>of</w:t>
      </w:r>
      <w:r>
        <w:rPr>
          <w:color w:val="0D0D0D"/>
          <w:spacing w:val="-3"/>
        </w:rPr>
        <w:t> </w:t>
      </w:r>
      <w:r>
        <w:rPr>
          <w:color w:val="0D0D0D"/>
        </w:rPr>
        <w:t>discrete</w:t>
      </w:r>
      <w:r>
        <w:rPr>
          <w:color w:val="0D0D0D"/>
          <w:spacing w:val="-3"/>
        </w:rPr>
        <w:t> </w:t>
      </w:r>
      <w:r>
        <w:rPr>
          <w:color w:val="0D0D0D"/>
        </w:rPr>
        <w:t>returns</w:t>
      </w:r>
      <w:r>
        <w:rPr>
          <w:color w:val="0D0D0D"/>
          <w:spacing w:val="-3"/>
        </w:rPr>
        <w:t> </w:t>
      </w:r>
      <w:r>
        <w:rPr>
          <w:color w:val="0D0D0D"/>
        </w:rPr>
        <w:t>by</w:t>
      </w:r>
      <w:r>
        <w:rPr>
          <w:color w:val="0D0D0D"/>
          <w:spacing w:val="-3"/>
        </w:rPr>
        <w:t> </w:t>
      </w:r>
      <w:r>
        <w:rPr>
          <w:color w:val="0D0D0D"/>
        </w:rPr>
        <w:t>their respective utility values.</w:t>
      </w:r>
    </w:p>
    <w:p>
      <w:pPr>
        <w:pStyle w:val="BodyText"/>
        <w:ind w:left="1015" w:right="1222"/>
        <w:rPr>
          <w:i/>
        </w:rPr>
      </w:pPr>
      <w:r>
        <w:rPr>
          <w:color w:val="0D0D0D"/>
        </w:rPr>
        <w:t>The optimal portfolio is the one which maximizes utility and at the same time maximize its expected</w:t>
      </w:r>
      <w:r>
        <w:rPr>
          <w:color w:val="0D0D0D"/>
          <w:spacing w:val="-2"/>
        </w:rPr>
        <w:t> </w:t>
      </w:r>
      <w:r>
        <w:rPr>
          <w:color w:val="0D0D0D"/>
        </w:rPr>
        <w:t>return</w:t>
      </w:r>
      <w:r>
        <w:rPr>
          <w:color w:val="0D0D0D"/>
          <w:spacing w:val="-3"/>
        </w:rPr>
        <w:t> </w:t>
      </w:r>
      <w:r>
        <w:rPr>
          <w:color w:val="0D0D0D"/>
        </w:rPr>
        <w:t>minus</w:t>
      </w:r>
      <w:r>
        <w:rPr>
          <w:color w:val="0D0D0D"/>
          <w:spacing w:val="-4"/>
        </w:rPr>
        <w:t> </w:t>
      </w:r>
      <w:r>
        <w:rPr>
          <w:color w:val="0D0D0D"/>
        </w:rPr>
        <w:t>λ</w:t>
      </w:r>
      <w:r>
        <w:rPr>
          <w:color w:val="0D0D0D"/>
          <w:spacing w:val="-2"/>
        </w:rPr>
        <w:t> </w:t>
      </w:r>
      <w:r>
        <w:rPr>
          <w:color w:val="0D0D0D"/>
        </w:rPr>
        <w:t>times</w:t>
      </w:r>
      <w:r>
        <w:rPr>
          <w:color w:val="0D0D0D"/>
          <w:spacing w:val="-4"/>
        </w:rPr>
        <w:t> </w:t>
      </w:r>
      <w:r>
        <w:rPr>
          <w:color w:val="0D0D0D"/>
        </w:rPr>
        <w:t>the</w:t>
      </w:r>
      <w:r>
        <w:rPr>
          <w:color w:val="0D0D0D"/>
          <w:spacing w:val="-4"/>
        </w:rPr>
        <w:t> </w:t>
      </w:r>
      <w:r>
        <w:rPr>
          <w:color w:val="0D0D0D"/>
        </w:rPr>
        <w:t>variance</w:t>
      </w:r>
      <w:r>
        <w:rPr>
          <w:color w:val="0D0D0D"/>
          <w:spacing w:val="-4"/>
        </w:rPr>
        <w:t> </w:t>
      </w:r>
      <w:r>
        <w:rPr>
          <w:color w:val="0D0D0D"/>
        </w:rPr>
        <w:t>.Markowitz</w:t>
      </w:r>
      <w:r>
        <w:rPr>
          <w:color w:val="0D0D0D"/>
          <w:spacing w:val="-3"/>
        </w:rPr>
        <w:t> </w:t>
      </w:r>
      <w:r>
        <w:rPr>
          <w:color w:val="0D0D0D"/>
        </w:rPr>
        <w:t>analysed</w:t>
      </w:r>
      <w:r>
        <w:rPr>
          <w:color w:val="0D0D0D"/>
          <w:spacing w:val="-3"/>
        </w:rPr>
        <w:t> </w:t>
      </w:r>
      <w:r>
        <w:rPr>
          <w:color w:val="0D0D0D"/>
        </w:rPr>
        <w:t>for</w:t>
      </w:r>
      <w:r>
        <w:rPr>
          <w:color w:val="0D0D0D"/>
          <w:spacing w:val="-3"/>
        </w:rPr>
        <w:t> </w:t>
      </w:r>
      <w:r>
        <w:rPr>
          <w:color w:val="0D0D0D"/>
        </w:rPr>
        <w:t>various</w:t>
      </w:r>
      <w:r>
        <w:rPr>
          <w:color w:val="0D0D0D"/>
          <w:spacing w:val="-1"/>
        </w:rPr>
        <w:t> </w:t>
      </w:r>
      <w:r>
        <w:rPr>
          <w:color w:val="0D0D0D"/>
        </w:rPr>
        <w:t>levels</w:t>
      </w:r>
      <w:r>
        <w:rPr>
          <w:color w:val="0D0D0D"/>
          <w:spacing w:val="-4"/>
        </w:rPr>
        <w:t> </w:t>
      </w:r>
      <w:r>
        <w:rPr>
          <w:color w:val="0D0D0D"/>
        </w:rPr>
        <w:t>of</w:t>
      </w:r>
      <w:r>
        <w:rPr>
          <w:color w:val="0D0D0D"/>
          <w:spacing w:val="-3"/>
        </w:rPr>
        <w:t> </w:t>
      </w:r>
      <w:r>
        <w:rPr>
          <w:color w:val="0D0D0D"/>
        </w:rPr>
        <w:t>the</w:t>
      </w:r>
      <w:r>
        <w:rPr>
          <w:color w:val="0D0D0D"/>
          <w:spacing w:val="-3"/>
        </w:rPr>
        <w:t> </w:t>
      </w:r>
      <w:r>
        <w:rPr>
          <w:color w:val="0D0D0D"/>
        </w:rPr>
        <w:t>risk aversion coefficient to trace out the efficient portfolio Frontier. </w:t>
      </w:r>
      <w:r>
        <w:rPr>
          <w:i/>
          <w:color w:val="4471C4"/>
        </w:rPr>
        <w:t>(Uysal.E.,et al,2001)</w:t>
      </w:r>
    </w:p>
    <w:p>
      <w:pPr>
        <w:pStyle w:val="BodyText"/>
        <w:rPr>
          <w:i/>
        </w:rPr>
      </w:pPr>
    </w:p>
    <w:p>
      <w:pPr>
        <w:pStyle w:val="Heading2"/>
      </w:pPr>
      <w:r>
        <w:rPr>
          <w:color w:val="0D0D0D"/>
        </w:rPr>
        <w:t>Monte</w:t>
      </w:r>
      <w:r>
        <w:rPr>
          <w:color w:val="0D0D0D"/>
          <w:spacing w:val="-4"/>
        </w:rPr>
        <w:t> </w:t>
      </w:r>
      <w:r>
        <w:rPr>
          <w:color w:val="0D0D0D"/>
        </w:rPr>
        <w:t>Carlo</w:t>
      </w:r>
      <w:r>
        <w:rPr>
          <w:color w:val="0D0D0D"/>
          <w:spacing w:val="1"/>
        </w:rPr>
        <w:t> </w:t>
      </w:r>
      <w:r>
        <w:rPr>
          <w:color w:val="0D0D0D"/>
          <w:spacing w:val="-2"/>
        </w:rPr>
        <w:t>Method</w:t>
      </w:r>
    </w:p>
    <w:p>
      <w:pPr>
        <w:pStyle w:val="BodyText"/>
        <w:spacing w:before="1"/>
        <w:ind w:left="1015" w:right="1174"/>
      </w:pPr>
      <w:r>
        <w:rPr>
          <w:color w:val="0D0D0D"/>
        </w:rPr>
        <w:t>The Monte Carlo method generates a large number of random results to compare them and obtain</w:t>
      </w:r>
      <w:r>
        <w:rPr>
          <w:color w:val="0D0D0D"/>
          <w:spacing w:val="-3"/>
        </w:rPr>
        <w:t> </w:t>
      </w:r>
      <w:r>
        <w:rPr>
          <w:color w:val="0D0D0D"/>
        </w:rPr>
        <w:t>the</w:t>
      </w:r>
      <w:r>
        <w:rPr>
          <w:color w:val="0D0D0D"/>
          <w:spacing w:val="-3"/>
        </w:rPr>
        <w:t> </w:t>
      </w:r>
      <w:r>
        <w:rPr>
          <w:color w:val="0D0D0D"/>
        </w:rPr>
        <w:t>most</w:t>
      </w:r>
      <w:r>
        <w:rPr>
          <w:color w:val="0D0D0D"/>
          <w:spacing w:val="-3"/>
        </w:rPr>
        <w:t> </w:t>
      </w:r>
      <w:r>
        <w:rPr>
          <w:color w:val="0D0D0D"/>
        </w:rPr>
        <w:t>appropriate</w:t>
      </w:r>
      <w:r>
        <w:rPr>
          <w:color w:val="0D0D0D"/>
          <w:spacing w:val="-3"/>
        </w:rPr>
        <w:t> </w:t>
      </w:r>
      <w:r>
        <w:rPr>
          <w:color w:val="0D0D0D"/>
        </w:rPr>
        <w:t>solution</w:t>
      </w:r>
      <w:r>
        <w:rPr>
          <w:i/>
          <w:color w:val="4471C4"/>
        </w:rPr>
        <w:t>(Wang.M,</w:t>
      </w:r>
      <w:r>
        <w:rPr>
          <w:i/>
          <w:color w:val="4471C4"/>
          <w:spacing w:val="-3"/>
        </w:rPr>
        <w:t> </w:t>
      </w:r>
      <w:r>
        <w:rPr>
          <w:i/>
          <w:color w:val="4471C4"/>
        </w:rPr>
        <w:t>2022)</w:t>
      </w:r>
      <w:r>
        <w:rPr>
          <w:color w:val="0D0D0D"/>
        </w:rPr>
        <w:t>.</w:t>
      </w:r>
      <w:r>
        <w:rPr>
          <w:color w:val="0D0D0D"/>
          <w:spacing w:val="-3"/>
        </w:rPr>
        <w:t> </w:t>
      </w:r>
      <w:r>
        <w:rPr>
          <w:color w:val="0D0D0D"/>
        </w:rPr>
        <w:t>Here,</w:t>
      </w:r>
      <w:r>
        <w:rPr>
          <w:color w:val="0D0D0D"/>
          <w:spacing w:val="-3"/>
        </w:rPr>
        <w:t> </w:t>
      </w:r>
      <w:r>
        <w:rPr>
          <w:color w:val="0D0D0D"/>
        </w:rPr>
        <w:t>this</w:t>
      </w:r>
      <w:r>
        <w:rPr>
          <w:color w:val="0D0D0D"/>
          <w:spacing w:val="-3"/>
        </w:rPr>
        <w:t> </w:t>
      </w:r>
      <w:r>
        <w:rPr>
          <w:color w:val="0D0D0D"/>
        </w:rPr>
        <w:t>simulation</w:t>
      </w:r>
      <w:r>
        <w:rPr>
          <w:color w:val="0D0D0D"/>
          <w:spacing w:val="-6"/>
        </w:rPr>
        <w:t> </w:t>
      </w:r>
      <w:r>
        <w:rPr>
          <w:color w:val="0D0D0D"/>
        </w:rPr>
        <w:t>is</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generate random portfolios, which are then plotted on the mean-variance efficient frontier. Here this stimulation is</w:t>
      </w:r>
      <w:r>
        <w:rPr>
          <w:color w:val="0D0D0D"/>
          <w:spacing w:val="40"/>
        </w:rPr>
        <w:t> </w:t>
      </w:r>
      <w:r>
        <w:rPr>
          <w:color w:val="0D0D0D"/>
        </w:rPr>
        <w:t>used to generate random portfolios which are then</w:t>
      </w:r>
      <w:r>
        <w:rPr>
          <w:color w:val="0D0D0D"/>
          <w:spacing w:val="40"/>
        </w:rPr>
        <w:t> </w:t>
      </w:r>
      <w:r>
        <w:rPr>
          <w:color w:val="0D0D0D"/>
        </w:rPr>
        <w:t>plotted on the mean variance efficient frontier.</w:t>
      </w:r>
    </w:p>
    <w:p>
      <w:pPr>
        <w:pStyle w:val="Heading2"/>
        <w:spacing w:before="276"/>
      </w:pPr>
      <w:r>
        <w:rPr>
          <w:color w:val="0D0D0D"/>
        </w:rPr>
        <w:t>Agglomerative</w:t>
      </w:r>
      <w:r>
        <w:rPr>
          <w:color w:val="0D0D0D"/>
          <w:spacing w:val="-3"/>
        </w:rPr>
        <w:t> </w:t>
      </w:r>
      <w:r>
        <w:rPr>
          <w:color w:val="0D0D0D"/>
        </w:rPr>
        <w:t>Hierarchical </w:t>
      </w:r>
      <w:r>
        <w:rPr>
          <w:color w:val="0D0D0D"/>
          <w:spacing w:val="-2"/>
        </w:rPr>
        <w:t>clustering</w:t>
      </w:r>
    </w:p>
    <w:p>
      <w:pPr>
        <w:pStyle w:val="BodyText"/>
        <w:rPr>
          <w:b/>
        </w:rPr>
      </w:pPr>
    </w:p>
    <w:p>
      <w:pPr>
        <w:pStyle w:val="BodyText"/>
        <w:ind w:left="1015" w:right="1174" w:firstLine="165"/>
        <w:rPr>
          <w:i/>
        </w:rPr>
      </w:pPr>
      <w:r>
        <w:rPr>
          <w:color w:val="0D0D0D"/>
        </w:rPr>
        <w:t>Hierarchical</w:t>
      </w:r>
      <w:r>
        <w:rPr>
          <w:color w:val="0D0D0D"/>
          <w:spacing w:val="-3"/>
        </w:rPr>
        <w:t> </w:t>
      </w:r>
      <w:r>
        <w:rPr>
          <w:color w:val="0D0D0D"/>
        </w:rPr>
        <w:t>clustering</w:t>
      </w:r>
      <w:r>
        <w:rPr>
          <w:color w:val="0D0D0D"/>
          <w:spacing w:val="-2"/>
        </w:rPr>
        <w:t> </w:t>
      </w:r>
      <w:r>
        <w:rPr>
          <w:color w:val="0D0D0D"/>
        </w:rPr>
        <w:t>is</w:t>
      </w:r>
      <w:r>
        <w:rPr>
          <w:color w:val="0D0D0D"/>
          <w:spacing w:val="-3"/>
        </w:rPr>
        <w:t> </w:t>
      </w:r>
      <w:r>
        <w:rPr>
          <w:color w:val="0D0D0D"/>
        </w:rPr>
        <w:t>a</w:t>
      </w:r>
      <w:r>
        <w:rPr>
          <w:color w:val="0D0D0D"/>
          <w:spacing w:val="-3"/>
        </w:rPr>
        <w:t> </w:t>
      </w:r>
      <w:r>
        <w:rPr>
          <w:color w:val="0D0D0D"/>
        </w:rPr>
        <w:t>form</w:t>
      </w:r>
      <w:r>
        <w:rPr>
          <w:color w:val="0D0D0D"/>
          <w:spacing w:val="-3"/>
        </w:rPr>
        <w:t> </w:t>
      </w:r>
      <w:r>
        <w:rPr>
          <w:color w:val="0D0D0D"/>
        </w:rPr>
        <w:t>of</w:t>
      </w:r>
      <w:r>
        <w:rPr>
          <w:color w:val="0D0D0D"/>
          <w:spacing w:val="-3"/>
        </w:rPr>
        <w:t> </w:t>
      </w:r>
      <w:r>
        <w:rPr>
          <w:color w:val="0D0D0D"/>
        </w:rPr>
        <w:t>grouping</w:t>
      </w:r>
      <w:r>
        <w:rPr>
          <w:color w:val="0D0D0D"/>
          <w:spacing w:val="-3"/>
        </w:rPr>
        <w:t> </w:t>
      </w:r>
      <w:r>
        <w:rPr>
          <w:color w:val="0D0D0D"/>
        </w:rPr>
        <w:t>algorithm,</w:t>
      </w:r>
      <w:r>
        <w:rPr>
          <w:color w:val="0D0D0D"/>
          <w:spacing w:val="-3"/>
        </w:rPr>
        <w:t> </w:t>
      </w:r>
      <w:r>
        <w:rPr>
          <w:color w:val="0D0D0D"/>
        </w:rPr>
        <w:t>where</w:t>
      </w:r>
      <w:r>
        <w:rPr>
          <w:color w:val="0D0D0D"/>
          <w:spacing w:val="-4"/>
        </w:rPr>
        <w:t> </w:t>
      </w:r>
      <w:r>
        <w:rPr>
          <w:color w:val="0D0D0D"/>
        </w:rPr>
        <w:t>a</w:t>
      </w:r>
      <w:r>
        <w:rPr>
          <w:color w:val="0D0D0D"/>
          <w:spacing w:val="-3"/>
        </w:rPr>
        <w:t> </w:t>
      </w:r>
      <w:r>
        <w:rPr>
          <w:color w:val="0D0D0D"/>
        </w:rPr>
        <w:t>set</w:t>
      </w:r>
      <w:r>
        <w:rPr>
          <w:color w:val="0D0D0D"/>
          <w:spacing w:val="-3"/>
        </w:rPr>
        <w:t> </w:t>
      </w:r>
      <w:r>
        <w:rPr>
          <w:color w:val="0D0D0D"/>
        </w:rPr>
        <w:t>of</w:t>
      </w:r>
      <w:r>
        <w:rPr>
          <w:color w:val="0D0D0D"/>
          <w:spacing w:val="-3"/>
        </w:rPr>
        <w:t> </w:t>
      </w:r>
      <w:r>
        <w:rPr>
          <w:color w:val="0D0D0D"/>
        </w:rPr>
        <w:t>data</w:t>
      </w:r>
      <w:r>
        <w:rPr>
          <w:color w:val="0D0D0D"/>
          <w:spacing w:val="-3"/>
        </w:rPr>
        <w:t> </w:t>
      </w:r>
      <w:r>
        <w:rPr>
          <w:color w:val="0D0D0D"/>
        </w:rPr>
        <w:t>points</w:t>
      </w:r>
      <w:r>
        <w:rPr>
          <w:color w:val="0D0D0D"/>
          <w:spacing w:val="-3"/>
        </w:rPr>
        <w:t> </w:t>
      </w:r>
      <w:r>
        <w:rPr>
          <w:color w:val="0D0D0D"/>
        </w:rPr>
        <w:t>is</w:t>
      </w:r>
      <w:r>
        <w:rPr>
          <w:color w:val="0D0D0D"/>
          <w:spacing w:val="-3"/>
        </w:rPr>
        <w:t> </w:t>
      </w:r>
      <w:r>
        <w:rPr>
          <w:color w:val="0D0D0D"/>
        </w:rPr>
        <w:t>divided into subsets or clusters. Assets within one cluster should be as similar as possible and different from assets within all other clusters. Agglomerative clustering who is the more common one, known as AGNES starts with all assets as single element clusters and then merge clusters until all assets are in the same cluster. The hierarchical clustering algorithm AGNES finds recursively nested clusters, resulting in a tree based representation called dendrogram.</w:t>
      </w:r>
      <w:r>
        <w:rPr>
          <w:i/>
          <w:color w:val="4471C4"/>
        </w:rPr>
        <w:t>(Eidenvall, A,. 2021)</w:t>
      </w:r>
    </w:p>
    <w:p>
      <w:pPr>
        <w:pStyle w:val="BodyText"/>
        <w:spacing w:before="228"/>
        <w:ind w:left="1015" w:right="1260"/>
      </w:pPr>
      <w:r>
        <w:rPr/>
        <w:t>Suppose</w:t>
      </w:r>
      <w:r>
        <w:rPr>
          <w:spacing w:val="-3"/>
        </w:rPr>
        <w:t> </w:t>
      </w:r>
      <w:r>
        <w:rPr/>
        <w:t>we</w:t>
      </w:r>
      <w:r>
        <w:rPr>
          <w:spacing w:val="-4"/>
        </w:rPr>
        <w:t> </w:t>
      </w:r>
      <w:r>
        <w:rPr/>
        <w:t>have</w:t>
      </w:r>
      <w:r>
        <w:rPr>
          <w:spacing w:val="-3"/>
        </w:rPr>
        <w:t> </w:t>
      </w:r>
      <w:r>
        <w:rPr/>
        <w:t>data</w:t>
      </w:r>
      <w:r>
        <w:rPr>
          <w:spacing w:val="-2"/>
        </w:rPr>
        <w:t> </w:t>
      </w:r>
      <w:r>
        <w:rPr/>
        <w:t>with</w:t>
      </w:r>
      <w:r>
        <w:rPr>
          <w:spacing w:val="-2"/>
        </w:rPr>
        <w:t> </w:t>
      </w:r>
      <w:r>
        <w:rPr/>
        <w:t>k</w:t>
      </w:r>
      <w:r>
        <w:rPr>
          <w:spacing w:val="-2"/>
        </w:rPr>
        <w:t> </w:t>
      </w:r>
      <w:r>
        <w:rPr/>
        <w:t>clusters</w:t>
      </w:r>
      <w:r>
        <w:rPr>
          <w:spacing w:val="-2"/>
        </w:rPr>
        <w:t> </w:t>
      </w:r>
      <w:r>
        <w:rPr/>
        <w:t>C1,</w:t>
      </w:r>
      <w:r>
        <w:rPr>
          <w:spacing w:val="-2"/>
        </w:rPr>
        <w:t> </w:t>
      </w:r>
      <w:r>
        <w:rPr/>
        <w:t>C2,</w:t>
      </w:r>
      <w:r>
        <w:rPr>
          <w:spacing w:val="-2"/>
        </w:rPr>
        <w:t> </w:t>
      </w:r>
      <w:r>
        <w:rPr/>
        <w:t>...,</w:t>
      </w:r>
      <w:r>
        <w:rPr>
          <w:spacing w:val="-2"/>
        </w:rPr>
        <w:t> </w:t>
      </w:r>
      <w:r>
        <w:rPr/>
        <w:t>Ck.</w:t>
      </w:r>
      <w:r>
        <w:rPr>
          <w:spacing w:val="-2"/>
        </w:rPr>
        <w:t> </w:t>
      </w:r>
      <w:r>
        <w:rPr/>
        <w:t>Cr</w:t>
      </w:r>
      <w:r>
        <w:rPr>
          <w:spacing w:val="-2"/>
        </w:rPr>
        <w:t> </w:t>
      </w:r>
      <w:r>
        <w:rPr/>
        <w:t>denoting</w:t>
      </w:r>
      <w:r>
        <w:rPr>
          <w:spacing w:val="-2"/>
        </w:rPr>
        <w:t> </w:t>
      </w:r>
      <w:r>
        <w:rPr/>
        <w:t>the</w:t>
      </w:r>
      <w:r>
        <w:rPr>
          <w:spacing w:val="-2"/>
        </w:rPr>
        <w:t> </w:t>
      </w:r>
      <w:r>
        <w:rPr/>
        <w:t>indices</w:t>
      </w:r>
      <w:r>
        <w:rPr>
          <w:spacing w:val="-2"/>
        </w:rPr>
        <w:t> </w:t>
      </w:r>
      <w:r>
        <w:rPr/>
        <w:t>of</w:t>
      </w:r>
      <w:r>
        <w:rPr>
          <w:spacing w:val="-2"/>
        </w:rPr>
        <w:t> </w:t>
      </w:r>
      <w:r>
        <w:rPr/>
        <w:t>observations in cluster r and the sum of pairwise distances Dr for cluster Cr, given by,</w:t>
      </w:r>
    </w:p>
    <w:p>
      <w:pPr>
        <w:pStyle w:val="BodyText"/>
        <w:spacing w:after="0"/>
        <w:sectPr>
          <w:pgSz w:w="11910" w:h="16840"/>
          <w:pgMar w:top="1920" w:bottom="280" w:left="425" w:right="283"/>
        </w:sectPr>
      </w:pPr>
    </w:p>
    <w:p>
      <w:pPr>
        <w:pStyle w:val="BodyText"/>
        <w:ind w:left="4094"/>
        <w:rPr>
          <w:sz w:val="20"/>
        </w:rPr>
      </w:pPr>
      <w:r>
        <w:rPr>
          <w:sz w:val="20"/>
        </w:rPr>
        <w:drawing>
          <wp:inline distT="0" distB="0" distL="0" distR="0">
            <wp:extent cx="1220535" cy="440340"/>
            <wp:effectExtent l="0" t="0" r="0" b="0"/>
            <wp:docPr id="2" name="Image 2" descr="A black symbol with black text  Description automatically generated with medium confidence"/>
            <wp:cNvGraphicFramePr>
              <a:graphicFrameLocks/>
            </wp:cNvGraphicFramePr>
            <a:graphic>
              <a:graphicData uri="http://schemas.openxmlformats.org/drawingml/2006/picture">
                <pic:pic>
                  <pic:nvPicPr>
                    <pic:cNvPr id="2" name="Image 2" descr="A black symbol with black text  Description automatically generated with medium confidence"/>
                    <pic:cNvPicPr/>
                  </pic:nvPicPr>
                  <pic:blipFill>
                    <a:blip r:embed="rId6" cstate="print"/>
                    <a:stretch>
                      <a:fillRect/>
                    </a:stretch>
                  </pic:blipFill>
                  <pic:spPr>
                    <a:xfrm>
                      <a:off x="0" y="0"/>
                      <a:ext cx="1220535" cy="440340"/>
                    </a:xfrm>
                    <a:prstGeom prst="rect">
                      <a:avLst/>
                    </a:prstGeom>
                  </pic:spPr>
                </pic:pic>
              </a:graphicData>
            </a:graphic>
          </wp:inline>
        </w:drawing>
      </w:r>
      <w:r>
        <w:rPr>
          <w:sz w:val="20"/>
        </w:rPr>
      </w:r>
    </w:p>
    <w:p>
      <w:pPr>
        <w:pStyle w:val="BodyText"/>
        <w:spacing w:before="165"/>
        <w:ind w:left="1015" w:right="1260"/>
      </w:pPr>
      <w:r>
        <w:rPr/>
        <w:t>Where di,j is the Euclidean distance between data points i and j. Based on Dr, the cluster inertia</w:t>
      </w:r>
      <w:r>
        <w:rPr>
          <w:spacing w:val="-4"/>
        </w:rPr>
        <w:t> </w:t>
      </w:r>
      <w:r>
        <w:rPr/>
        <w:t>Wk</w:t>
      </w:r>
      <w:r>
        <w:rPr>
          <w:spacing w:val="-3"/>
        </w:rPr>
        <w:t> </w:t>
      </w:r>
      <w:r>
        <w:rPr/>
        <w:t>is</w:t>
      </w:r>
      <w:r>
        <w:rPr>
          <w:spacing w:val="-3"/>
        </w:rPr>
        <w:t> </w:t>
      </w:r>
      <w:r>
        <w:rPr/>
        <w:t>then</w:t>
      </w:r>
      <w:r>
        <w:rPr>
          <w:spacing w:val="-3"/>
        </w:rPr>
        <w:t> </w:t>
      </w:r>
      <w:r>
        <w:rPr/>
        <w:t>calculated</w:t>
      </w:r>
      <w:r>
        <w:rPr>
          <w:spacing w:val="-3"/>
        </w:rPr>
        <w:t> </w:t>
      </w:r>
      <w:r>
        <w:rPr/>
        <w:t>as</w:t>
      </w:r>
      <w:r>
        <w:rPr>
          <w:spacing w:val="-3"/>
        </w:rPr>
        <w:t> </w:t>
      </w:r>
      <w:r>
        <w:rPr/>
        <w:t>the</w:t>
      </w:r>
      <w:r>
        <w:rPr>
          <w:spacing w:val="-3"/>
        </w:rPr>
        <w:t> </w:t>
      </w:r>
      <w:r>
        <w:rPr/>
        <w:t>within</w:t>
      </w:r>
      <w:r>
        <w:rPr>
          <w:spacing w:val="-1"/>
        </w:rPr>
        <w:t> </w:t>
      </w:r>
      <w:r>
        <w:rPr/>
        <w:t>cluster</w:t>
      </w:r>
      <w:r>
        <w:rPr>
          <w:spacing w:val="-3"/>
        </w:rPr>
        <w:t> </w:t>
      </w:r>
      <w:r>
        <w:rPr/>
        <w:t>,</w:t>
      </w:r>
      <w:r>
        <w:rPr>
          <w:spacing w:val="-1"/>
        </w:rPr>
        <w:t> </w:t>
      </w:r>
      <w:r>
        <w:rPr/>
        <w:t>sum</w:t>
      </w:r>
      <w:r>
        <w:rPr>
          <w:spacing w:val="-3"/>
        </w:rPr>
        <w:t> </w:t>
      </w:r>
      <w:r>
        <w:rPr/>
        <w:t>of</w:t>
      </w:r>
      <w:r>
        <w:rPr>
          <w:spacing w:val="-3"/>
        </w:rPr>
        <w:t> </w:t>
      </w:r>
      <w:r>
        <w:rPr/>
        <w:t>squares</w:t>
      </w:r>
      <w:r>
        <w:rPr>
          <w:spacing w:val="-3"/>
        </w:rPr>
        <w:t> </w:t>
      </w:r>
      <w:r>
        <w:rPr/>
        <w:t>around</w:t>
      </w:r>
      <w:r>
        <w:rPr>
          <w:spacing w:val="-4"/>
        </w:rPr>
        <w:t> </w:t>
      </w:r>
      <w:r>
        <w:rPr/>
        <w:t>the</w:t>
      </w:r>
      <w:r>
        <w:rPr>
          <w:spacing w:val="-3"/>
        </w:rPr>
        <w:t> </w:t>
      </w:r>
      <w:r>
        <w:rPr/>
        <w:t>cluster</w:t>
      </w:r>
      <w:r>
        <w:rPr>
          <w:spacing w:val="-3"/>
        </w:rPr>
        <w:t> </w:t>
      </w:r>
      <w:r>
        <w:rPr/>
        <w:t>means</w:t>
      </w:r>
    </w:p>
    <w:p>
      <w:pPr>
        <w:pStyle w:val="BodyText"/>
        <w:ind w:left="4015"/>
        <w:rPr>
          <w:sz w:val="20"/>
        </w:rPr>
      </w:pPr>
      <w:r>
        <w:rPr>
          <w:sz w:val="20"/>
        </w:rPr>
        <w:drawing>
          <wp:inline distT="0" distB="0" distL="0" distR="0">
            <wp:extent cx="1110424" cy="555212"/>
            <wp:effectExtent l="0" t="0" r="0" b="0"/>
            <wp:docPr id="3" name="Image 3" descr="A black and white math equation  Description automatically generated"/>
            <wp:cNvGraphicFramePr>
              <a:graphicFrameLocks/>
            </wp:cNvGraphicFramePr>
            <a:graphic>
              <a:graphicData uri="http://schemas.openxmlformats.org/drawingml/2006/picture">
                <pic:pic>
                  <pic:nvPicPr>
                    <pic:cNvPr id="3" name="Image 3" descr="A black and white math equation  Description automatically generated"/>
                    <pic:cNvPicPr/>
                  </pic:nvPicPr>
                  <pic:blipFill>
                    <a:blip r:embed="rId7" cstate="print"/>
                    <a:stretch>
                      <a:fillRect/>
                    </a:stretch>
                  </pic:blipFill>
                  <pic:spPr>
                    <a:xfrm>
                      <a:off x="0" y="0"/>
                      <a:ext cx="1110424" cy="555212"/>
                    </a:xfrm>
                    <a:prstGeom prst="rect">
                      <a:avLst/>
                    </a:prstGeom>
                  </pic:spPr>
                </pic:pic>
              </a:graphicData>
            </a:graphic>
          </wp:inline>
        </w:drawing>
      </w:r>
      <w:r>
        <w:rPr>
          <w:sz w:val="20"/>
        </w:rPr>
      </w:r>
    </w:p>
    <w:p>
      <w:pPr>
        <w:pStyle w:val="BodyText"/>
        <w:spacing w:before="64"/>
        <w:ind w:left="1015" w:right="1222"/>
        <w:rPr>
          <w:i/>
        </w:rPr>
      </w:pPr>
      <w:r>
        <w:rPr/>
        <w:t>where nr being the number of data points in cluster r. Once the cluster inertia is calculated, the</w:t>
      </w:r>
      <w:r>
        <w:rPr>
          <w:spacing w:val="-1"/>
        </w:rPr>
        <w:t> </w:t>
      </w:r>
      <w:r>
        <w:rPr/>
        <w:t>Gap</w:t>
      </w:r>
      <w:r>
        <w:rPr>
          <w:spacing w:val="-1"/>
        </w:rPr>
        <w:t> </w:t>
      </w:r>
      <w:r>
        <w:rPr/>
        <w:t>statistic</w:t>
      </w:r>
      <w:r>
        <w:rPr>
          <w:spacing w:val="-2"/>
        </w:rPr>
        <w:t> </w:t>
      </w:r>
      <w:r>
        <w:rPr/>
        <w:t>is</w:t>
      </w:r>
      <w:r>
        <w:rPr>
          <w:spacing w:val="-1"/>
        </w:rPr>
        <w:t> </w:t>
      </w:r>
      <w:r>
        <w:rPr/>
        <w:t>given</w:t>
      </w:r>
      <w:r>
        <w:rPr>
          <w:spacing w:val="-1"/>
        </w:rPr>
        <w:t> </w:t>
      </w:r>
      <w:r>
        <w:rPr/>
        <w:t>by</w:t>
      </w:r>
      <w:r>
        <w:rPr>
          <w:spacing w:val="-1"/>
        </w:rPr>
        <w:t> </w:t>
      </w:r>
      <w:r>
        <w:rPr/>
        <w:t>the</w:t>
      </w:r>
      <w:r>
        <w:rPr>
          <w:spacing w:val="-1"/>
        </w:rPr>
        <w:t> </w:t>
      </w:r>
      <w:r>
        <w:rPr/>
        <w:t>following</w:t>
      </w:r>
      <w:r>
        <w:rPr>
          <w:spacing w:val="-1"/>
        </w:rPr>
        <w:t> </w:t>
      </w:r>
      <w:r>
        <w:rPr/>
        <w:t>equation,</w:t>
      </w:r>
      <w:r>
        <w:rPr>
          <w:spacing w:val="-1"/>
        </w:rPr>
        <w:t> </w:t>
      </w:r>
      <w:r>
        <w:rPr/>
        <w:t>where</w:t>
      </w:r>
      <w:r>
        <w:rPr>
          <w:spacing w:val="-3"/>
        </w:rPr>
        <w:t> </w:t>
      </w:r>
      <w:r>
        <w:rPr/>
        <w:t>E</w:t>
      </w:r>
      <w:r>
        <w:rPr>
          <w:rFonts w:ascii="Cambria Math" w:hAnsi="Cambria Math"/>
        </w:rPr>
        <w:t>∗ </w:t>
      </w:r>
      <w:r>
        <w:rPr/>
        <w:t>n</w:t>
      </w:r>
      <w:r>
        <w:rPr>
          <w:spacing w:val="-1"/>
        </w:rPr>
        <w:t> </w:t>
      </w:r>
      <w:r>
        <w:rPr/>
        <w:t>denotes expectation</w:t>
      </w:r>
      <w:r>
        <w:rPr>
          <w:spacing w:val="-1"/>
        </w:rPr>
        <w:t> </w:t>
      </w:r>
      <w:r>
        <w:rPr/>
        <w:t>from</w:t>
      </w:r>
      <w:r>
        <w:rPr>
          <w:spacing w:val="-1"/>
        </w:rPr>
        <w:t> </w:t>
      </w:r>
      <w:r>
        <w:rPr/>
        <w:t>the reference</w:t>
      </w:r>
      <w:r>
        <w:rPr>
          <w:spacing w:val="-4"/>
        </w:rPr>
        <w:t> </w:t>
      </w:r>
      <w:r>
        <w:rPr/>
        <w:t>distribution</w:t>
      </w:r>
      <w:r>
        <w:rPr>
          <w:spacing w:val="-3"/>
        </w:rPr>
        <w:t> </w:t>
      </w:r>
      <w:r>
        <w:rPr/>
        <w:t>based</w:t>
      </w:r>
      <w:r>
        <w:rPr>
          <w:spacing w:val="-3"/>
        </w:rPr>
        <w:t> </w:t>
      </w:r>
      <w:r>
        <w:rPr/>
        <w:t>on</w:t>
      </w:r>
      <w:r>
        <w:rPr>
          <w:spacing w:val="-3"/>
        </w:rPr>
        <w:t> </w:t>
      </w:r>
      <w:r>
        <w:rPr/>
        <w:t>n</w:t>
      </w:r>
      <w:r>
        <w:rPr>
          <w:spacing w:val="-3"/>
        </w:rPr>
        <w:t> </w:t>
      </w:r>
      <w:r>
        <w:rPr/>
        <w:t>numbers</w:t>
      </w:r>
      <w:r>
        <w:rPr>
          <w:spacing w:val="-3"/>
        </w:rPr>
        <w:t> </w:t>
      </w:r>
      <w:r>
        <w:rPr/>
        <w:t>of</w:t>
      </w:r>
      <w:r>
        <w:rPr>
          <w:spacing w:val="-3"/>
        </w:rPr>
        <w:t> </w:t>
      </w:r>
      <w:r>
        <w:rPr/>
        <w:t>samples.</w:t>
      </w:r>
      <w:r>
        <w:rPr>
          <w:spacing w:val="-3"/>
        </w:rPr>
        <w:t> </w:t>
      </w:r>
      <w:r>
        <w:rPr/>
        <w:t>The</w:t>
      </w:r>
      <w:r>
        <w:rPr>
          <w:spacing w:val="-5"/>
        </w:rPr>
        <w:t> </w:t>
      </w:r>
      <w:r>
        <w:rPr/>
        <w:t>optimal</w:t>
      </w:r>
      <w:r>
        <w:rPr>
          <w:spacing w:val="-3"/>
        </w:rPr>
        <w:t> </w:t>
      </w:r>
      <w:r>
        <w:rPr/>
        <w:t>numbers</w:t>
      </w:r>
      <w:r>
        <w:rPr>
          <w:spacing w:val="-1"/>
        </w:rPr>
        <w:t> </w:t>
      </w:r>
      <w:r>
        <w:rPr/>
        <w:t>of</w:t>
      </w:r>
      <w:r>
        <w:rPr>
          <w:spacing w:val="-3"/>
        </w:rPr>
        <w:t> </w:t>
      </w:r>
      <w:r>
        <w:rPr/>
        <w:t>clusters</w:t>
      </w:r>
      <w:r>
        <w:rPr>
          <w:spacing w:val="-3"/>
        </w:rPr>
        <w:t> </w:t>
      </w:r>
      <w:r>
        <w:rPr/>
        <w:t>k</w:t>
      </w:r>
      <w:r>
        <w:rPr>
          <w:spacing w:val="-3"/>
        </w:rPr>
        <w:t> </w:t>
      </w:r>
      <w:r>
        <w:rPr/>
        <w:t>will be the value that maximizes Gapn(k) </w:t>
      </w:r>
      <w:r>
        <w:rPr>
          <w:i/>
          <w:color w:val="4471C4"/>
        </w:rPr>
        <w:t>(Eidenvall, A,. 2021) .</w:t>
      </w:r>
    </w:p>
    <w:p>
      <w:pPr>
        <w:pStyle w:val="BodyText"/>
        <w:rPr>
          <w:i/>
          <w:sz w:val="20"/>
        </w:rPr>
      </w:pPr>
    </w:p>
    <w:p>
      <w:pPr>
        <w:pStyle w:val="BodyText"/>
        <w:spacing w:before="42"/>
        <w:rPr>
          <w:i/>
          <w:sz w:val="20"/>
        </w:rPr>
      </w:pPr>
      <w:r>
        <w:rPr>
          <w:i/>
          <w:sz w:val="20"/>
        </w:rPr>
        <w:drawing>
          <wp:anchor distT="0" distB="0" distL="0" distR="0" allowOverlap="1" layoutInCell="1" locked="0" behindDoc="1" simplePos="0" relativeHeight="487588352">
            <wp:simplePos x="0" y="0"/>
            <wp:positionH relativeFrom="page">
              <wp:posOffset>2311400</wp:posOffset>
            </wp:positionH>
            <wp:positionV relativeFrom="paragraph">
              <wp:posOffset>188465</wp:posOffset>
            </wp:positionV>
            <wp:extent cx="2764910" cy="197834"/>
            <wp:effectExtent l="0" t="0" r="0" b="0"/>
            <wp:wrapTopAndBottom/>
            <wp:docPr id="4" name="Image 4" descr="A black text on a white background  Description automatically generated"/>
            <wp:cNvGraphicFramePr>
              <a:graphicFrameLocks/>
            </wp:cNvGraphicFramePr>
            <a:graphic>
              <a:graphicData uri="http://schemas.openxmlformats.org/drawingml/2006/picture">
                <pic:pic>
                  <pic:nvPicPr>
                    <pic:cNvPr id="4" name="Image 4" descr="A black text on a white background  Description automatically generated"/>
                    <pic:cNvPicPr/>
                  </pic:nvPicPr>
                  <pic:blipFill>
                    <a:blip r:embed="rId8" cstate="print"/>
                    <a:stretch>
                      <a:fillRect/>
                    </a:stretch>
                  </pic:blipFill>
                  <pic:spPr>
                    <a:xfrm>
                      <a:off x="0" y="0"/>
                      <a:ext cx="2764910" cy="197834"/>
                    </a:xfrm>
                    <a:prstGeom prst="rect">
                      <a:avLst/>
                    </a:prstGeom>
                  </pic:spPr>
                </pic:pic>
              </a:graphicData>
            </a:graphic>
          </wp:anchor>
        </w:drawing>
      </w:r>
    </w:p>
    <w:p>
      <w:pPr>
        <w:pStyle w:val="BodyText"/>
        <w:spacing w:before="159"/>
        <w:ind w:left="1015" w:right="1260"/>
      </w:pPr>
      <w:r>
        <w:rPr/>
        <w:t>where</w:t>
      </w:r>
      <w:r>
        <w:rPr>
          <w:spacing w:val="-5"/>
        </w:rPr>
        <w:t> </w:t>
      </w:r>
      <w:r>
        <w:rPr/>
        <w:t>E</w:t>
      </w:r>
      <w:r>
        <w:rPr>
          <w:rFonts w:ascii="Cambria Math" w:hAnsi="Cambria Math"/>
        </w:rPr>
        <w:t>∗ </w:t>
      </w:r>
      <w:r>
        <w:rPr/>
        <w:t>n</w:t>
      </w:r>
      <w:r>
        <w:rPr>
          <w:spacing w:val="-3"/>
        </w:rPr>
        <w:t> </w:t>
      </w:r>
      <w:r>
        <w:rPr/>
        <w:t>denotes</w:t>
      </w:r>
      <w:r>
        <w:rPr>
          <w:spacing w:val="-2"/>
        </w:rPr>
        <w:t> </w:t>
      </w:r>
      <w:r>
        <w:rPr/>
        <w:t>expectation</w:t>
      </w:r>
      <w:r>
        <w:rPr>
          <w:spacing w:val="-3"/>
        </w:rPr>
        <w:t> </w:t>
      </w:r>
      <w:r>
        <w:rPr/>
        <w:t>from</w:t>
      </w:r>
      <w:r>
        <w:rPr>
          <w:spacing w:val="-3"/>
        </w:rPr>
        <w:t> </w:t>
      </w:r>
      <w:r>
        <w:rPr/>
        <w:t>the</w:t>
      </w:r>
      <w:r>
        <w:rPr>
          <w:spacing w:val="-4"/>
        </w:rPr>
        <w:t> </w:t>
      </w:r>
      <w:r>
        <w:rPr/>
        <w:t>reference</w:t>
      </w:r>
      <w:r>
        <w:rPr>
          <w:spacing w:val="-4"/>
        </w:rPr>
        <w:t> </w:t>
      </w:r>
      <w:r>
        <w:rPr/>
        <w:t>distribution</w:t>
      </w:r>
      <w:r>
        <w:rPr>
          <w:spacing w:val="-3"/>
        </w:rPr>
        <w:t> </w:t>
      </w:r>
      <w:r>
        <w:rPr/>
        <w:t>based</w:t>
      </w:r>
      <w:r>
        <w:rPr>
          <w:spacing w:val="-3"/>
        </w:rPr>
        <w:t> </w:t>
      </w:r>
      <w:r>
        <w:rPr/>
        <w:t>on</w:t>
      </w:r>
      <w:r>
        <w:rPr>
          <w:spacing w:val="-3"/>
        </w:rPr>
        <w:t> </w:t>
      </w:r>
      <w:r>
        <w:rPr/>
        <w:t>n</w:t>
      </w:r>
      <w:r>
        <w:rPr>
          <w:spacing w:val="-3"/>
        </w:rPr>
        <w:t> </w:t>
      </w:r>
      <w:r>
        <w:rPr/>
        <w:t>numbers</w:t>
      </w:r>
      <w:r>
        <w:rPr>
          <w:spacing w:val="-3"/>
        </w:rPr>
        <w:t> </w:t>
      </w:r>
      <w:r>
        <w:rPr/>
        <w:t>of samples.</w:t>
      </w:r>
      <w:r>
        <w:rPr>
          <w:spacing w:val="-3"/>
        </w:rPr>
        <w:t> </w:t>
      </w:r>
      <w:r>
        <w:rPr/>
        <w:t>The</w:t>
      </w:r>
      <w:r>
        <w:rPr>
          <w:spacing w:val="-2"/>
        </w:rPr>
        <w:t> </w:t>
      </w:r>
      <w:r>
        <w:rPr/>
        <w:t>optimal</w:t>
      </w:r>
      <w:r>
        <w:rPr>
          <w:spacing w:val="-1"/>
        </w:rPr>
        <w:t> </w:t>
      </w:r>
      <w:r>
        <w:rPr/>
        <w:t>numbers</w:t>
      </w:r>
      <w:r>
        <w:rPr>
          <w:spacing w:val="-1"/>
        </w:rPr>
        <w:t> </w:t>
      </w:r>
      <w:r>
        <w:rPr/>
        <w:t>of clusters</w:t>
      </w:r>
      <w:r>
        <w:rPr>
          <w:spacing w:val="-1"/>
        </w:rPr>
        <w:t> </w:t>
      </w:r>
      <w:r>
        <w:rPr/>
        <w:t>k</w:t>
      </w:r>
      <w:r>
        <w:rPr>
          <w:spacing w:val="-1"/>
        </w:rPr>
        <w:t> </w:t>
      </w:r>
      <w:r>
        <w:rPr/>
        <w:t>will</w:t>
      </w:r>
      <w:r>
        <w:rPr>
          <w:spacing w:val="-1"/>
        </w:rPr>
        <w:t> </w:t>
      </w:r>
      <w:r>
        <w:rPr/>
        <w:t>be</w:t>
      </w:r>
      <w:r>
        <w:rPr>
          <w:spacing w:val="-1"/>
        </w:rPr>
        <w:t> </w:t>
      </w:r>
      <w:r>
        <w:rPr/>
        <w:t>the</w:t>
      </w:r>
      <w:r>
        <w:rPr>
          <w:spacing w:val="-1"/>
        </w:rPr>
        <w:t> </w:t>
      </w:r>
      <w:r>
        <w:rPr/>
        <w:t>value</w:t>
      </w:r>
      <w:r>
        <w:rPr>
          <w:spacing w:val="-1"/>
        </w:rPr>
        <w:t> </w:t>
      </w:r>
      <w:r>
        <w:rPr/>
        <w:t>that</w:t>
      </w:r>
      <w:r>
        <w:rPr>
          <w:spacing w:val="-1"/>
        </w:rPr>
        <w:t> </w:t>
      </w:r>
      <w:r>
        <w:rPr/>
        <w:t>maximizes </w:t>
      </w:r>
      <w:r>
        <w:rPr>
          <w:spacing w:val="-2"/>
        </w:rPr>
        <w:t>Gapn(k).</w:t>
      </w:r>
    </w:p>
    <w:p>
      <w:pPr>
        <w:pStyle w:val="BodyText"/>
        <w:spacing w:before="274"/>
      </w:pPr>
    </w:p>
    <w:p>
      <w:pPr>
        <w:pStyle w:val="Heading2"/>
      </w:pPr>
      <w:r>
        <w:rPr/>
        <w:t>Hierarchical</w:t>
      </w:r>
      <w:r>
        <w:rPr>
          <w:spacing w:val="-2"/>
        </w:rPr>
        <w:t> </w:t>
      </w:r>
      <w:r>
        <w:rPr/>
        <w:t>Risk</w:t>
      </w:r>
      <w:r>
        <w:rPr>
          <w:spacing w:val="-1"/>
        </w:rPr>
        <w:t> </w:t>
      </w:r>
      <w:r>
        <w:rPr/>
        <w:t>Parity</w:t>
      </w:r>
      <w:r>
        <w:rPr>
          <w:spacing w:val="-2"/>
        </w:rPr>
        <w:t> </w:t>
      </w:r>
      <w:r>
        <w:rPr/>
        <w:t>Asset</w:t>
      </w:r>
      <w:r>
        <w:rPr>
          <w:spacing w:val="-1"/>
        </w:rPr>
        <w:t> </w:t>
      </w:r>
      <w:r>
        <w:rPr>
          <w:spacing w:val="-2"/>
        </w:rPr>
        <w:t>Allocation</w:t>
      </w:r>
    </w:p>
    <w:p>
      <w:pPr>
        <w:pStyle w:val="BodyText"/>
        <w:rPr>
          <w:b/>
        </w:rPr>
      </w:pPr>
    </w:p>
    <w:p>
      <w:pPr>
        <w:pStyle w:val="BodyText"/>
        <w:spacing w:before="1"/>
        <w:ind w:left="1015" w:right="1174"/>
        <w:rPr>
          <w:i/>
        </w:rPr>
      </w:pPr>
      <w:r>
        <w:rPr/>
        <w:t>The</w:t>
      </w:r>
      <w:r>
        <w:rPr>
          <w:spacing w:val="-5"/>
        </w:rPr>
        <w:t> </w:t>
      </w:r>
      <w:r>
        <w:rPr/>
        <w:t>HRP</w:t>
      </w:r>
      <w:r>
        <w:rPr>
          <w:spacing w:val="-3"/>
        </w:rPr>
        <w:t> </w:t>
      </w:r>
      <w:r>
        <w:rPr/>
        <w:t>approach</w:t>
      </w:r>
      <w:r>
        <w:rPr>
          <w:spacing w:val="-3"/>
        </w:rPr>
        <w:t> </w:t>
      </w:r>
      <w:r>
        <w:rPr/>
        <w:t>was</w:t>
      </w:r>
      <w:r>
        <w:rPr>
          <w:spacing w:val="-3"/>
        </w:rPr>
        <w:t> </w:t>
      </w:r>
      <w:r>
        <w:rPr/>
        <w:t>first</w:t>
      </w:r>
      <w:r>
        <w:rPr>
          <w:spacing w:val="-3"/>
        </w:rPr>
        <w:t> </w:t>
      </w:r>
      <w:r>
        <w:rPr/>
        <w:t>introduced</w:t>
      </w:r>
      <w:r>
        <w:rPr>
          <w:spacing w:val="-3"/>
        </w:rPr>
        <w:t> </w:t>
      </w:r>
      <w:r>
        <w:rPr/>
        <w:t>and</w:t>
      </w:r>
      <w:r>
        <w:rPr>
          <w:spacing w:val="-3"/>
        </w:rPr>
        <w:t> </w:t>
      </w:r>
      <w:r>
        <w:rPr/>
        <w:t>published</w:t>
      </w:r>
      <w:r>
        <w:rPr>
          <w:spacing w:val="-3"/>
        </w:rPr>
        <w:t> </w:t>
      </w:r>
      <w:r>
        <w:rPr/>
        <w:t>in</w:t>
      </w:r>
      <w:r>
        <w:rPr>
          <w:spacing w:val="-3"/>
        </w:rPr>
        <w:t> </w:t>
      </w:r>
      <w:r>
        <w:rPr/>
        <w:t>2016</w:t>
      </w:r>
      <w:r>
        <w:rPr>
          <w:spacing w:val="-3"/>
        </w:rPr>
        <w:t> </w:t>
      </w:r>
      <w:r>
        <w:rPr/>
        <w:t>with</w:t>
      </w:r>
      <w:r>
        <w:rPr>
          <w:spacing w:val="-3"/>
        </w:rPr>
        <w:t> </w:t>
      </w:r>
      <w:r>
        <w:rPr/>
        <w:t>the</w:t>
      </w:r>
      <w:r>
        <w:rPr>
          <w:spacing w:val="-3"/>
        </w:rPr>
        <w:t> </w:t>
      </w:r>
      <w:r>
        <w:rPr/>
        <w:t>aim</w:t>
      </w:r>
      <w:r>
        <w:rPr>
          <w:spacing w:val="-3"/>
        </w:rPr>
        <w:t> </w:t>
      </w:r>
      <w:r>
        <w:rPr/>
        <w:t>of</w:t>
      </w:r>
      <w:r>
        <w:rPr>
          <w:spacing w:val="-3"/>
        </w:rPr>
        <w:t> </w:t>
      </w:r>
      <w:r>
        <w:rPr/>
        <w:t>addressing</w:t>
      </w:r>
      <w:r>
        <w:rPr>
          <w:spacing w:val="-3"/>
        </w:rPr>
        <w:t> </w:t>
      </w:r>
      <w:r>
        <w:rPr/>
        <w:t>two fundamental problems with modern portfolio theory: Instability and underperformance </w:t>
      </w:r>
      <w:r>
        <w:rPr>
          <w:i/>
          <w:color w:val="4471C4"/>
        </w:rPr>
        <w:t>(Nanakorn, N.et.al.,2021).</w:t>
      </w:r>
      <w:r>
        <w:rPr/>
        <w:t>HRP approach only consider the ensuing order of the assets, obtained from the hierarchical clustering dendrogram. An allocation technique is then suggested based on recursive bisection. focuses on the obtained order at the bottom level of the dendrogram and ignores the obtained clusters at different levels of the dendrogram</w:t>
      </w:r>
      <w:r>
        <w:rPr>
          <w:i/>
          <w:color w:val="4471C4"/>
        </w:rPr>
        <w:t>(Eidenvall, A,. 2021) .</w:t>
      </w:r>
    </w:p>
    <w:p>
      <w:pPr>
        <w:pStyle w:val="BodyText"/>
        <w:rPr>
          <w:i/>
        </w:rPr>
      </w:pPr>
    </w:p>
    <w:p>
      <w:pPr>
        <w:pStyle w:val="Heading2"/>
      </w:pPr>
      <w:r>
        <w:rPr>
          <w:color w:val="1F2023"/>
        </w:rPr>
        <w:t>Generalized</w:t>
      </w:r>
      <w:r>
        <w:rPr>
          <w:color w:val="1F2023"/>
          <w:spacing w:val="-4"/>
        </w:rPr>
        <w:t> </w:t>
      </w:r>
      <w:r>
        <w:rPr>
          <w:color w:val="1F2023"/>
        </w:rPr>
        <w:t>AutoRegressive</w:t>
      </w:r>
      <w:r>
        <w:rPr>
          <w:color w:val="1F2023"/>
          <w:spacing w:val="-2"/>
        </w:rPr>
        <w:t> </w:t>
      </w:r>
      <w:r>
        <w:rPr>
          <w:color w:val="1F2023"/>
        </w:rPr>
        <w:t>Conditional</w:t>
      </w:r>
      <w:r>
        <w:rPr>
          <w:color w:val="1F2023"/>
          <w:spacing w:val="-2"/>
        </w:rPr>
        <w:t> </w:t>
      </w:r>
      <w:r>
        <w:rPr>
          <w:color w:val="1F2023"/>
        </w:rPr>
        <w:t>Heteroskedasticity</w:t>
      </w:r>
      <w:r>
        <w:rPr>
          <w:color w:val="1F2023"/>
          <w:spacing w:val="-2"/>
        </w:rPr>
        <w:t> (GARCH)</w:t>
      </w:r>
    </w:p>
    <w:p>
      <w:pPr>
        <w:pStyle w:val="BodyText"/>
        <w:ind w:left="1015" w:right="1260" w:firstLine="60"/>
      </w:pPr>
      <w:r>
        <w:rPr>
          <w:color w:val="0D0D0D"/>
        </w:rPr>
        <w:t>It is a statistical model used to estimate volatility of financial returns by assuming that the variance</w:t>
      </w:r>
      <w:r>
        <w:rPr>
          <w:color w:val="0D0D0D"/>
          <w:spacing w:val="-3"/>
        </w:rPr>
        <w:t> </w:t>
      </w:r>
      <w:r>
        <w:rPr>
          <w:color w:val="0D0D0D"/>
        </w:rPr>
        <w:t>of</w:t>
      </w:r>
      <w:r>
        <w:rPr>
          <w:color w:val="0D0D0D"/>
          <w:spacing w:val="-2"/>
        </w:rPr>
        <w:t> </w:t>
      </w:r>
      <w:r>
        <w:rPr>
          <w:color w:val="0D0D0D"/>
        </w:rPr>
        <w:t>the</w:t>
      </w:r>
      <w:r>
        <w:rPr>
          <w:color w:val="0D0D0D"/>
          <w:spacing w:val="-2"/>
        </w:rPr>
        <w:t> </w:t>
      </w:r>
      <w:r>
        <w:rPr>
          <w:color w:val="0D0D0D"/>
        </w:rPr>
        <w:t>current</w:t>
      </w:r>
      <w:r>
        <w:rPr>
          <w:color w:val="0D0D0D"/>
          <w:spacing w:val="-2"/>
        </w:rPr>
        <w:t> </w:t>
      </w:r>
      <w:r>
        <w:rPr>
          <w:color w:val="0D0D0D"/>
        </w:rPr>
        <w:t>error</w:t>
      </w:r>
      <w:r>
        <w:rPr>
          <w:color w:val="0D0D0D"/>
          <w:spacing w:val="-4"/>
        </w:rPr>
        <w:t> </w:t>
      </w:r>
      <w:r>
        <w:rPr>
          <w:color w:val="0D0D0D"/>
        </w:rPr>
        <w:t>term</w:t>
      </w:r>
      <w:r>
        <w:rPr>
          <w:color w:val="0D0D0D"/>
          <w:spacing w:val="-2"/>
        </w:rPr>
        <w:t> </w:t>
      </w:r>
      <w:r>
        <w:rPr>
          <w:color w:val="0D0D0D"/>
        </w:rPr>
        <w:t>depends</w:t>
      </w:r>
      <w:r>
        <w:rPr>
          <w:color w:val="0D0D0D"/>
          <w:spacing w:val="-2"/>
        </w:rPr>
        <w:t> </w:t>
      </w:r>
      <w:r>
        <w:rPr>
          <w:color w:val="0D0D0D"/>
        </w:rPr>
        <w:t>on</w:t>
      </w:r>
      <w:r>
        <w:rPr>
          <w:color w:val="0D0D0D"/>
          <w:spacing w:val="-2"/>
        </w:rPr>
        <w:t> </w:t>
      </w:r>
      <w:r>
        <w:rPr>
          <w:color w:val="0D0D0D"/>
        </w:rPr>
        <w:t>the</w:t>
      </w:r>
      <w:r>
        <w:rPr>
          <w:color w:val="0D0D0D"/>
          <w:spacing w:val="-3"/>
        </w:rPr>
        <w:t> </w:t>
      </w:r>
      <w:r>
        <w:rPr>
          <w:color w:val="0D0D0D"/>
        </w:rPr>
        <w:t>error</w:t>
      </w:r>
      <w:r>
        <w:rPr>
          <w:color w:val="0D0D0D"/>
          <w:spacing w:val="-2"/>
        </w:rPr>
        <w:t> </w:t>
      </w:r>
      <w:r>
        <w:rPr>
          <w:color w:val="0D0D0D"/>
        </w:rPr>
        <w:t>term</w:t>
      </w:r>
      <w:r>
        <w:rPr>
          <w:color w:val="0D0D0D"/>
          <w:spacing w:val="-2"/>
        </w:rPr>
        <w:t> </w:t>
      </w:r>
      <w:r>
        <w:rPr>
          <w:color w:val="0D0D0D"/>
        </w:rPr>
        <w:t>lagged</w:t>
      </w:r>
      <w:r>
        <w:rPr>
          <w:color w:val="0D0D0D"/>
          <w:spacing w:val="-2"/>
        </w:rPr>
        <w:t> </w:t>
      </w:r>
      <w:r>
        <w:rPr>
          <w:color w:val="0D0D0D"/>
        </w:rPr>
        <w:t>squared and</w:t>
      </w:r>
      <w:r>
        <w:rPr>
          <w:color w:val="0D0D0D"/>
          <w:spacing w:val="-2"/>
        </w:rPr>
        <w:t> </w:t>
      </w:r>
      <w:r>
        <w:rPr>
          <w:color w:val="0D0D0D"/>
        </w:rPr>
        <w:t>also</w:t>
      </w:r>
      <w:r>
        <w:rPr>
          <w:color w:val="0D0D0D"/>
          <w:spacing w:val="-2"/>
        </w:rPr>
        <w:t> </w:t>
      </w:r>
      <w:r>
        <w:rPr>
          <w:color w:val="0D0D0D"/>
        </w:rPr>
        <w:t>the</w:t>
      </w:r>
      <w:r>
        <w:rPr>
          <w:color w:val="0D0D0D"/>
          <w:spacing w:val="-3"/>
        </w:rPr>
        <w:t> </w:t>
      </w:r>
      <w:r>
        <w:rPr>
          <w:color w:val="0D0D0D"/>
        </w:rPr>
        <w:t>past variances.</w:t>
      </w:r>
      <w:r>
        <w:rPr>
          <w:color w:val="0D0D0D"/>
          <w:spacing w:val="-3"/>
        </w:rPr>
        <w:t> </w:t>
      </w:r>
      <w:r>
        <w:rPr>
          <w:color w:val="0D0D0D"/>
        </w:rPr>
        <w:t>Metrics</w:t>
      </w:r>
      <w:r>
        <w:rPr>
          <w:color w:val="0D0D0D"/>
          <w:spacing w:val="-3"/>
        </w:rPr>
        <w:t> </w:t>
      </w:r>
      <w:r>
        <w:rPr>
          <w:color w:val="0D0D0D"/>
        </w:rPr>
        <w:t>such</w:t>
      </w:r>
      <w:r>
        <w:rPr>
          <w:color w:val="0D0D0D"/>
          <w:spacing w:val="-1"/>
        </w:rPr>
        <w:t> </w:t>
      </w:r>
      <w:r>
        <w:rPr>
          <w:color w:val="0D0D0D"/>
        </w:rPr>
        <w:t>as</w:t>
      </w:r>
      <w:r>
        <w:rPr>
          <w:color w:val="0D0D0D"/>
          <w:spacing w:val="-3"/>
        </w:rPr>
        <w:t> </w:t>
      </w:r>
      <w:r>
        <w:rPr>
          <w:color w:val="0D0D0D"/>
        </w:rPr>
        <w:t>average</w:t>
      </w:r>
      <w:r>
        <w:rPr>
          <w:color w:val="0D0D0D"/>
          <w:spacing w:val="-4"/>
        </w:rPr>
        <w:t> </w:t>
      </w:r>
      <w:r>
        <w:rPr>
          <w:color w:val="0D0D0D"/>
        </w:rPr>
        <w:t>volatility</w:t>
      </w:r>
      <w:r>
        <w:rPr>
          <w:color w:val="0D0D0D"/>
          <w:spacing w:val="-3"/>
        </w:rPr>
        <w:t> </w:t>
      </w:r>
      <w:r>
        <w:rPr>
          <w:color w:val="0D0D0D"/>
        </w:rPr>
        <w:t>and</w:t>
      </w:r>
      <w:r>
        <w:rPr>
          <w:color w:val="0D0D0D"/>
          <w:spacing w:val="-3"/>
        </w:rPr>
        <w:t> </w:t>
      </w:r>
      <w:r>
        <w:rPr>
          <w:color w:val="0D0D0D"/>
        </w:rPr>
        <w:t>standard</w:t>
      </w:r>
      <w:r>
        <w:rPr>
          <w:color w:val="0D0D0D"/>
          <w:spacing w:val="-3"/>
        </w:rPr>
        <w:t> </w:t>
      </w:r>
      <w:r>
        <w:rPr>
          <w:color w:val="0D0D0D"/>
        </w:rPr>
        <w:t>deviation</w:t>
      </w:r>
      <w:r>
        <w:rPr>
          <w:color w:val="0D0D0D"/>
          <w:spacing w:val="-3"/>
        </w:rPr>
        <w:t> </w:t>
      </w:r>
      <w:r>
        <w:rPr>
          <w:color w:val="0D0D0D"/>
        </w:rPr>
        <w:t>deviation</w:t>
      </w:r>
      <w:r>
        <w:rPr>
          <w:color w:val="0D0D0D"/>
          <w:spacing w:val="-3"/>
        </w:rPr>
        <w:t> </w:t>
      </w:r>
      <w:r>
        <w:rPr>
          <w:color w:val="0D0D0D"/>
        </w:rPr>
        <w:t>of</w:t>
      </w:r>
      <w:r>
        <w:rPr>
          <w:color w:val="0D0D0D"/>
          <w:spacing w:val="-4"/>
        </w:rPr>
        <w:t> </w:t>
      </w:r>
      <w:r>
        <w:rPr>
          <w:color w:val="0D0D0D"/>
        </w:rPr>
        <w:t>volatility</w:t>
      </w:r>
      <w:r>
        <w:rPr>
          <w:color w:val="0D0D0D"/>
          <w:spacing w:val="-3"/>
        </w:rPr>
        <w:t> </w:t>
      </w:r>
      <w:r>
        <w:rPr>
          <w:color w:val="0D0D0D"/>
        </w:rPr>
        <w:t>of both the portfolio and the sensex and the ratio of portfolio volatility to sensex volatility are computed used this model. These metrices are crucial in understanding the risk associated with the portfolios. GARCH(p,q) used here involves two main components:</w:t>
      </w:r>
    </w:p>
    <w:p>
      <w:pPr>
        <w:pStyle w:val="BodyText"/>
        <w:ind w:left="1015" w:right="1260"/>
      </w:pPr>
      <w:r>
        <w:rPr>
          <w:color w:val="0D0D0D"/>
        </w:rPr>
        <w:t>The</w:t>
      </w:r>
      <w:r>
        <w:rPr>
          <w:color w:val="0D0D0D"/>
          <w:spacing w:val="-5"/>
        </w:rPr>
        <w:t> </w:t>
      </w:r>
      <w:r>
        <w:rPr>
          <w:color w:val="0D0D0D"/>
        </w:rPr>
        <w:t>autoregressive</w:t>
      </w:r>
      <w:r>
        <w:rPr>
          <w:color w:val="0D0D0D"/>
          <w:spacing w:val="-5"/>
        </w:rPr>
        <w:t> </w:t>
      </w:r>
      <w:r>
        <w:rPr>
          <w:color w:val="0D0D0D"/>
        </w:rPr>
        <w:t>component</w:t>
      </w:r>
      <w:r>
        <w:rPr>
          <w:color w:val="0D0D0D"/>
          <w:spacing w:val="-4"/>
        </w:rPr>
        <w:t> </w:t>
      </w:r>
      <w:r>
        <w:rPr>
          <w:color w:val="0D0D0D"/>
        </w:rPr>
        <w:t>(p)</w:t>
      </w:r>
      <w:r>
        <w:rPr>
          <w:color w:val="0D0D0D"/>
          <w:spacing w:val="-5"/>
        </w:rPr>
        <w:t> </w:t>
      </w:r>
      <w:r>
        <w:rPr>
          <w:color w:val="0D0D0D"/>
        </w:rPr>
        <w:t>captures</w:t>
      </w:r>
      <w:r>
        <w:rPr>
          <w:color w:val="0D0D0D"/>
          <w:spacing w:val="-4"/>
        </w:rPr>
        <w:t> </w:t>
      </w:r>
      <w:r>
        <w:rPr>
          <w:color w:val="0D0D0D"/>
        </w:rPr>
        <w:t>the</w:t>
      </w:r>
      <w:r>
        <w:rPr>
          <w:color w:val="0D0D0D"/>
          <w:spacing w:val="-4"/>
        </w:rPr>
        <w:t> </w:t>
      </w:r>
      <w:r>
        <w:rPr>
          <w:color w:val="0D0D0D"/>
        </w:rPr>
        <w:t>persistence</w:t>
      </w:r>
      <w:r>
        <w:rPr>
          <w:color w:val="0D0D0D"/>
          <w:spacing w:val="-5"/>
        </w:rPr>
        <w:t> </w:t>
      </w:r>
      <w:r>
        <w:rPr>
          <w:color w:val="0D0D0D"/>
        </w:rPr>
        <w:t>of</w:t>
      </w:r>
      <w:r>
        <w:rPr>
          <w:color w:val="0D0D0D"/>
          <w:spacing w:val="-4"/>
        </w:rPr>
        <w:t> </w:t>
      </w:r>
      <w:r>
        <w:rPr>
          <w:color w:val="0D0D0D"/>
        </w:rPr>
        <w:t>volatility</w:t>
      </w:r>
      <w:r>
        <w:rPr>
          <w:color w:val="0D0D0D"/>
          <w:spacing w:val="-4"/>
        </w:rPr>
        <w:t> </w:t>
      </w:r>
      <w:r>
        <w:rPr>
          <w:color w:val="0D0D0D"/>
        </w:rPr>
        <w:t>shocks</w:t>
      </w:r>
      <w:r>
        <w:rPr>
          <w:color w:val="0D0D0D"/>
          <w:spacing w:val="-4"/>
        </w:rPr>
        <w:t> </w:t>
      </w:r>
      <w:r>
        <w:rPr>
          <w:color w:val="0D0D0D"/>
        </w:rPr>
        <w:t>over</w:t>
      </w:r>
      <w:r>
        <w:rPr>
          <w:color w:val="0D0D0D"/>
          <w:spacing w:val="-4"/>
        </w:rPr>
        <w:t> </w:t>
      </w:r>
      <w:r>
        <w:rPr>
          <w:color w:val="0D0D0D"/>
        </w:rPr>
        <w:t>time.The moving average component (q) represents the impact of past squared error terms on the current conditional variance.</w:t>
      </w:r>
    </w:p>
    <w:p>
      <w:pPr>
        <w:pStyle w:val="BodyText"/>
        <w:spacing w:before="1"/>
        <w:ind w:left="1015" w:right="1260"/>
      </w:pPr>
      <w:r>
        <w:rPr>
          <w:color w:val="0D0D0D"/>
        </w:rPr>
        <w:t>By</w:t>
      </w:r>
      <w:r>
        <w:rPr>
          <w:color w:val="0D0D0D"/>
          <w:spacing w:val="-4"/>
        </w:rPr>
        <w:t> </w:t>
      </w:r>
      <w:r>
        <w:rPr>
          <w:color w:val="0D0D0D"/>
        </w:rPr>
        <w:t>applying</w:t>
      </w:r>
      <w:r>
        <w:rPr>
          <w:color w:val="0D0D0D"/>
          <w:spacing w:val="-4"/>
        </w:rPr>
        <w:t> </w:t>
      </w:r>
      <w:r>
        <w:rPr>
          <w:color w:val="0D0D0D"/>
        </w:rPr>
        <w:t>these</w:t>
      </w:r>
      <w:r>
        <w:rPr>
          <w:color w:val="0D0D0D"/>
          <w:spacing w:val="-6"/>
        </w:rPr>
        <w:t> </w:t>
      </w:r>
      <w:r>
        <w:rPr>
          <w:color w:val="0D0D0D"/>
        </w:rPr>
        <w:t>principles</w:t>
      </w:r>
      <w:r>
        <w:rPr>
          <w:color w:val="0D0D0D"/>
          <w:spacing w:val="-4"/>
        </w:rPr>
        <w:t> </w:t>
      </w:r>
      <w:r>
        <w:rPr>
          <w:color w:val="0D0D0D"/>
        </w:rPr>
        <w:t>and</w:t>
      </w:r>
      <w:r>
        <w:rPr>
          <w:color w:val="0D0D0D"/>
          <w:spacing w:val="-4"/>
        </w:rPr>
        <w:t> </w:t>
      </w:r>
      <w:r>
        <w:rPr>
          <w:color w:val="0D0D0D"/>
        </w:rPr>
        <w:t>diversifying</w:t>
      </w:r>
      <w:r>
        <w:rPr>
          <w:color w:val="0D0D0D"/>
          <w:spacing w:val="-4"/>
        </w:rPr>
        <w:t> </w:t>
      </w:r>
      <w:r>
        <w:rPr>
          <w:color w:val="0D0D0D"/>
        </w:rPr>
        <w:t>across</w:t>
      </w:r>
      <w:r>
        <w:rPr>
          <w:color w:val="0D0D0D"/>
          <w:spacing w:val="-4"/>
        </w:rPr>
        <w:t> </w:t>
      </w:r>
      <w:r>
        <w:rPr>
          <w:color w:val="0D0D0D"/>
        </w:rPr>
        <w:t>sectors,</w:t>
      </w:r>
      <w:r>
        <w:rPr>
          <w:color w:val="0D0D0D"/>
          <w:spacing w:val="-4"/>
        </w:rPr>
        <w:t> </w:t>
      </w:r>
      <w:r>
        <w:rPr>
          <w:color w:val="0D0D0D"/>
        </w:rPr>
        <w:t>investors</w:t>
      </w:r>
      <w:r>
        <w:rPr>
          <w:color w:val="0D0D0D"/>
          <w:spacing w:val="-4"/>
        </w:rPr>
        <w:t> </w:t>
      </w:r>
      <w:r>
        <w:rPr>
          <w:color w:val="0D0D0D"/>
        </w:rPr>
        <w:t>aim</w:t>
      </w:r>
      <w:r>
        <w:rPr>
          <w:color w:val="0D0D0D"/>
          <w:spacing w:val="-1"/>
        </w:rPr>
        <w:t> </w:t>
      </w:r>
      <w:r>
        <w:rPr>
          <w:color w:val="0D0D0D"/>
        </w:rPr>
        <w:t>to</w:t>
      </w:r>
      <w:r>
        <w:rPr>
          <w:color w:val="0D0D0D"/>
          <w:spacing w:val="-4"/>
        </w:rPr>
        <w:t> </w:t>
      </w:r>
      <w:r>
        <w:rPr>
          <w:color w:val="0D0D0D"/>
        </w:rPr>
        <w:t>navigate</w:t>
      </w:r>
      <w:r>
        <w:rPr>
          <w:color w:val="0D0D0D"/>
          <w:spacing w:val="-4"/>
        </w:rPr>
        <w:t> </w:t>
      </w:r>
      <w:r>
        <w:rPr>
          <w:color w:val="0D0D0D"/>
        </w:rPr>
        <w:t>the inherent risks of the stock market while seeking higher returns.</w:t>
      </w:r>
    </w:p>
    <w:p>
      <w:pPr>
        <w:pStyle w:val="BodyText"/>
      </w:pPr>
    </w:p>
    <w:p>
      <w:pPr>
        <w:pStyle w:val="Heading2"/>
      </w:pPr>
      <w:r>
        <w:rPr>
          <w:color w:val="0D0D0D"/>
        </w:rPr>
        <w:t>11 STOCKS</w:t>
      </w:r>
      <w:r>
        <w:rPr>
          <w:color w:val="0D0D0D"/>
          <w:spacing w:val="1"/>
        </w:rPr>
        <w:t> </w:t>
      </w:r>
      <w:r>
        <w:rPr>
          <w:color w:val="0D0D0D"/>
        </w:rPr>
        <w:t>11</w:t>
      </w:r>
      <w:r>
        <w:rPr>
          <w:color w:val="0D0D0D"/>
          <w:spacing w:val="-3"/>
        </w:rPr>
        <w:t> </w:t>
      </w:r>
      <w:r>
        <w:rPr>
          <w:color w:val="0D0D0D"/>
          <w:spacing w:val="-2"/>
        </w:rPr>
        <w:t>SECTORS</w:t>
      </w:r>
    </w:p>
    <w:p>
      <w:pPr>
        <w:pStyle w:val="BodyText"/>
        <w:rPr>
          <w:b/>
        </w:rPr>
      </w:pPr>
    </w:p>
    <w:p>
      <w:pPr>
        <w:pStyle w:val="BodyText"/>
        <w:ind w:left="1015" w:right="1260"/>
      </w:pPr>
      <w:r>
        <w:rPr>
          <w:color w:val="0D0D0D"/>
        </w:rPr>
        <w:t>Investment</w:t>
      </w:r>
      <w:r>
        <w:rPr>
          <w:color w:val="0D0D0D"/>
          <w:spacing w:val="-3"/>
        </w:rPr>
        <w:t> </w:t>
      </w:r>
      <w:r>
        <w:rPr>
          <w:color w:val="0D0D0D"/>
        </w:rPr>
        <w:t>strategies</w:t>
      </w:r>
      <w:r>
        <w:rPr>
          <w:color w:val="0D0D0D"/>
          <w:spacing w:val="-3"/>
        </w:rPr>
        <w:t> </w:t>
      </w:r>
      <w:r>
        <w:rPr>
          <w:color w:val="0D0D0D"/>
        </w:rPr>
        <w:t>could</w:t>
      </w:r>
      <w:r>
        <w:rPr>
          <w:color w:val="0D0D0D"/>
          <w:spacing w:val="-3"/>
        </w:rPr>
        <w:t> </w:t>
      </w:r>
      <w:r>
        <w:rPr>
          <w:color w:val="0D0D0D"/>
        </w:rPr>
        <w:t>be</w:t>
      </w:r>
      <w:r>
        <w:rPr>
          <w:color w:val="0D0D0D"/>
          <w:spacing w:val="-3"/>
        </w:rPr>
        <w:t> </w:t>
      </w:r>
      <w:r>
        <w:rPr>
          <w:color w:val="0D0D0D"/>
        </w:rPr>
        <w:t>active</w:t>
      </w:r>
      <w:r>
        <w:rPr>
          <w:color w:val="0D0D0D"/>
          <w:spacing w:val="-4"/>
        </w:rPr>
        <w:t> </w:t>
      </w:r>
      <w:r>
        <w:rPr>
          <w:color w:val="0D0D0D"/>
        </w:rPr>
        <w:t>or</w:t>
      </w:r>
      <w:r>
        <w:rPr>
          <w:color w:val="0D0D0D"/>
          <w:spacing w:val="-3"/>
        </w:rPr>
        <w:t> </w:t>
      </w:r>
      <w:r>
        <w:rPr>
          <w:color w:val="0D0D0D"/>
        </w:rPr>
        <w:t>passive.</w:t>
      </w:r>
      <w:r>
        <w:rPr>
          <w:color w:val="0D0D0D"/>
          <w:spacing w:val="-1"/>
        </w:rPr>
        <w:t> </w:t>
      </w:r>
      <w:r>
        <w:rPr>
          <w:color w:val="0D0D0D"/>
        </w:rPr>
        <w:t>One</w:t>
      </w:r>
      <w:r>
        <w:rPr>
          <w:color w:val="0D0D0D"/>
          <w:spacing w:val="-4"/>
        </w:rPr>
        <w:t> </w:t>
      </w:r>
      <w:r>
        <w:rPr>
          <w:color w:val="0D0D0D"/>
        </w:rPr>
        <w:t>passive</w:t>
      </w:r>
      <w:r>
        <w:rPr>
          <w:color w:val="0D0D0D"/>
          <w:spacing w:val="-4"/>
        </w:rPr>
        <w:t> </w:t>
      </w:r>
      <w:r>
        <w:rPr>
          <w:color w:val="0D0D0D"/>
        </w:rPr>
        <w:t>way</w:t>
      </w:r>
      <w:r>
        <w:rPr>
          <w:color w:val="0D0D0D"/>
          <w:spacing w:val="-3"/>
        </w:rPr>
        <w:t> </w:t>
      </w:r>
      <w:r>
        <w:rPr>
          <w:color w:val="0D0D0D"/>
        </w:rPr>
        <w:t>of</w:t>
      </w:r>
      <w:r>
        <w:rPr>
          <w:color w:val="0D0D0D"/>
          <w:spacing w:val="-3"/>
        </w:rPr>
        <w:t> </w:t>
      </w:r>
      <w:r>
        <w:rPr>
          <w:color w:val="0D0D0D"/>
        </w:rPr>
        <w:t>investing</w:t>
      </w:r>
      <w:r>
        <w:rPr>
          <w:color w:val="0D0D0D"/>
          <w:spacing w:val="-2"/>
        </w:rPr>
        <w:t> </w:t>
      </w:r>
      <w:r>
        <w:rPr>
          <w:color w:val="0D0D0D"/>
        </w:rPr>
        <w:t>involves investing in different sectors with low correlation, ensuring that the performance and fluctuations in one sector do not significantly impact another. According to the Global Industry Classification Standard (GICS), the stock universe can be categorized into 11</w:t>
      </w:r>
    </w:p>
    <w:p>
      <w:pPr>
        <w:pStyle w:val="BodyText"/>
        <w:spacing w:after="0"/>
        <w:sectPr>
          <w:pgSz w:w="11910" w:h="16840"/>
          <w:pgMar w:top="1600" w:bottom="280" w:left="425" w:right="283"/>
        </w:sectPr>
      </w:pPr>
    </w:p>
    <w:p>
      <w:pPr>
        <w:pStyle w:val="BodyText"/>
        <w:spacing w:before="60"/>
        <w:ind w:left="1015" w:right="1260"/>
      </w:pPr>
      <w:r>
        <w:rPr>
          <w:color w:val="0D0D0D"/>
        </w:rPr>
        <w:t>sectors: Information Technology, Healthcare, Consumer Discretionary, Consumer Staples, Industrials, Real Estate, Energy, Utilities, Materials, and Telecommunication Services </w:t>
      </w:r>
      <w:r>
        <w:rPr>
          <w:i/>
          <w:color w:val="4471C4"/>
        </w:rPr>
        <w:t>(Wang.M, 2022)</w:t>
      </w:r>
      <w:r>
        <w:rPr>
          <w:color w:val="0D0D0D"/>
        </w:rPr>
        <w:t>. The Nifty 50 companies are therefore categorized into these 11 sectors, with</w:t>
      </w:r>
      <w:r>
        <w:rPr>
          <w:color w:val="0D0D0D"/>
          <w:spacing w:val="-3"/>
        </w:rPr>
        <w:t> </w:t>
      </w:r>
      <w:r>
        <w:rPr>
          <w:color w:val="0D0D0D"/>
        </w:rPr>
        <w:t>one</w:t>
      </w:r>
      <w:r>
        <w:rPr>
          <w:color w:val="0D0D0D"/>
          <w:spacing w:val="-3"/>
        </w:rPr>
        <w:t> </w:t>
      </w:r>
      <w:r>
        <w:rPr>
          <w:color w:val="0D0D0D"/>
        </w:rPr>
        <w:t>stock</w:t>
      </w:r>
      <w:r>
        <w:rPr>
          <w:color w:val="0D0D0D"/>
          <w:spacing w:val="-3"/>
        </w:rPr>
        <w:t> </w:t>
      </w:r>
      <w:r>
        <w:rPr>
          <w:color w:val="0D0D0D"/>
        </w:rPr>
        <w:t>selected</w:t>
      </w:r>
      <w:r>
        <w:rPr>
          <w:color w:val="0D0D0D"/>
          <w:spacing w:val="-2"/>
        </w:rPr>
        <w:t> </w:t>
      </w:r>
      <w:r>
        <w:rPr>
          <w:color w:val="0D0D0D"/>
        </w:rPr>
        <w:t>from</w:t>
      </w:r>
      <w:r>
        <w:rPr>
          <w:color w:val="0D0D0D"/>
          <w:spacing w:val="-3"/>
        </w:rPr>
        <w:t> </w:t>
      </w:r>
      <w:r>
        <w:rPr>
          <w:color w:val="0D0D0D"/>
        </w:rPr>
        <w:t>each</w:t>
      </w:r>
      <w:r>
        <w:rPr>
          <w:color w:val="0D0D0D"/>
          <w:spacing w:val="-3"/>
        </w:rPr>
        <w:t> </w:t>
      </w:r>
      <w:r>
        <w:rPr>
          <w:color w:val="0D0D0D"/>
        </w:rPr>
        <w:t>sector.</w:t>
      </w:r>
      <w:r>
        <w:rPr>
          <w:color w:val="0D0D0D"/>
          <w:spacing w:val="-3"/>
        </w:rPr>
        <w:t> </w:t>
      </w:r>
      <w:r>
        <w:rPr>
          <w:color w:val="0D0D0D"/>
        </w:rPr>
        <w:t>These</w:t>
      </w:r>
      <w:r>
        <w:rPr>
          <w:color w:val="0D0D0D"/>
          <w:spacing w:val="-4"/>
        </w:rPr>
        <w:t> </w:t>
      </w:r>
      <w:r>
        <w:rPr>
          <w:color w:val="0D0D0D"/>
        </w:rPr>
        <w:t>11</w:t>
      </w:r>
      <w:r>
        <w:rPr>
          <w:color w:val="0D0D0D"/>
          <w:spacing w:val="-1"/>
        </w:rPr>
        <w:t> </w:t>
      </w:r>
      <w:r>
        <w:rPr>
          <w:color w:val="0D0D0D"/>
        </w:rPr>
        <w:t>stocks</w:t>
      </w:r>
      <w:r>
        <w:rPr>
          <w:color w:val="0D0D0D"/>
          <w:spacing w:val="-3"/>
        </w:rPr>
        <w:t> </w:t>
      </w:r>
      <w:r>
        <w:rPr>
          <w:color w:val="0D0D0D"/>
        </w:rPr>
        <w:t>are</w:t>
      </w:r>
      <w:r>
        <w:rPr>
          <w:color w:val="0D0D0D"/>
          <w:spacing w:val="-5"/>
        </w:rPr>
        <w:t> </w:t>
      </w:r>
      <w:r>
        <w:rPr>
          <w:color w:val="0D0D0D"/>
        </w:rPr>
        <w:t>subsequently</w:t>
      </w:r>
      <w:r>
        <w:rPr>
          <w:color w:val="0D0D0D"/>
          <w:spacing w:val="-3"/>
        </w:rPr>
        <w:t> </w:t>
      </w:r>
      <w:r>
        <w:rPr>
          <w:color w:val="0D0D0D"/>
        </w:rPr>
        <w:t>optimized</w:t>
      </w:r>
      <w:r>
        <w:rPr>
          <w:color w:val="0D0D0D"/>
          <w:spacing w:val="-3"/>
        </w:rPr>
        <w:t> </w:t>
      </w:r>
      <w:r>
        <w:rPr>
          <w:color w:val="0D0D0D"/>
        </w:rPr>
        <w:t>using Markowitz mean-variance analysis.</w:t>
      </w:r>
    </w:p>
    <w:p>
      <w:pPr>
        <w:pStyle w:val="BodyText"/>
        <w:spacing w:before="78"/>
        <w:rPr>
          <w:sz w:val="20"/>
        </w:rPr>
      </w:pPr>
      <w:r>
        <w:rPr>
          <w:sz w:val="20"/>
        </w:rPr>
        <w:drawing>
          <wp:anchor distT="0" distB="0" distL="0" distR="0" allowOverlap="1" layoutInCell="1" locked="0" behindDoc="1" simplePos="0" relativeHeight="487588864">
            <wp:simplePos x="0" y="0"/>
            <wp:positionH relativeFrom="page">
              <wp:posOffset>1631574</wp:posOffset>
            </wp:positionH>
            <wp:positionV relativeFrom="paragraph">
              <wp:posOffset>211158</wp:posOffset>
            </wp:positionV>
            <wp:extent cx="4094283" cy="2385917"/>
            <wp:effectExtent l="0" t="0" r="0" b="0"/>
            <wp:wrapTopAndBottom/>
            <wp:docPr id="5" name="Image 5" descr="A graph showing a wave of blue lines  Description automatically generated"/>
            <wp:cNvGraphicFramePr>
              <a:graphicFrameLocks/>
            </wp:cNvGraphicFramePr>
            <a:graphic>
              <a:graphicData uri="http://schemas.openxmlformats.org/drawingml/2006/picture">
                <pic:pic>
                  <pic:nvPicPr>
                    <pic:cNvPr id="5" name="Image 5" descr="A graph showing a wave of blue lines  Description automatically generated"/>
                    <pic:cNvPicPr/>
                  </pic:nvPicPr>
                  <pic:blipFill>
                    <a:blip r:embed="rId9" cstate="print"/>
                    <a:stretch>
                      <a:fillRect/>
                    </a:stretch>
                  </pic:blipFill>
                  <pic:spPr>
                    <a:xfrm>
                      <a:off x="0" y="0"/>
                      <a:ext cx="4094283" cy="2385917"/>
                    </a:xfrm>
                    <a:prstGeom prst="rect">
                      <a:avLst/>
                    </a:prstGeom>
                  </pic:spPr>
                </pic:pic>
              </a:graphicData>
            </a:graphic>
          </wp:anchor>
        </w:drawing>
      </w:r>
    </w:p>
    <w:p>
      <w:pPr>
        <w:pStyle w:val="BodyText"/>
        <w:spacing w:before="28"/>
        <w:ind w:right="108"/>
        <w:jc w:val="center"/>
      </w:pPr>
      <w:r>
        <w:rPr>
          <w:color w:val="0D0D0D"/>
        </w:rPr>
        <w:t>Fig.2.</w:t>
      </w:r>
      <w:r>
        <w:rPr>
          <w:color w:val="0D0D0D"/>
          <w:spacing w:val="-1"/>
        </w:rPr>
        <w:t> </w:t>
      </w:r>
      <w:r>
        <w:rPr>
          <w:color w:val="0D0D0D"/>
        </w:rPr>
        <w:t>Daily</w:t>
      </w:r>
      <w:r>
        <w:rPr>
          <w:color w:val="0D0D0D"/>
          <w:spacing w:val="-1"/>
        </w:rPr>
        <w:t> </w:t>
      </w:r>
      <w:r>
        <w:rPr>
          <w:color w:val="0D0D0D"/>
        </w:rPr>
        <w:t>returns</w:t>
      </w:r>
      <w:r>
        <w:rPr>
          <w:color w:val="0D0D0D"/>
          <w:spacing w:val="-1"/>
        </w:rPr>
        <w:t> </w:t>
      </w:r>
      <w:r>
        <w:rPr>
          <w:color w:val="0D0D0D"/>
        </w:rPr>
        <w:t>of</w:t>
      </w:r>
      <w:r>
        <w:rPr>
          <w:color w:val="0D0D0D"/>
          <w:spacing w:val="-1"/>
        </w:rPr>
        <w:t> </w:t>
      </w:r>
      <w:r>
        <w:rPr>
          <w:color w:val="0D0D0D"/>
        </w:rPr>
        <w:t>Nifty</w:t>
      </w:r>
      <w:r>
        <w:rPr>
          <w:color w:val="0D0D0D"/>
          <w:spacing w:val="-1"/>
        </w:rPr>
        <w:t> </w:t>
      </w:r>
      <w:r>
        <w:rPr>
          <w:color w:val="0D0D0D"/>
        </w:rPr>
        <w:t>50</w:t>
      </w:r>
      <w:r>
        <w:rPr>
          <w:color w:val="0D0D0D"/>
          <w:spacing w:val="-1"/>
        </w:rPr>
        <w:t> </w:t>
      </w:r>
      <w:r>
        <w:rPr>
          <w:color w:val="0D0D0D"/>
        </w:rPr>
        <w:t>index (2014-</w:t>
      </w:r>
      <w:r>
        <w:rPr>
          <w:color w:val="0D0D0D"/>
          <w:spacing w:val="-4"/>
        </w:rPr>
        <w:t>2023)</w:t>
      </w:r>
    </w:p>
    <w:p>
      <w:pPr>
        <w:pStyle w:val="BodyText"/>
      </w:pPr>
    </w:p>
    <w:p>
      <w:pPr>
        <w:pStyle w:val="BodyText"/>
        <w:ind w:left="1015" w:right="1260"/>
      </w:pPr>
      <w:r>
        <w:rPr>
          <w:color w:val="0D0D0D"/>
        </w:rPr>
        <w:t>The stocks of Adani ports ,Bharti Airtel ,DLF ,HCL technologies ,Hindustan Unilever limited,</w:t>
      </w:r>
      <w:r>
        <w:rPr>
          <w:color w:val="0D0D0D"/>
          <w:spacing w:val="-3"/>
        </w:rPr>
        <w:t> </w:t>
      </w:r>
      <w:r>
        <w:rPr>
          <w:color w:val="0D0D0D"/>
        </w:rPr>
        <w:t>ONGC</w:t>
      </w:r>
      <w:r>
        <w:rPr>
          <w:color w:val="0D0D0D"/>
          <w:spacing w:val="-3"/>
        </w:rPr>
        <w:t> </w:t>
      </w:r>
      <w:r>
        <w:rPr>
          <w:color w:val="0D0D0D"/>
        </w:rPr>
        <w:t>Power</w:t>
      </w:r>
      <w:r>
        <w:rPr>
          <w:color w:val="0D0D0D"/>
          <w:spacing w:val="-3"/>
        </w:rPr>
        <w:t> </w:t>
      </w:r>
      <w:r>
        <w:rPr>
          <w:color w:val="0D0D0D"/>
        </w:rPr>
        <w:t>grid</w:t>
      </w:r>
      <w:r>
        <w:rPr>
          <w:color w:val="0D0D0D"/>
          <w:spacing w:val="-3"/>
        </w:rPr>
        <w:t> </w:t>
      </w:r>
      <w:r>
        <w:rPr>
          <w:color w:val="0D0D0D"/>
        </w:rPr>
        <w:t>,Sun</w:t>
      </w:r>
      <w:r>
        <w:rPr>
          <w:color w:val="0D0D0D"/>
          <w:spacing w:val="-3"/>
        </w:rPr>
        <w:t> </w:t>
      </w:r>
      <w:r>
        <w:rPr>
          <w:color w:val="0D0D0D"/>
        </w:rPr>
        <w:t>Pharma</w:t>
      </w:r>
      <w:r>
        <w:rPr>
          <w:color w:val="0D0D0D"/>
          <w:spacing w:val="-5"/>
        </w:rPr>
        <w:t> </w:t>
      </w:r>
      <w:r>
        <w:rPr>
          <w:color w:val="0D0D0D"/>
        </w:rPr>
        <w:t>,Tata</w:t>
      </w:r>
      <w:r>
        <w:rPr>
          <w:color w:val="0D0D0D"/>
          <w:spacing w:val="-3"/>
        </w:rPr>
        <w:t> </w:t>
      </w:r>
      <w:r>
        <w:rPr>
          <w:color w:val="0D0D0D"/>
        </w:rPr>
        <w:t>Steel</w:t>
      </w:r>
      <w:r>
        <w:rPr>
          <w:color w:val="0D0D0D"/>
          <w:spacing w:val="-3"/>
        </w:rPr>
        <w:t> </w:t>
      </w:r>
      <w:r>
        <w:rPr>
          <w:color w:val="0D0D0D"/>
        </w:rPr>
        <w:t>and</w:t>
      </w:r>
      <w:r>
        <w:rPr>
          <w:color w:val="0D0D0D"/>
          <w:spacing w:val="-3"/>
        </w:rPr>
        <w:t> </w:t>
      </w:r>
      <w:r>
        <w:rPr>
          <w:color w:val="0D0D0D"/>
        </w:rPr>
        <w:t>Titan</w:t>
      </w:r>
      <w:r>
        <w:rPr>
          <w:color w:val="0D0D0D"/>
          <w:spacing w:val="-3"/>
        </w:rPr>
        <w:t> </w:t>
      </w:r>
      <w:r>
        <w:rPr>
          <w:color w:val="0D0D0D"/>
        </w:rPr>
        <w:t>are</w:t>
      </w:r>
      <w:r>
        <w:rPr>
          <w:color w:val="0D0D0D"/>
          <w:spacing w:val="-4"/>
        </w:rPr>
        <w:t> </w:t>
      </w:r>
      <w:r>
        <w:rPr>
          <w:color w:val="0D0D0D"/>
        </w:rPr>
        <w:t>chosen.</w:t>
      </w:r>
      <w:r>
        <w:rPr>
          <w:color w:val="0D0D0D"/>
          <w:spacing w:val="-1"/>
        </w:rPr>
        <w:t> </w:t>
      </w:r>
      <w:r>
        <w:rPr>
          <w:color w:val="0D0D0D"/>
        </w:rPr>
        <w:t>Historic</w:t>
      </w:r>
      <w:r>
        <w:rPr>
          <w:color w:val="0D0D0D"/>
          <w:spacing w:val="-5"/>
        </w:rPr>
        <w:t> </w:t>
      </w:r>
      <w:r>
        <w:rPr>
          <w:color w:val="0D0D0D"/>
        </w:rPr>
        <w:t>returns and their historical stock prices are given in figure 3 &amp; 4.</w:t>
      </w:r>
    </w:p>
    <w:p>
      <w:pPr>
        <w:pStyle w:val="BodyText"/>
        <w:spacing w:before="78"/>
        <w:rPr>
          <w:sz w:val="20"/>
        </w:rPr>
      </w:pPr>
      <w:r>
        <w:rPr>
          <w:sz w:val="20"/>
        </w:rPr>
        <w:drawing>
          <wp:anchor distT="0" distB="0" distL="0" distR="0" allowOverlap="1" layoutInCell="1" locked="0" behindDoc="1" simplePos="0" relativeHeight="487589376">
            <wp:simplePos x="0" y="0"/>
            <wp:positionH relativeFrom="page">
              <wp:posOffset>1670715</wp:posOffset>
            </wp:positionH>
            <wp:positionV relativeFrom="paragraph">
              <wp:posOffset>211192</wp:posOffset>
            </wp:positionV>
            <wp:extent cx="4172222" cy="2450401"/>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4172222" cy="2450401"/>
                    </a:xfrm>
                    <a:prstGeom prst="rect">
                      <a:avLst/>
                    </a:prstGeom>
                  </pic:spPr>
                </pic:pic>
              </a:graphicData>
            </a:graphic>
          </wp:anchor>
        </w:drawing>
      </w:r>
    </w:p>
    <w:p>
      <w:pPr>
        <w:pStyle w:val="BodyText"/>
        <w:spacing w:before="45"/>
        <w:ind w:left="71"/>
        <w:jc w:val="center"/>
      </w:pPr>
      <w:r>
        <w:rPr>
          <w:color w:val="0D0D0D"/>
        </w:rPr>
        <w:t>Fig.</w:t>
      </w:r>
      <w:r>
        <w:rPr>
          <w:color w:val="0D0D0D"/>
          <w:spacing w:val="-1"/>
        </w:rPr>
        <w:t> </w:t>
      </w:r>
      <w:r>
        <w:rPr>
          <w:color w:val="0D0D0D"/>
        </w:rPr>
        <w:t>3</w:t>
      </w:r>
      <w:r>
        <w:rPr>
          <w:color w:val="0D0D0D"/>
          <w:spacing w:val="-1"/>
        </w:rPr>
        <w:t> </w:t>
      </w:r>
      <w:r>
        <w:rPr>
          <w:color w:val="0D0D0D"/>
        </w:rPr>
        <w:t>.Returns</w:t>
      </w:r>
      <w:r>
        <w:rPr>
          <w:color w:val="0D0D0D"/>
          <w:spacing w:val="-1"/>
        </w:rPr>
        <w:t> </w:t>
      </w:r>
      <w:r>
        <w:rPr>
          <w:color w:val="0D0D0D"/>
        </w:rPr>
        <w:t>of</w:t>
      </w:r>
      <w:r>
        <w:rPr>
          <w:color w:val="0D0D0D"/>
          <w:spacing w:val="-1"/>
        </w:rPr>
        <w:t> </w:t>
      </w:r>
      <w:r>
        <w:rPr>
          <w:color w:val="0D0D0D"/>
        </w:rPr>
        <w:t>selected</w:t>
      </w:r>
      <w:r>
        <w:rPr>
          <w:color w:val="0D0D0D"/>
          <w:spacing w:val="-1"/>
        </w:rPr>
        <w:t> </w:t>
      </w:r>
      <w:r>
        <w:rPr>
          <w:color w:val="0D0D0D"/>
        </w:rPr>
        <w:t>companies</w:t>
      </w:r>
      <w:r>
        <w:rPr>
          <w:color w:val="0D0D0D"/>
          <w:spacing w:val="-1"/>
        </w:rPr>
        <w:t> </w:t>
      </w:r>
      <w:r>
        <w:rPr>
          <w:color w:val="0D0D0D"/>
        </w:rPr>
        <w:t>from</w:t>
      </w:r>
      <w:r>
        <w:rPr>
          <w:color w:val="0D0D0D"/>
          <w:spacing w:val="-1"/>
        </w:rPr>
        <w:t> </w:t>
      </w:r>
      <w:r>
        <w:rPr>
          <w:color w:val="0D0D0D"/>
        </w:rPr>
        <w:t>11 sectors(2014-</w:t>
      </w:r>
      <w:r>
        <w:rPr>
          <w:color w:val="0D0D0D"/>
          <w:spacing w:val="-2"/>
        </w:rPr>
        <w:t>2023)</w:t>
      </w:r>
    </w:p>
    <w:p>
      <w:pPr>
        <w:pStyle w:val="BodyText"/>
        <w:spacing w:after="0"/>
        <w:jc w:val="center"/>
        <w:sectPr>
          <w:pgSz w:w="11910" w:h="16840"/>
          <w:pgMar w:top="1360" w:bottom="280" w:left="425" w:right="283"/>
        </w:sectPr>
      </w:pPr>
    </w:p>
    <w:p>
      <w:pPr>
        <w:pStyle w:val="BodyText"/>
        <w:ind w:left="2154"/>
        <w:rPr>
          <w:sz w:val="20"/>
        </w:rPr>
      </w:pPr>
      <w:r>
        <w:rPr>
          <w:sz w:val="20"/>
        </w:rPr>
        <w:drawing>
          <wp:inline distT="0" distB="0" distL="0" distR="0">
            <wp:extent cx="4152579" cy="2564892"/>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152579" cy="2564892"/>
                    </a:xfrm>
                    <a:prstGeom prst="rect">
                      <a:avLst/>
                    </a:prstGeom>
                  </pic:spPr>
                </pic:pic>
              </a:graphicData>
            </a:graphic>
          </wp:inline>
        </w:drawing>
      </w:r>
      <w:r>
        <w:rPr>
          <w:sz w:val="20"/>
        </w:rPr>
      </w:r>
    </w:p>
    <w:p>
      <w:pPr>
        <w:pStyle w:val="BodyText"/>
        <w:spacing w:before="101"/>
      </w:pPr>
    </w:p>
    <w:p>
      <w:pPr>
        <w:pStyle w:val="BodyText"/>
        <w:ind w:left="939" w:right="1131"/>
        <w:jc w:val="center"/>
      </w:pPr>
      <w:r>
        <w:rPr>
          <w:color w:val="0D0D0D"/>
        </w:rPr>
        <w:t>Fig.4.</w:t>
      </w:r>
      <w:r>
        <w:rPr>
          <w:color w:val="0D0D0D"/>
          <w:spacing w:val="-4"/>
        </w:rPr>
        <w:t> </w:t>
      </w:r>
      <w:r>
        <w:rPr>
          <w:color w:val="0D0D0D"/>
        </w:rPr>
        <w:t>Historical</w:t>
      </w:r>
      <w:r>
        <w:rPr>
          <w:color w:val="0D0D0D"/>
          <w:spacing w:val="-1"/>
        </w:rPr>
        <w:t> </w:t>
      </w:r>
      <w:r>
        <w:rPr>
          <w:color w:val="0D0D0D"/>
        </w:rPr>
        <w:t>stock</w:t>
      </w:r>
      <w:r>
        <w:rPr>
          <w:color w:val="0D0D0D"/>
          <w:spacing w:val="-1"/>
        </w:rPr>
        <w:t> </w:t>
      </w:r>
      <w:r>
        <w:rPr>
          <w:color w:val="0D0D0D"/>
        </w:rPr>
        <w:t>prices</w:t>
      </w:r>
      <w:r>
        <w:rPr>
          <w:color w:val="0D0D0D"/>
          <w:spacing w:val="-1"/>
        </w:rPr>
        <w:t> </w:t>
      </w:r>
      <w:r>
        <w:rPr>
          <w:color w:val="0D0D0D"/>
        </w:rPr>
        <w:t>of</w:t>
      </w:r>
      <w:r>
        <w:rPr>
          <w:color w:val="0D0D0D"/>
          <w:spacing w:val="-1"/>
        </w:rPr>
        <w:t> </w:t>
      </w:r>
      <w:r>
        <w:rPr>
          <w:color w:val="0D0D0D"/>
        </w:rPr>
        <w:t>stocks</w:t>
      </w:r>
      <w:r>
        <w:rPr>
          <w:color w:val="0D0D0D"/>
          <w:spacing w:val="-1"/>
        </w:rPr>
        <w:t> </w:t>
      </w:r>
      <w:r>
        <w:rPr>
          <w:color w:val="0D0D0D"/>
        </w:rPr>
        <w:t>in</w:t>
      </w:r>
      <w:r>
        <w:rPr>
          <w:color w:val="0D0D0D"/>
          <w:spacing w:val="-1"/>
        </w:rPr>
        <w:t> </w:t>
      </w:r>
      <w:r>
        <w:rPr>
          <w:color w:val="0D0D0D"/>
        </w:rPr>
        <w:t>portfolio</w:t>
      </w:r>
      <w:r>
        <w:rPr>
          <w:color w:val="0D0D0D"/>
          <w:spacing w:val="-1"/>
        </w:rPr>
        <w:t> </w:t>
      </w:r>
      <w:r>
        <w:rPr>
          <w:color w:val="0D0D0D"/>
        </w:rPr>
        <w:t>(2014-</w:t>
      </w:r>
      <w:r>
        <w:rPr>
          <w:color w:val="0D0D0D"/>
          <w:spacing w:val="-2"/>
        </w:rPr>
        <w:t>2023)</w:t>
      </w:r>
    </w:p>
    <w:p>
      <w:pPr>
        <w:pStyle w:val="BodyText"/>
      </w:pPr>
    </w:p>
    <w:p>
      <w:pPr>
        <w:pStyle w:val="BodyText"/>
      </w:pPr>
    </w:p>
    <w:p>
      <w:pPr>
        <w:pStyle w:val="BodyText"/>
        <w:spacing w:before="44"/>
      </w:pPr>
    </w:p>
    <w:p>
      <w:pPr>
        <w:pStyle w:val="BodyText"/>
        <w:ind w:left="1015" w:right="1174"/>
      </w:pPr>
      <w:r>
        <w:rPr>
          <w:color w:val="0D0D0D"/>
        </w:rPr>
        <w:t>Mean</w:t>
      </w:r>
      <w:r>
        <w:rPr>
          <w:color w:val="0D0D0D"/>
          <w:spacing w:val="-3"/>
        </w:rPr>
        <w:t> </w:t>
      </w:r>
      <w:r>
        <w:rPr>
          <w:color w:val="0D0D0D"/>
        </w:rPr>
        <w:t>variance</w:t>
      </w:r>
      <w:r>
        <w:rPr>
          <w:color w:val="0D0D0D"/>
          <w:spacing w:val="-4"/>
        </w:rPr>
        <w:t> </w:t>
      </w:r>
      <w:r>
        <w:rPr>
          <w:color w:val="0D0D0D"/>
        </w:rPr>
        <w:t>optimization</w:t>
      </w:r>
      <w:r>
        <w:rPr>
          <w:color w:val="0D0D0D"/>
          <w:spacing w:val="-3"/>
        </w:rPr>
        <w:t> </w:t>
      </w:r>
      <w:r>
        <w:rPr>
          <w:color w:val="0D0D0D"/>
        </w:rPr>
        <w:t>is</w:t>
      </w:r>
      <w:r>
        <w:rPr>
          <w:color w:val="0D0D0D"/>
          <w:spacing w:val="-3"/>
        </w:rPr>
        <w:t> </w:t>
      </w:r>
      <w:r>
        <w:rPr>
          <w:color w:val="0D0D0D"/>
        </w:rPr>
        <w:t>implemented</w:t>
      </w:r>
      <w:r>
        <w:rPr>
          <w:color w:val="0D0D0D"/>
          <w:spacing w:val="-3"/>
        </w:rPr>
        <w:t> </w:t>
      </w:r>
      <w:r>
        <w:rPr>
          <w:color w:val="0D0D0D"/>
        </w:rPr>
        <w:t>in</w:t>
      </w:r>
      <w:r>
        <w:rPr>
          <w:color w:val="0D0D0D"/>
          <w:spacing w:val="-3"/>
        </w:rPr>
        <w:t> </w:t>
      </w:r>
      <w:r>
        <w:rPr>
          <w:color w:val="0D0D0D"/>
        </w:rPr>
        <w:t>steps.</w:t>
      </w:r>
      <w:r>
        <w:rPr>
          <w:color w:val="0D0D0D"/>
          <w:spacing w:val="-3"/>
        </w:rPr>
        <w:t> </w:t>
      </w:r>
      <w:r>
        <w:rPr>
          <w:color w:val="0D0D0D"/>
        </w:rPr>
        <w:t>Firstly</w:t>
      </w:r>
      <w:r>
        <w:rPr>
          <w:color w:val="0D0D0D"/>
          <w:spacing w:val="-3"/>
        </w:rPr>
        <w:t> </w:t>
      </w:r>
      <w:r>
        <w:rPr>
          <w:color w:val="0D0D0D"/>
        </w:rPr>
        <w:t>Ledoit-Wolf shrinkage</w:t>
      </w:r>
      <w:r>
        <w:rPr>
          <w:color w:val="0D0D0D"/>
          <w:spacing w:val="-4"/>
        </w:rPr>
        <w:t> </w:t>
      </w:r>
      <w:r>
        <w:rPr>
          <w:color w:val="0D0D0D"/>
        </w:rPr>
        <w:t>is</w:t>
      </w:r>
      <w:r>
        <w:rPr>
          <w:color w:val="0D0D0D"/>
          <w:spacing w:val="-3"/>
        </w:rPr>
        <w:t> </w:t>
      </w:r>
      <w:r>
        <w:rPr>
          <w:color w:val="0D0D0D"/>
        </w:rPr>
        <w:t>applied to estimate the most stable covariance matrix and then the estimated returns are calculate using the Capital Asset Pricing Model(CAPM) and the optimal portfolio allocation with maximized sharpe ratio is indicated, Monte Carlo stimulation is done by using a Dirichlet distribution and efficient Frontier with maximized sharp ratio is obtained.</w:t>
      </w:r>
    </w:p>
    <w:p>
      <w:pPr>
        <w:pStyle w:val="BodyText"/>
      </w:pPr>
    </w:p>
    <w:p>
      <w:pPr>
        <w:pStyle w:val="BodyText"/>
        <w:ind w:left="1015" w:right="1260"/>
      </w:pPr>
      <w:r>
        <w:rPr>
          <w:color w:val="0D0D0D"/>
        </w:rPr>
        <w:t>The</w:t>
      </w:r>
      <w:r>
        <w:rPr>
          <w:color w:val="0D0D0D"/>
          <w:spacing w:val="-4"/>
        </w:rPr>
        <w:t> </w:t>
      </w:r>
      <w:r>
        <w:rPr>
          <w:color w:val="0D0D0D"/>
        </w:rPr>
        <w:t>return</w:t>
      </w:r>
      <w:r>
        <w:rPr>
          <w:color w:val="0D0D0D"/>
          <w:spacing w:val="-3"/>
        </w:rPr>
        <w:t> </w:t>
      </w:r>
      <w:r>
        <w:rPr>
          <w:color w:val="0D0D0D"/>
        </w:rPr>
        <w:t>,volatility</w:t>
      </w:r>
      <w:r>
        <w:rPr>
          <w:color w:val="0D0D0D"/>
          <w:spacing w:val="-2"/>
        </w:rPr>
        <w:t> </w:t>
      </w:r>
      <w:r>
        <w:rPr>
          <w:color w:val="0D0D0D"/>
        </w:rPr>
        <w:t>and Sharpe</w:t>
      </w:r>
      <w:r>
        <w:rPr>
          <w:color w:val="0D0D0D"/>
          <w:spacing w:val="-4"/>
        </w:rPr>
        <w:t> </w:t>
      </w:r>
      <w:r>
        <w:rPr>
          <w:color w:val="0D0D0D"/>
        </w:rPr>
        <w:t>ratio</w:t>
      </w:r>
      <w:r>
        <w:rPr>
          <w:color w:val="0D0D0D"/>
          <w:spacing w:val="-2"/>
        </w:rPr>
        <w:t> </w:t>
      </w:r>
      <w:r>
        <w:rPr>
          <w:color w:val="0D0D0D"/>
        </w:rPr>
        <w:t>of</w:t>
      </w:r>
      <w:r>
        <w:rPr>
          <w:color w:val="0D0D0D"/>
          <w:spacing w:val="-2"/>
        </w:rPr>
        <w:t> </w:t>
      </w:r>
      <w:r>
        <w:rPr>
          <w:color w:val="0D0D0D"/>
        </w:rPr>
        <w:t>the</w:t>
      </w:r>
      <w:r>
        <w:rPr>
          <w:color w:val="0D0D0D"/>
          <w:spacing w:val="-4"/>
        </w:rPr>
        <w:t> </w:t>
      </w:r>
      <w:r>
        <w:rPr>
          <w:color w:val="0D0D0D"/>
        </w:rPr>
        <w:t>portfolio</w:t>
      </w:r>
      <w:r>
        <w:rPr>
          <w:color w:val="0D0D0D"/>
          <w:spacing w:val="-1"/>
        </w:rPr>
        <w:t> </w:t>
      </w:r>
      <w:r>
        <w:rPr>
          <w:color w:val="0D0D0D"/>
        </w:rPr>
        <w:t>are</w:t>
      </w:r>
      <w:r>
        <w:rPr>
          <w:color w:val="0D0D0D"/>
          <w:spacing w:val="-4"/>
        </w:rPr>
        <w:t> </w:t>
      </w:r>
      <w:r>
        <w:rPr>
          <w:color w:val="0D0D0D"/>
        </w:rPr>
        <w:t>studied</w:t>
      </w:r>
      <w:r>
        <w:rPr>
          <w:color w:val="0D0D0D"/>
          <w:spacing w:val="-2"/>
        </w:rPr>
        <w:t> </w:t>
      </w:r>
      <w:r>
        <w:rPr>
          <w:color w:val="0D0D0D"/>
        </w:rPr>
        <w:t>at</w:t>
      </w:r>
      <w:r>
        <w:rPr>
          <w:color w:val="0D0D0D"/>
          <w:spacing w:val="-2"/>
        </w:rPr>
        <w:t> </w:t>
      </w:r>
      <w:r>
        <w:rPr>
          <w:color w:val="0D0D0D"/>
        </w:rPr>
        <w:t>the</w:t>
      </w:r>
      <w:r>
        <w:rPr>
          <w:color w:val="0D0D0D"/>
          <w:spacing w:val="-3"/>
        </w:rPr>
        <w:t> </w:t>
      </w:r>
      <w:r>
        <w:rPr>
          <w:color w:val="0D0D0D"/>
        </w:rPr>
        <w:t>minimum</w:t>
      </w:r>
      <w:r>
        <w:rPr>
          <w:color w:val="0D0D0D"/>
          <w:spacing w:val="-1"/>
        </w:rPr>
        <w:t> </w:t>
      </w:r>
      <w:r>
        <w:rPr>
          <w:color w:val="0D0D0D"/>
        </w:rPr>
        <w:t>volatility and maximum sharpe ratio point</w:t>
      </w:r>
    </w:p>
    <w:p>
      <w:pPr>
        <w:pStyle w:val="BodyText"/>
        <w:spacing w:before="47"/>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8"/>
      </w:tblGrid>
      <w:tr>
        <w:trPr>
          <w:trHeight w:val="275" w:hRule="atLeast"/>
        </w:trPr>
        <w:tc>
          <w:tcPr>
            <w:tcW w:w="3005" w:type="dxa"/>
          </w:tcPr>
          <w:p>
            <w:pPr>
              <w:pStyle w:val="TableParagraph"/>
              <w:spacing w:line="240" w:lineRule="auto"/>
              <w:ind w:left="0"/>
              <w:rPr>
                <w:sz w:val="20"/>
              </w:rPr>
            </w:pPr>
          </w:p>
        </w:tc>
        <w:tc>
          <w:tcPr>
            <w:tcW w:w="3005"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minimum</w:t>
            </w:r>
            <w:r>
              <w:rPr>
                <w:color w:val="0D0D0D"/>
                <w:spacing w:val="-1"/>
                <w:sz w:val="24"/>
              </w:rPr>
              <w:t> </w:t>
            </w:r>
            <w:r>
              <w:rPr>
                <w:color w:val="0D0D0D"/>
                <w:sz w:val="24"/>
              </w:rPr>
              <w:t>volatility</w:t>
            </w:r>
            <w:r>
              <w:rPr>
                <w:color w:val="0D0D0D"/>
                <w:spacing w:val="-1"/>
                <w:sz w:val="24"/>
              </w:rPr>
              <w:t> </w:t>
            </w:r>
            <w:r>
              <w:rPr>
                <w:color w:val="0D0D0D"/>
                <w:spacing w:val="-2"/>
                <w:sz w:val="24"/>
              </w:rPr>
              <w:t>point</w:t>
            </w:r>
          </w:p>
        </w:tc>
        <w:tc>
          <w:tcPr>
            <w:tcW w:w="3008"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maximum Sharpe</w:t>
            </w:r>
            <w:r>
              <w:rPr>
                <w:color w:val="0D0D0D"/>
                <w:spacing w:val="-2"/>
                <w:sz w:val="24"/>
              </w:rPr>
              <w:t> point</w:t>
            </w:r>
          </w:p>
        </w:tc>
      </w:tr>
      <w:tr>
        <w:trPr>
          <w:trHeight w:val="278" w:hRule="atLeast"/>
        </w:trPr>
        <w:tc>
          <w:tcPr>
            <w:tcW w:w="3005" w:type="dxa"/>
          </w:tcPr>
          <w:p>
            <w:pPr>
              <w:pStyle w:val="TableParagraph"/>
              <w:spacing w:line="257" w:lineRule="exact" w:before="1"/>
              <w:rPr>
                <w:sz w:val="24"/>
              </w:rPr>
            </w:pPr>
            <w:r>
              <w:rPr>
                <w:color w:val="0D0D0D"/>
                <w:spacing w:val="-2"/>
                <w:sz w:val="24"/>
              </w:rPr>
              <w:t>Volatility</w:t>
            </w:r>
          </w:p>
        </w:tc>
        <w:tc>
          <w:tcPr>
            <w:tcW w:w="3005" w:type="dxa"/>
          </w:tcPr>
          <w:p>
            <w:pPr>
              <w:pStyle w:val="TableParagraph"/>
              <w:spacing w:line="257" w:lineRule="exact" w:before="1"/>
              <w:ind w:left="108"/>
              <w:rPr>
                <w:sz w:val="24"/>
              </w:rPr>
            </w:pPr>
            <w:r>
              <w:rPr>
                <w:color w:val="0D0D0D"/>
                <w:spacing w:val="-2"/>
                <w:sz w:val="24"/>
              </w:rPr>
              <w:t>0.1508</w:t>
            </w:r>
          </w:p>
        </w:tc>
        <w:tc>
          <w:tcPr>
            <w:tcW w:w="3008" w:type="dxa"/>
          </w:tcPr>
          <w:p>
            <w:pPr>
              <w:pStyle w:val="TableParagraph"/>
              <w:spacing w:line="257" w:lineRule="exact" w:before="1"/>
              <w:ind w:left="108"/>
              <w:rPr>
                <w:sz w:val="24"/>
              </w:rPr>
            </w:pPr>
            <w:r>
              <w:rPr>
                <w:color w:val="0D0D0D"/>
                <w:spacing w:val="-2"/>
                <w:sz w:val="24"/>
              </w:rPr>
              <w:t>0.1747</w:t>
            </w:r>
          </w:p>
        </w:tc>
      </w:tr>
      <w:tr>
        <w:trPr>
          <w:trHeight w:val="275" w:hRule="atLeast"/>
        </w:trPr>
        <w:tc>
          <w:tcPr>
            <w:tcW w:w="3005" w:type="dxa"/>
          </w:tcPr>
          <w:p>
            <w:pPr>
              <w:pStyle w:val="TableParagraph"/>
              <w:spacing w:line="256" w:lineRule="exact"/>
              <w:rPr>
                <w:sz w:val="24"/>
              </w:rPr>
            </w:pPr>
            <w:r>
              <w:rPr>
                <w:color w:val="0D0D0D"/>
                <w:spacing w:val="-2"/>
                <w:sz w:val="24"/>
              </w:rPr>
              <w:t>Returns</w:t>
            </w:r>
          </w:p>
        </w:tc>
        <w:tc>
          <w:tcPr>
            <w:tcW w:w="3005" w:type="dxa"/>
          </w:tcPr>
          <w:p>
            <w:pPr>
              <w:pStyle w:val="TableParagraph"/>
              <w:spacing w:line="256" w:lineRule="exact"/>
              <w:ind w:left="108"/>
              <w:rPr>
                <w:sz w:val="24"/>
              </w:rPr>
            </w:pPr>
            <w:r>
              <w:rPr>
                <w:color w:val="0D0D0D"/>
                <w:spacing w:val="-2"/>
                <w:sz w:val="24"/>
              </w:rPr>
              <w:t>16.55%</w:t>
            </w:r>
          </w:p>
        </w:tc>
        <w:tc>
          <w:tcPr>
            <w:tcW w:w="3008" w:type="dxa"/>
          </w:tcPr>
          <w:p>
            <w:pPr>
              <w:pStyle w:val="TableParagraph"/>
              <w:spacing w:line="256" w:lineRule="exact"/>
              <w:ind w:left="108"/>
              <w:rPr>
                <w:sz w:val="24"/>
              </w:rPr>
            </w:pPr>
            <w:r>
              <w:rPr>
                <w:color w:val="0D0D0D"/>
                <w:spacing w:val="-2"/>
                <w:sz w:val="24"/>
              </w:rPr>
              <w:t>20.87%</w:t>
            </w:r>
          </w:p>
        </w:tc>
      </w:tr>
      <w:tr>
        <w:trPr>
          <w:trHeight w:val="275" w:hRule="atLeast"/>
        </w:trPr>
        <w:tc>
          <w:tcPr>
            <w:tcW w:w="3005" w:type="dxa"/>
          </w:tcPr>
          <w:p>
            <w:pPr>
              <w:pStyle w:val="TableParagraph"/>
              <w:spacing w:line="256" w:lineRule="exact"/>
              <w:rPr>
                <w:sz w:val="24"/>
              </w:rPr>
            </w:pPr>
            <w:r>
              <w:rPr>
                <w:color w:val="0D0D0D"/>
                <w:sz w:val="24"/>
              </w:rPr>
              <w:t>Sharpe</w:t>
            </w:r>
            <w:r>
              <w:rPr>
                <w:color w:val="0D0D0D"/>
                <w:spacing w:val="-3"/>
                <w:sz w:val="24"/>
              </w:rPr>
              <w:t> </w:t>
            </w:r>
            <w:r>
              <w:rPr>
                <w:color w:val="0D0D0D"/>
                <w:spacing w:val="-2"/>
                <w:sz w:val="24"/>
              </w:rPr>
              <w:t>ratio</w:t>
            </w:r>
          </w:p>
        </w:tc>
        <w:tc>
          <w:tcPr>
            <w:tcW w:w="3005" w:type="dxa"/>
          </w:tcPr>
          <w:p>
            <w:pPr>
              <w:pStyle w:val="TableParagraph"/>
              <w:spacing w:line="256" w:lineRule="exact"/>
              <w:ind w:left="108"/>
              <w:rPr>
                <w:sz w:val="24"/>
              </w:rPr>
            </w:pPr>
            <w:r>
              <w:rPr>
                <w:color w:val="0D0D0D"/>
                <w:spacing w:val="-2"/>
                <w:sz w:val="24"/>
              </w:rPr>
              <w:t>1.0976</w:t>
            </w:r>
          </w:p>
        </w:tc>
        <w:tc>
          <w:tcPr>
            <w:tcW w:w="3008" w:type="dxa"/>
          </w:tcPr>
          <w:p>
            <w:pPr>
              <w:pStyle w:val="TableParagraph"/>
              <w:spacing w:line="256" w:lineRule="exact"/>
              <w:ind w:left="108"/>
              <w:rPr>
                <w:sz w:val="24"/>
              </w:rPr>
            </w:pPr>
            <w:r>
              <w:rPr>
                <w:color w:val="0D0D0D"/>
                <w:spacing w:val="-2"/>
                <w:sz w:val="24"/>
              </w:rPr>
              <w:t>1.1946</w:t>
            </w:r>
          </w:p>
        </w:tc>
      </w:tr>
    </w:tbl>
    <w:p>
      <w:pPr>
        <w:pStyle w:val="BodyText"/>
      </w:pPr>
    </w:p>
    <w:p>
      <w:pPr>
        <w:pStyle w:val="BodyText"/>
      </w:pPr>
    </w:p>
    <w:p>
      <w:pPr>
        <w:pStyle w:val="BodyText"/>
        <w:ind w:left="1015" w:right="1260"/>
      </w:pPr>
      <w:r>
        <w:rPr>
          <w:color w:val="0D0D0D"/>
        </w:rPr>
        <w:t>Though</w:t>
      </w:r>
      <w:r>
        <w:rPr>
          <w:color w:val="0D0D0D"/>
          <w:spacing w:val="-3"/>
        </w:rPr>
        <w:t> </w:t>
      </w:r>
      <w:r>
        <w:rPr>
          <w:color w:val="0D0D0D"/>
        </w:rPr>
        <w:t>there</w:t>
      </w:r>
      <w:r>
        <w:rPr>
          <w:color w:val="0D0D0D"/>
          <w:spacing w:val="-4"/>
        </w:rPr>
        <w:t> </w:t>
      </w:r>
      <w:r>
        <w:rPr>
          <w:color w:val="0D0D0D"/>
        </w:rPr>
        <w:t>is</w:t>
      </w:r>
      <w:r>
        <w:rPr>
          <w:color w:val="0D0D0D"/>
          <w:spacing w:val="-3"/>
        </w:rPr>
        <w:t> </w:t>
      </w:r>
      <w:r>
        <w:rPr>
          <w:color w:val="0D0D0D"/>
        </w:rPr>
        <w:t>a</w:t>
      </w:r>
      <w:r>
        <w:rPr>
          <w:color w:val="0D0D0D"/>
          <w:spacing w:val="-3"/>
        </w:rPr>
        <w:t> </w:t>
      </w:r>
      <w:r>
        <w:rPr>
          <w:color w:val="0D0D0D"/>
        </w:rPr>
        <w:t>considerable</w:t>
      </w:r>
      <w:r>
        <w:rPr>
          <w:color w:val="0D0D0D"/>
          <w:spacing w:val="-3"/>
        </w:rPr>
        <w:t> </w:t>
      </w:r>
      <w:r>
        <w:rPr>
          <w:color w:val="0D0D0D"/>
        </w:rPr>
        <w:t>difference</w:t>
      </w:r>
      <w:r>
        <w:rPr>
          <w:color w:val="0D0D0D"/>
          <w:spacing w:val="-4"/>
        </w:rPr>
        <w:t> </w:t>
      </w:r>
      <w:r>
        <w:rPr>
          <w:color w:val="0D0D0D"/>
        </w:rPr>
        <w:t>in</w:t>
      </w:r>
      <w:r>
        <w:rPr>
          <w:color w:val="0D0D0D"/>
          <w:spacing w:val="-3"/>
        </w:rPr>
        <w:t> </w:t>
      </w:r>
      <w:r>
        <w:rPr>
          <w:color w:val="0D0D0D"/>
        </w:rPr>
        <w:t>the</w:t>
      </w:r>
      <w:r>
        <w:rPr>
          <w:color w:val="0D0D0D"/>
          <w:spacing w:val="-4"/>
        </w:rPr>
        <w:t> </w:t>
      </w:r>
      <w:r>
        <w:rPr>
          <w:color w:val="0D0D0D"/>
        </w:rPr>
        <w:t>volatility</w:t>
      </w:r>
      <w:r>
        <w:rPr>
          <w:color w:val="0D0D0D"/>
          <w:spacing w:val="-3"/>
        </w:rPr>
        <w:t> </w:t>
      </w:r>
      <w:r>
        <w:rPr>
          <w:color w:val="0D0D0D"/>
        </w:rPr>
        <w:t>between</w:t>
      </w:r>
      <w:r>
        <w:rPr>
          <w:color w:val="0D0D0D"/>
          <w:spacing w:val="-3"/>
        </w:rPr>
        <w:t> </w:t>
      </w:r>
      <w:r>
        <w:rPr>
          <w:color w:val="0D0D0D"/>
        </w:rPr>
        <w:t>the</w:t>
      </w:r>
      <w:r>
        <w:rPr>
          <w:color w:val="0D0D0D"/>
          <w:spacing w:val="-3"/>
        </w:rPr>
        <w:t> </w:t>
      </w:r>
      <w:r>
        <w:rPr>
          <w:color w:val="0D0D0D"/>
        </w:rPr>
        <w:t>two</w:t>
      </w:r>
      <w:r>
        <w:rPr>
          <w:color w:val="0D0D0D"/>
          <w:spacing w:val="-3"/>
        </w:rPr>
        <w:t> </w:t>
      </w:r>
      <w:r>
        <w:rPr>
          <w:color w:val="0D0D0D"/>
        </w:rPr>
        <w:t>portfolios</w:t>
      </w:r>
      <w:r>
        <w:rPr>
          <w:color w:val="0D0D0D"/>
          <w:spacing w:val="-3"/>
        </w:rPr>
        <w:t> </w:t>
      </w:r>
      <w:r>
        <w:rPr>
          <w:color w:val="0D0D0D"/>
        </w:rPr>
        <w:t>there</w:t>
      </w:r>
      <w:r>
        <w:rPr>
          <w:color w:val="0D0D0D"/>
          <w:spacing w:val="-5"/>
        </w:rPr>
        <w:t> </w:t>
      </w:r>
      <w:r>
        <w:rPr>
          <w:color w:val="0D0D0D"/>
        </w:rPr>
        <w:t>is a significantly higher returns and higher sharper ratio associated with</w:t>
      </w:r>
      <w:r>
        <w:rPr>
          <w:color w:val="0D0D0D"/>
          <w:spacing w:val="40"/>
        </w:rPr>
        <w:t> </w:t>
      </w:r>
      <w:r>
        <w:rPr>
          <w:color w:val="0D0D0D"/>
        </w:rPr>
        <w:t>the portfolio with maximum Sharpe</w:t>
      </w:r>
      <w:r>
        <w:rPr>
          <w:color w:val="0D0D0D"/>
          <w:spacing w:val="-2"/>
        </w:rPr>
        <w:t> </w:t>
      </w:r>
      <w:r>
        <w:rPr>
          <w:color w:val="0D0D0D"/>
        </w:rPr>
        <w:t>point .Therefore</w:t>
      </w:r>
      <w:r>
        <w:rPr>
          <w:color w:val="0D0D0D"/>
          <w:spacing w:val="-2"/>
        </w:rPr>
        <w:t> </w:t>
      </w:r>
      <w:r>
        <w:rPr>
          <w:color w:val="0D0D0D"/>
        </w:rPr>
        <w:t>this portfolio is been selected the cummulative returns of this portfolio for the year 2023 is obtained which is 30.79%</w:t>
      </w:r>
    </w:p>
    <w:p>
      <w:pPr>
        <w:pStyle w:val="BodyText"/>
        <w:spacing w:after="0"/>
        <w:sectPr>
          <w:pgSz w:w="11910" w:h="16840"/>
          <w:pgMar w:top="1480" w:bottom="280" w:left="425" w:right="283"/>
        </w:sectPr>
      </w:pPr>
    </w:p>
    <w:p>
      <w:pPr>
        <w:pStyle w:val="BodyText"/>
        <w:spacing w:before="60"/>
        <w:ind w:left="1015" w:right="1174"/>
      </w:pPr>
      <w:r>
        <w:rPr>
          <w:color w:val="0D0D0D"/>
        </w:rPr>
        <w:t>Heat map is used to represent the covariance matrix which in turn represents the covariance between assets in a portfolio .High covariances are represented by strong colours while low covariances are present at by weaker colour .It measures the degree to which returns of two assets</w:t>
      </w:r>
      <w:r>
        <w:rPr>
          <w:color w:val="0D0D0D"/>
          <w:spacing w:val="-3"/>
        </w:rPr>
        <w:t> </w:t>
      </w:r>
      <w:r>
        <w:rPr>
          <w:color w:val="0D0D0D"/>
        </w:rPr>
        <w:t>move</w:t>
      </w:r>
      <w:r>
        <w:rPr>
          <w:color w:val="0D0D0D"/>
          <w:spacing w:val="-4"/>
        </w:rPr>
        <w:t> </w:t>
      </w:r>
      <w:r>
        <w:rPr>
          <w:color w:val="0D0D0D"/>
        </w:rPr>
        <w:t>in</w:t>
      </w:r>
      <w:r>
        <w:rPr>
          <w:color w:val="0D0D0D"/>
          <w:spacing w:val="-3"/>
        </w:rPr>
        <w:t> </w:t>
      </w:r>
      <w:r>
        <w:rPr>
          <w:color w:val="0D0D0D"/>
        </w:rPr>
        <w:t>relation</w:t>
      </w:r>
      <w:r>
        <w:rPr>
          <w:color w:val="0D0D0D"/>
          <w:spacing w:val="-3"/>
        </w:rPr>
        <w:t> </w:t>
      </w:r>
      <w:r>
        <w:rPr>
          <w:color w:val="0D0D0D"/>
        </w:rPr>
        <w:t>to</w:t>
      </w:r>
      <w:r>
        <w:rPr>
          <w:color w:val="0D0D0D"/>
          <w:spacing w:val="-1"/>
        </w:rPr>
        <w:t> </w:t>
      </w:r>
      <w:r>
        <w:rPr>
          <w:color w:val="0D0D0D"/>
        </w:rPr>
        <w:t>one</w:t>
      </w:r>
      <w:r>
        <w:rPr>
          <w:color w:val="0D0D0D"/>
          <w:spacing w:val="-4"/>
        </w:rPr>
        <w:t> </w:t>
      </w:r>
      <w:r>
        <w:rPr>
          <w:color w:val="0D0D0D"/>
        </w:rPr>
        <w:t>another</w:t>
      </w:r>
      <w:r>
        <w:rPr>
          <w:color w:val="0D0D0D"/>
          <w:spacing w:val="-3"/>
        </w:rPr>
        <w:t> </w:t>
      </w:r>
      <w:r>
        <w:rPr>
          <w:color w:val="0D0D0D"/>
        </w:rPr>
        <w:t>and</w:t>
      </w:r>
      <w:r>
        <w:rPr>
          <w:color w:val="0D0D0D"/>
          <w:spacing w:val="-3"/>
        </w:rPr>
        <w:t> </w:t>
      </w:r>
      <w:r>
        <w:rPr>
          <w:color w:val="0D0D0D"/>
        </w:rPr>
        <w:t>helps</w:t>
      </w:r>
      <w:r>
        <w:rPr>
          <w:color w:val="0D0D0D"/>
          <w:spacing w:val="-3"/>
        </w:rPr>
        <w:t> </w:t>
      </w:r>
      <w:r>
        <w:rPr>
          <w:color w:val="0D0D0D"/>
        </w:rPr>
        <w:t>in</w:t>
      </w:r>
      <w:r>
        <w:rPr>
          <w:color w:val="0D0D0D"/>
          <w:spacing w:val="-1"/>
        </w:rPr>
        <w:t> </w:t>
      </w:r>
      <w:r>
        <w:rPr>
          <w:color w:val="0D0D0D"/>
        </w:rPr>
        <w:t>assessing</w:t>
      </w:r>
      <w:r>
        <w:rPr>
          <w:color w:val="0D0D0D"/>
          <w:spacing w:val="-3"/>
        </w:rPr>
        <w:t> </w:t>
      </w:r>
      <w:r>
        <w:rPr>
          <w:color w:val="0D0D0D"/>
        </w:rPr>
        <w:t>the</w:t>
      </w:r>
      <w:r>
        <w:rPr>
          <w:color w:val="0D0D0D"/>
          <w:spacing w:val="-4"/>
        </w:rPr>
        <w:t> </w:t>
      </w:r>
      <w:r>
        <w:rPr>
          <w:color w:val="0D0D0D"/>
        </w:rPr>
        <w:t>risk</w:t>
      </w:r>
      <w:r>
        <w:rPr>
          <w:color w:val="0D0D0D"/>
          <w:spacing w:val="-3"/>
        </w:rPr>
        <w:t> </w:t>
      </w:r>
      <w:r>
        <w:rPr>
          <w:color w:val="0D0D0D"/>
        </w:rPr>
        <w:t>associated</w:t>
      </w:r>
      <w:r>
        <w:rPr>
          <w:color w:val="0D0D0D"/>
          <w:spacing w:val="-3"/>
        </w:rPr>
        <w:t> </w:t>
      </w:r>
      <w:r>
        <w:rPr>
          <w:color w:val="0D0D0D"/>
        </w:rPr>
        <w:t>with</w:t>
      </w:r>
      <w:r>
        <w:rPr>
          <w:color w:val="0D0D0D"/>
          <w:spacing w:val="-3"/>
        </w:rPr>
        <w:t> </w:t>
      </w:r>
      <w:r>
        <w:rPr>
          <w:color w:val="0D0D0D"/>
        </w:rPr>
        <w:t>different asset pairings</w:t>
      </w:r>
    </w:p>
    <w:p>
      <w:pPr>
        <w:pStyle w:val="BodyText"/>
        <w:spacing w:before="118"/>
        <w:rPr>
          <w:sz w:val="20"/>
        </w:rPr>
      </w:pPr>
      <w:r>
        <w:rPr>
          <w:sz w:val="20"/>
        </w:rPr>
        <w:drawing>
          <wp:anchor distT="0" distB="0" distL="0" distR="0" allowOverlap="1" layoutInCell="1" locked="0" behindDoc="1" simplePos="0" relativeHeight="487589888">
            <wp:simplePos x="0" y="0"/>
            <wp:positionH relativeFrom="page">
              <wp:posOffset>1845645</wp:posOffset>
            </wp:positionH>
            <wp:positionV relativeFrom="paragraph">
              <wp:posOffset>236365</wp:posOffset>
            </wp:positionV>
            <wp:extent cx="3344716" cy="2877502"/>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3344716" cy="2877502"/>
                    </a:xfrm>
                    <a:prstGeom prst="rect">
                      <a:avLst/>
                    </a:prstGeom>
                  </pic:spPr>
                </pic:pic>
              </a:graphicData>
            </a:graphic>
          </wp:anchor>
        </w:drawing>
      </w:r>
    </w:p>
    <w:p>
      <w:pPr>
        <w:pStyle w:val="BodyText"/>
        <w:spacing w:before="99"/>
        <w:ind w:right="46"/>
        <w:jc w:val="center"/>
      </w:pPr>
      <w:r>
        <w:rPr>
          <w:color w:val="0D0D0D"/>
        </w:rPr>
        <w:t>Fig.5.</w:t>
      </w:r>
      <w:r>
        <w:rPr>
          <w:color w:val="0D0D0D"/>
          <w:spacing w:val="-1"/>
        </w:rPr>
        <w:t> </w:t>
      </w:r>
      <w:r>
        <w:rPr>
          <w:color w:val="0D0D0D"/>
        </w:rPr>
        <w:t>Heat map of the</w:t>
      </w:r>
      <w:r>
        <w:rPr>
          <w:color w:val="0D0D0D"/>
          <w:spacing w:val="-3"/>
        </w:rPr>
        <w:t> </w:t>
      </w:r>
      <w:r>
        <w:rPr>
          <w:color w:val="0D0D0D"/>
        </w:rPr>
        <w:t>stocks in the </w:t>
      </w:r>
      <w:r>
        <w:rPr>
          <w:color w:val="0D0D0D"/>
          <w:spacing w:val="-2"/>
        </w:rPr>
        <w:t>portfolio</w:t>
      </w:r>
    </w:p>
    <w:p>
      <w:pPr>
        <w:pStyle w:val="BodyText"/>
        <w:spacing w:before="77"/>
        <w:rPr>
          <w:sz w:val="20"/>
        </w:rPr>
      </w:pPr>
      <w:r>
        <w:rPr>
          <w:sz w:val="20"/>
        </w:rPr>
        <w:drawing>
          <wp:anchor distT="0" distB="0" distL="0" distR="0" allowOverlap="1" layoutInCell="1" locked="0" behindDoc="1" simplePos="0" relativeHeight="487590400">
            <wp:simplePos x="0" y="0"/>
            <wp:positionH relativeFrom="page">
              <wp:posOffset>2079359</wp:posOffset>
            </wp:positionH>
            <wp:positionV relativeFrom="paragraph">
              <wp:posOffset>210170</wp:posOffset>
            </wp:positionV>
            <wp:extent cx="3329558" cy="332612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3329558" cy="3326129"/>
                    </a:xfrm>
                    <a:prstGeom prst="rect">
                      <a:avLst/>
                    </a:prstGeom>
                  </pic:spPr>
                </pic:pic>
              </a:graphicData>
            </a:graphic>
          </wp:anchor>
        </w:drawing>
      </w:r>
    </w:p>
    <w:p>
      <w:pPr>
        <w:pStyle w:val="BodyText"/>
        <w:spacing w:before="68"/>
        <w:ind w:left="43"/>
        <w:jc w:val="center"/>
      </w:pPr>
      <w:r>
        <w:rPr>
          <w:color w:val="0D0D0D"/>
        </w:rPr>
        <w:t>Fig.6.Efficient</w:t>
      </w:r>
      <w:r>
        <w:rPr>
          <w:color w:val="0D0D0D"/>
          <w:spacing w:val="-1"/>
        </w:rPr>
        <w:t> </w:t>
      </w:r>
      <w:r>
        <w:rPr>
          <w:color w:val="0D0D0D"/>
        </w:rPr>
        <w:t>frontier</w:t>
      </w:r>
      <w:r>
        <w:rPr>
          <w:color w:val="0D0D0D"/>
          <w:spacing w:val="-2"/>
        </w:rPr>
        <w:t> </w:t>
      </w:r>
      <w:r>
        <w:rPr>
          <w:color w:val="0D0D0D"/>
        </w:rPr>
        <w:t>of</w:t>
      </w:r>
      <w:r>
        <w:rPr>
          <w:color w:val="0D0D0D"/>
          <w:spacing w:val="-3"/>
        </w:rPr>
        <w:t> </w:t>
      </w:r>
      <w:r>
        <w:rPr>
          <w:color w:val="0D0D0D"/>
        </w:rPr>
        <w:t>the</w:t>
      </w:r>
      <w:r>
        <w:rPr>
          <w:color w:val="0D0D0D"/>
          <w:spacing w:val="-2"/>
        </w:rPr>
        <w:t> portfolio</w:t>
      </w:r>
    </w:p>
    <w:p>
      <w:pPr>
        <w:pStyle w:val="BodyText"/>
        <w:spacing w:after="0"/>
        <w:jc w:val="center"/>
        <w:sectPr>
          <w:pgSz w:w="11910" w:h="16840"/>
          <w:pgMar w:top="1360" w:bottom="280" w:left="425" w:right="283"/>
        </w:sectPr>
      </w:pPr>
    </w:p>
    <w:tbl>
      <w:tblPr>
        <w:tblW w:w="0" w:type="auto"/>
        <w:jc w:val="left"/>
        <w:tblInd w:w="3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5"/>
        <w:gridCol w:w="1193"/>
      </w:tblGrid>
      <w:tr>
        <w:trPr>
          <w:trHeight w:val="285" w:hRule="atLeast"/>
        </w:trPr>
        <w:tc>
          <w:tcPr>
            <w:tcW w:w="1985" w:type="dxa"/>
          </w:tcPr>
          <w:p>
            <w:pPr>
              <w:pStyle w:val="TableParagraph"/>
              <w:spacing w:line="266" w:lineRule="exact"/>
              <w:rPr>
                <w:sz w:val="24"/>
              </w:rPr>
            </w:pPr>
            <w:r>
              <w:rPr>
                <w:color w:val="0D0D0D"/>
                <w:spacing w:val="-2"/>
                <w:sz w:val="24"/>
              </w:rPr>
              <w:t>Stocks</w:t>
            </w:r>
          </w:p>
        </w:tc>
        <w:tc>
          <w:tcPr>
            <w:tcW w:w="1193" w:type="dxa"/>
          </w:tcPr>
          <w:p>
            <w:pPr>
              <w:pStyle w:val="TableParagraph"/>
              <w:spacing w:line="266" w:lineRule="exact"/>
              <w:rPr>
                <w:sz w:val="24"/>
              </w:rPr>
            </w:pPr>
            <w:r>
              <w:rPr>
                <w:color w:val="0D0D0D"/>
                <w:spacing w:val="-2"/>
                <w:sz w:val="24"/>
              </w:rPr>
              <w:t>Weights</w:t>
            </w:r>
          </w:p>
        </w:tc>
      </w:tr>
      <w:tr>
        <w:trPr>
          <w:trHeight w:val="302" w:hRule="atLeast"/>
        </w:trPr>
        <w:tc>
          <w:tcPr>
            <w:tcW w:w="1985" w:type="dxa"/>
          </w:tcPr>
          <w:p>
            <w:pPr>
              <w:pStyle w:val="TableParagraph"/>
              <w:spacing w:line="275" w:lineRule="exact"/>
              <w:rPr>
                <w:sz w:val="24"/>
              </w:rPr>
            </w:pPr>
            <w:r>
              <w:rPr>
                <w:color w:val="0D0D0D"/>
                <w:sz w:val="24"/>
              </w:rPr>
              <w:t>ADANI</w:t>
            </w:r>
            <w:r>
              <w:rPr>
                <w:color w:val="0D0D0D"/>
                <w:spacing w:val="-4"/>
                <w:sz w:val="24"/>
              </w:rPr>
              <w:t> PORTS</w:t>
            </w:r>
          </w:p>
        </w:tc>
        <w:tc>
          <w:tcPr>
            <w:tcW w:w="1193" w:type="dxa"/>
          </w:tcPr>
          <w:p>
            <w:pPr>
              <w:pStyle w:val="TableParagraph"/>
              <w:spacing w:line="275" w:lineRule="exact"/>
              <w:rPr>
                <w:sz w:val="24"/>
              </w:rPr>
            </w:pPr>
            <w:r>
              <w:rPr>
                <w:color w:val="0D0D0D"/>
                <w:spacing w:val="-2"/>
                <w:sz w:val="24"/>
              </w:rPr>
              <w:t>0.0843</w:t>
            </w:r>
          </w:p>
        </w:tc>
      </w:tr>
      <w:tr>
        <w:trPr>
          <w:trHeight w:val="551" w:hRule="atLeast"/>
        </w:trPr>
        <w:tc>
          <w:tcPr>
            <w:tcW w:w="1985" w:type="dxa"/>
          </w:tcPr>
          <w:p>
            <w:pPr>
              <w:pStyle w:val="TableParagraph"/>
              <w:spacing w:line="276" w:lineRule="exact"/>
              <w:ind w:right="966"/>
              <w:rPr>
                <w:sz w:val="24"/>
              </w:rPr>
            </w:pPr>
            <w:r>
              <w:rPr>
                <w:color w:val="0D0D0D"/>
                <w:spacing w:val="-2"/>
                <w:sz w:val="24"/>
              </w:rPr>
              <w:t>BHARTI AIRTEL</w:t>
            </w:r>
          </w:p>
        </w:tc>
        <w:tc>
          <w:tcPr>
            <w:tcW w:w="1193" w:type="dxa"/>
          </w:tcPr>
          <w:p>
            <w:pPr>
              <w:pStyle w:val="TableParagraph"/>
              <w:spacing w:line="275" w:lineRule="exact"/>
              <w:rPr>
                <w:sz w:val="24"/>
              </w:rPr>
            </w:pPr>
            <w:r>
              <w:rPr>
                <w:color w:val="0D0D0D"/>
                <w:spacing w:val="-2"/>
                <w:sz w:val="24"/>
              </w:rPr>
              <w:t>0.0691</w:t>
            </w:r>
          </w:p>
        </w:tc>
      </w:tr>
      <w:tr>
        <w:trPr>
          <w:trHeight w:val="301" w:hRule="atLeast"/>
        </w:trPr>
        <w:tc>
          <w:tcPr>
            <w:tcW w:w="1985" w:type="dxa"/>
          </w:tcPr>
          <w:p>
            <w:pPr>
              <w:pStyle w:val="TableParagraph"/>
              <w:spacing w:line="275" w:lineRule="exact"/>
              <w:rPr>
                <w:sz w:val="24"/>
              </w:rPr>
            </w:pPr>
            <w:r>
              <w:rPr>
                <w:color w:val="0D0D0D"/>
                <w:spacing w:val="-5"/>
                <w:sz w:val="24"/>
              </w:rPr>
              <w:t>DLF</w:t>
            </w:r>
          </w:p>
        </w:tc>
        <w:tc>
          <w:tcPr>
            <w:tcW w:w="1193" w:type="dxa"/>
          </w:tcPr>
          <w:p>
            <w:pPr>
              <w:pStyle w:val="TableParagraph"/>
              <w:spacing w:line="275" w:lineRule="exact"/>
              <w:rPr>
                <w:sz w:val="24"/>
              </w:rPr>
            </w:pPr>
            <w:r>
              <w:rPr>
                <w:color w:val="0D0D0D"/>
                <w:spacing w:val="-2"/>
                <w:sz w:val="24"/>
              </w:rPr>
              <w:t>0.0745</w:t>
            </w:r>
          </w:p>
        </w:tc>
      </w:tr>
      <w:tr>
        <w:trPr>
          <w:trHeight w:val="285" w:hRule="atLeast"/>
        </w:trPr>
        <w:tc>
          <w:tcPr>
            <w:tcW w:w="1985" w:type="dxa"/>
          </w:tcPr>
          <w:p>
            <w:pPr>
              <w:pStyle w:val="TableParagraph"/>
              <w:spacing w:line="265" w:lineRule="exact"/>
              <w:rPr>
                <w:sz w:val="24"/>
              </w:rPr>
            </w:pPr>
            <w:r>
              <w:rPr>
                <w:color w:val="0D0D0D"/>
                <w:sz w:val="24"/>
              </w:rPr>
              <w:t>HCL </w:t>
            </w:r>
            <w:r>
              <w:rPr>
                <w:color w:val="0D0D0D"/>
                <w:spacing w:val="-4"/>
                <w:sz w:val="24"/>
              </w:rPr>
              <w:t>TECH</w:t>
            </w:r>
          </w:p>
        </w:tc>
        <w:tc>
          <w:tcPr>
            <w:tcW w:w="1193" w:type="dxa"/>
          </w:tcPr>
          <w:p>
            <w:pPr>
              <w:pStyle w:val="TableParagraph"/>
              <w:spacing w:line="265" w:lineRule="exact"/>
              <w:rPr>
                <w:sz w:val="24"/>
              </w:rPr>
            </w:pPr>
            <w:r>
              <w:rPr>
                <w:color w:val="0D0D0D"/>
                <w:spacing w:val="-2"/>
                <w:sz w:val="24"/>
              </w:rPr>
              <w:t>0.0767</w:t>
            </w:r>
          </w:p>
        </w:tc>
      </w:tr>
      <w:tr>
        <w:trPr>
          <w:trHeight w:val="301" w:hRule="atLeast"/>
        </w:trPr>
        <w:tc>
          <w:tcPr>
            <w:tcW w:w="1985" w:type="dxa"/>
          </w:tcPr>
          <w:p>
            <w:pPr>
              <w:pStyle w:val="TableParagraph"/>
              <w:spacing w:line="275" w:lineRule="exact"/>
              <w:rPr>
                <w:sz w:val="24"/>
              </w:rPr>
            </w:pPr>
            <w:r>
              <w:rPr>
                <w:color w:val="0D0D0D"/>
                <w:spacing w:val="-4"/>
                <w:sz w:val="24"/>
              </w:rPr>
              <w:t>HDFC</w:t>
            </w:r>
          </w:p>
        </w:tc>
        <w:tc>
          <w:tcPr>
            <w:tcW w:w="1193" w:type="dxa"/>
          </w:tcPr>
          <w:p>
            <w:pPr>
              <w:pStyle w:val="TableParagraph"/>
              <w:spacing w:line="275" w:lineRule="exact"/>
              <w:rPr>
                <w:sz w:val="24"/>
              </w:rPr>
            </w:pPr>
            <w:r>
              <w:rPr>
                <w:color w:val="0D0D0D"/>
                <w:spacing w:val="-2"/>
                <w:sz w:val="24"/>
              </w:rPr>
              <w:t>0.0675</w:t>
            </w:r>
          </w:p>
        </w:tc>
      </w:tr>
      <w:tr>
        <w:trPr>
          <w:trHeight w:val="285" w:hRule="atLeast"/>
        </w:trPr>
        <w:tc>
          <w:tcPr>
            <w:tcW w:w="1985" w:type="dxa"/>
          </w:tcPr>
          <w:p>
            <w:pPr>
              <w:pStyle w:val="TableParagraph"/>
              <w:spacing w:line="265" w:lineRule="exact"/>
              <w:rPr>
                <w:sz w:val="24"/>
              </w:rPr>
            </w:pPr>
            <w:r>
              <w:rPr>
                <w:color w:val="0D0D0D"/>
                <w:spacing w:val="-2"/>
                <w:sz w:val="24"/>
              </w:rPr>
              <w:t>HINDUNILVR</w:t>
            </w:r>
          </w:p>
        </w:tc>
        <w:tc>
          <w:tcPr>
            <w:tcW w:w="1193" w:type="dxa"/>
          </w:tcPr>
          <w:p>
            <w:pPr>
              <w:pStyle w:val="TableParagraph"/>
              <w:spacing w:line="265" w:lineRule="exact"/>
              <w:rPr>
                <w:sz w:val="24"/>
              </w:rPr>
            </w:pPr>
            <w:r>
              <w:rPr>
                <w:color w:val="0D0D0D"/>
                <w:spacing w:val="-2"/>
                <w:sz w:val="24"/>
              </w:rPr>
              <w:t>0.1554</w:t>
            </w:r>
          </w:p>
        </w:tc>
      </w:tr>
      <w:tr>
        <w:trPr>
          <w:trHeight w:val="301" w:hRule="atLeast"/>
        </w:trPr>
        <w:tc>
          <w:tcPr>
            <w:tcW w:w="1985" w:type="dxa"/>
          </w:tcPr>
          <w:p>
            <w:pPr>
              <w:pStyle w:val="TableParagraph"/>
              <w:spacing w:line="275" w:lineRule="exact"/>
              <w:rPr>
                <w:sz w:val="24"/>
              </w:rPr>
            </w:pPr>
            <w:r>
              <w:rPr>
                <w:color w:val="0D0D0D"/>
                <w:spacing w:val="-4"/>
                <w:sz w:val="24"/>
              </w:rPr>
              <w:t>ONGC</w:t>
            </w:r>
          </w:p>
        </w:tc>
        <w:tc>
          <w:tcPr>
            <w:tcW w:w="1193" w:type="dxa"/>
          </w:tcPr>
          <w:p>
            <w:pPr>
              <w:pStyle w:val="TableParagraph"/>
              <w:spacing w:line="275" w:lineRule="exact"/>
              <w:rPr>
                <w:sz w:val="24"/>
              </w:rPr>
            </w:pPr>
            <w:r>
              <w:rPr>
                <w:color w:val="0D0D0D"/>
                <w:spacing w:val="-2"/>
                <w:sz w:val="24"/>
              </w:rPr>
              <w:t>0.0913</w:t>
            </w:r>
          </w:p>
        </w:tc>
      </w:tr>
      <w:tr>
        <w:trPr>
          <w:trHeight w:val="285" w:hRule="atLeast"/>
        </w:trPr>
        <w:tc>
          <w:tcPr>
            <w:tcW w:w="1985" w:type="dxa"/>
          </w:tcPr>
          <w:p>
            <w:pPr>
              <w:pStyle w:val="TableParagraph"/>
              <w:spacing w:line="265" w:lineRule="exact"/>
              <w:rPr>
                <w:sz w:val="24"/>
              </w:rPr>
            </w:pPr>
            <w:r>
              <w:rPr>
                <w:color w:val="0D0D0D"/>
                <w:spacing w:val="-2"/>
                <w:sz w:val="24"/>
              </w:rPr>
              <w:t>POWERGRID</w:t>
            </w:r>
          </w:p>
        </w:tc>
        <w:tc>
          <w:tcPr>
            <w:tcW w:w="1193" w:type="dxa"/>
          </w:tcPr>
          <w:p>
            <w:pPr>
              <w:pStyle w:val="TableParagraph"/>
              <w:spacing w:line="265" w:lineRule="exact"/>
              <w:rPr>
                <w:sz w:val="24"/>
              </w:rPr>
            </w:pPr>
            <w:r>
              <w:rPr>
                <w:color w:val="0D0D0D"/>
                <w:spacing w:val="-2"/>
                <w:sz w:val="24"/>
              </w:rPr>
              <w:t>0.1251</w:t>
            </w:r>
          </w:p>
        </w:tc>
      </w:tr>
      <w:tr>
        <w:trPr>
          <w:trHeight w:val="301" w:hRule="atLeast"/>
        </w:trPr>
        <w:tc>
          <w:tcPr>
            <w:tcW w:w="1985" w:type="dxa"/>
          </w:tcPr>
          <w:p>
            <w:pPr>
              <w:pStyle w:val="TableParagraph"/>
              <w:spacing w:line="275" w:lineRule="exact"/>
              <w:rPr>
                <w:sz w:val="24"/>
              </w:rPr>
            </w:pPr>
            <w:r>
              <w:rPr>
                <w:color w:val="0D0D0D"/>
                <w:sz w:val="24"/>
              </w:rPr>
              <w:t>SUN</w:t>
            </w:r>
            <w:r>
              <w:rPr>
                <w:color w:val="0D0D0D"/>
                <w:spacing w:val="-1"/>
                <w:sz w:val="24"/>
              </w:rPr>
              <w:t> </w:t>
            </w:r>
            <w:r>
              <w:rPr>
                <w:color w:val="0D0D0D"/>
                <w:spacing w:val="-2"/>
                <w:sz w:val="24"/>
              </w:rPr>
              <w:t>PHARMA</w:t>
            </w:r>
          </w:p>
        </w:tc>
        <w:tc>
          <w:tcPr>
            <w:tcW w:w="1193" w:type="dxa"/>
          </w:tcPr>
          <w:p>
            <w:pPr>
              <w:pStyle w:val="TableParagraph"/>
              <w:spacing w:line="275" w:lineRule="exact"/>
              <w:rPr>
                <w:sz w:val="24"/>
              </w:rPr>
            </w:pPr>
            <w:r>
              <w:rPr>
                <w:color w:val="0D0D0D"/>
                <w:spacing w:val="-2"/>
                <w:sz w:val="24"/>
              </w:rPr>
              <w:t>0.0679</w:t>
            </w:r>
          </w:p>
        </w:tc>
      </w:tr>
      <w:tr>
        <w:trPr>
          <w:trHeight w:val="285" w:hRule="atLeast"/>
        </w:trPr>
        <w:tc>
          <w:tcPr>
            <w:tcW w:w="1985" w:type="dxa"/>
          </w:tcPr>
          <w:p>
            <w:pPr>
              <w:pStyle w:val="TableParagraph"/>
              <w:spacing w:line="265" w:lineRule="exact"/>
              <w:rPr>
                <w:sz w:val="24"/>
              </w:rPr>
            </w:pPr>
            <w:r>
              <w:rPr>
                <w:color w:val="0D0D0D"/>
                <w:sz w:val="24"/>
              </w:rPr>
              <w:t>TATA</w:t>
            </w:r>
            <w:r>
              <w:rPr>
                <w:color w:val="0D0D0D"/>
                <w:spacing w:val="-2"/>
                <w:sz w:val="24"/>
              </w:rPr>
              <w:t> STEEL</w:t>
            </w:r>
          </w:p>
        </w:tc>
        <w:tc>
          <w:tcPr>
            <w:tcW w:w="1193" w:type="dxa"/>
          </w:tcPr>
          <w:p>
            <w:pPr>
              <w:pStyle w:val="TableParagraph"/>
              <w:spacing w:line="265" w:lineRule="exact"/>
              <w:rPr>
                <w:sz w:val="24"/>
              </w:rPr>
            </w:pPr>
            <w:r>
              <w:rPr>
                <w:color w:val="0D0D0D"/>
                <w:spacing w:val="-2"/>
                <w:sz w:val="24"/>
              </w:rPr>
              <w:t>0.1039</w:t>
            </w:r>
          </w:p>
        </w:tc>
      </w:tr>
      <w:tr>
        <w:trPr>
          <w:trHeight w:val="276" w:hRule="atLeast"/>
        </w:trPr>
        <w:tc>
          <w:tcPr>
            <w:tcW w:w="1985" w:type="dxa"/>
          </w:tcPr>
          <w:p>
            <w:pPr>
              <w:pStyle w:val="TableParagraph"/>
              <w:spacing w:line="256" w:lineRule="exact"/>
              <w:rPr>
                <w:sz w:val="24"/>
              </w:rPr>
            </w:pPr>
            <w:r>
              <w:rPr>
                <w:color w:val="0D0D0D"/>
                <w:spacing w:val="-2"/>
                <w:sz w:val="24"/>
              </w:rPr>
              <w:t>TITAN</w:t>
            </w:r>
          </w:p>
        </w:tc>
        <w:tc>
          <w:tcPr>
            <w:tcW w:w="1193" w:type="dxa"/>
          </w:tcPr>
          <w:p>
            <w:pPr>
              <w:pStyle w:val="TableParagraph"/>
              <w:spacing w:line="256" w:lineRule="exact"/>
              <w:rPr>
                <w:sz w:val="24"/>
              </w:rPr>
            </w:pPr>
            <w:r>
              <w:rPr>
                <w:color w:val="0D0D0D"/>
                <w:spacing w:val="-2"/>
                <w:sz w:val="24"/>
              </w:rPr>
              <w:t>0.0838</w:t>
            </w:r>
          </w:p>
        </w:tc>
      </w:tr>
    </w:tbl>
    <w:p>
      <w:pPr>
        <w:pStyle w:val="BodyText"/>
        <w:spacing w:before="26"/>
      </w:pPr>
    </w:p>
    <w:p>
      <w:pPr>
        <w:pStyle w:val="BodyText"/>
        <w:ind w:left="703" w:right="1131"/>
        <w:jc w:val="center"/>
      </w:pPr>
      <w:r>
        <w:rPr>
          <w:color w:val="0D0D0D"/>
        </w:rPr>
        <w:t>Table</w:t>
      </w:r>
      <w:r>
        <w:rPr>
          <w:color w:val="0D0D0D"/>
          <w:spacing w:val="-2"/>
        </w:rPr>
        <w:t> </w:t>
      </w:r>
      <w:r>
        <w:rPr>
          <w:color w:val="0D0D0D"/>
        </w:rPr>
        <w:t>2</w:t>
      </w:r>
      <w:r>
        <w:rPr>
          <w:color w:val="0D0D0D"/>
          <w:spacing w:val="-1"/>
        </w:rPr>
        <w:t> </w:t>
      </w:r>
      <w:r>
        <w:rPr>
          <w:color w:val="0D0D0D"/>
        </w:rPr>
        <w:t>Weights</w:t>
      </w:r>
      <w:r>
        <w:rPr>
          <w:color w:val="0D0D0D"/>
          <w:spacing w:val="-1"/>
        </w:rPr>
        <w:t> </w:t>
      </w:r>
      <w:r>
        <w:rPr>
          <w:color w:val="0D0D0D"/>
        </w:rPr>
        <w:t>at</w:t>
      </w:r>
      <w:r>
        <w:rPr>
          <w:color w:val="0D0D0D"/>
          <w:spacing w:val="-1"/>
        </w:rPr>
        <w:t> </w:t>
      </w:r>
      <w:r>
        <w:rPr>
          <w:color w:val="0D0D0D"/>
        </w:rPr>
        <w:t>maximum</w:t>
      </w:r>
      <w:r>
        <w:rPr>
          <w:color w:val="0D0D0D"/>
          <w:spacing w:val="-1"/>
        </w:rPr>
        <w:t> </w:t>
      </w:r>
      <w:r>
        <w:rPr>
          <w:color w:val="0D0D0D"/>
        </w:rPr>
        <w:t>Sharpe</w:t>
      </w:r>
      <w:r>
        <w:rPr>
          <w:color w:val="0D0D0D"/>
          <w:spacing w:val="-3"/>
        </w:rPr>
        <w:t> </w:t>
      </w:r>
      <w:r>
        <w:rPr>
          <w:color w:val="0D0D0D"/>
          <w:spacing w:val="-2"/>
        </w:rPr>
        <w:t>ratio(1.194)</w:t>
      </w:r>
    </w:p>
    <w:p>
      <w:pPr>
        <w:pStyle w:val="BodyText"/>
        <w:spacing w:before="95"/>
        <w:rPr>
          <w:sz w:val="20"/>
        </w:rPr>
      </w:pPr>
      <w:r>
        <w:rPr>
          <w:sz w:val="20"/>
        </w:rPr>
        <w:drawing>
          <wp:anchor distT="0" distB="0" distL="0" distR="0" allowOverlap="1" layoutInCell="1" locked="0" behindDoc="1" simplePos="0" relativeHeight="487590912">
            <wp:simplePos x="0" y="0"/>
            <wp:positionH relativeFrom="page">
              <wp:posOffset>1688847</wp:posOffset>
            </wp:positionH>
            <wp:positionV relativeFrom="paragraph">
              <wp:posOffset>221672</wp:posOffset>
            </wp:positionV>
            <wp:extent cx="3913969" cy="226771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3913969" cy="2267712"/>
                    </a:xfrm>
                    <a:prstGeom prst="rect">
                      <a:avLst/>
                    </a:prstGeom>
                  </pic:spPr>
                </pic:pic>
              </a:graphicData>
            </a:graphic>
          </wp:anchor>
        </w:drawing>
      </w:r>
    </w:p>
    <w:p>
      <w:pPr>
        <w:pStyle w:val="BodyText"/>
        <w:spacing w:before="117"/>
        <w:ind w:left="837" w:right="1131"/>
        <w:jc w:val="center"/>
      </w:pPr>
      <w:r>
        <w:rPr>
          <w:color w:val="0D0D0D"/>
        </w:rPr>
        <w:t>Fig.7.</w:t>
      </w:r>
      <w:r>
        <w:rPr>
          <w:color w:val="0D0D0D"/>
          <w:spacing w:val="-1"/>
        </w:rPr>
        <w:t> </w:t>
      </w:r>
      <w:r>
        <w:rPr>
          <w:color w:val="0D0D0D"/>
        </w:rPr>
        <w:t>Portfolio</w:t>
      </w:r>
      <w:r>
        <w:rPr>
          <w:color w:val="0D0D0D"/>
          <w:spacing w:val="-1"/>
        </w:rPr>
        <w:t> </w:t>
      </w:r>
      <w:r>
        <w:rPr>
          <w:color w:val="0D0D0D"/>
        </w:rPr>
        <w:t>(11</w:t>
      </w:r>
      <w:r>
        <w:rPr>
          <w:color w:val="0D0D0D"/>
          <w:spacing w:val="-1"/>
        </w:rPr>
        <w:t> </w:t>
      </w:r>
      <w:r>
        <w:rPr>
          <w:color w:val="0D0D0D"/>
        </w:rPr>
        <w:t>stocks</w:t>
      </w:r>
      <w:r>
        <w:rPr>
          <w:color w:val="0D0D0D"/>
          <w:spacing w:val="-1"/>
        </w:rPr>
        <w:t> </w:t>
      </w:r>
      <w:r>
        <w:rPr>
          <w:color w:val="0D0D0D"/>
        </w:rPr>
        <w:t>from</w:t>
      </w:r>
      <w:r>
        <w:rPr>
          <w:color w:val="0D0D0D"/>
          <w:spacing w:val="-1"/>
        </w:rPr>
        <w:t> </w:t>
      </w:r>
      <w:r>
        <w:rPr>
          <w:color w:val="0D0D0D"/>
        </w:rPr>
        <w:t>11 sectors)</w:t>
      </w:r>
      <w:r>
        <w:rPr>
          <w:color w:val="0D0D0D"/>
          <w:spacing w:val="-2"/>
        </w:rPr>
        <w:t> </w:t>
      </w:r>
      <w:r>
        <w:rPr>
          <w:color w:val="0D0D0D"/>
        </w:rPr>
        <w:t>returns</w:t>
      </w:r>
      <w:r>
        <w:rPr>
          <w:color w:val="0D0D0D"/>
          <w:spacing w:val="-1"/>
        </w:rPr>
        <w:t> </w:t>
      </w:r>
      <w:r>
        <w:rPr>
          <w:color w:val="0D0D0D"/>
        </w:rPr>
        <w:t>for </w:t>
      </w:r>
      <w:r>
        <w:rPr>
          <w:color w:val="0D0D0D"/>
          <w:spacing w:val="-4"/>
        </w:rPr>
        <w:t>2023</w:t>
      </w:r>
    </w:p>
    <w:p>
      <w:pPr>
        <w:pStyle w:val="BodyText"/>
      </w:pPr>
    </w:p>
    <w:p>
      <w:pPr>
        <w:pStyle w:val="BodyText"/>
        <w:ind w:left="1015" w:right="1260"/>
      </w:pPr>
      <w:r>
        <w:rPr>
          <w:color w:val="0D0D0D"/>
        </w:rPr>
        <w:t>GARCH</w:t>
      </w:r>
      <w:r>
        <w:rPr>
          <w:color w:val="0D0D0D"/>
          <w:spacing w:val="-4"/>
        </w:rPr>
        <w:t> </w:t>
      </w:r>
      <w:r>
        <w:rPr>
          <w:color w:val="0D0D0D"/>
        </w:rPr>
        <w:t>model</w:t>
      </w:r>
      <w:r>
        <w:rPr>
          <w:color w:val="0D0D0D"/>
          <w:spacing w:val="-3"/>
        </w:rPr>
        <w:t> </w:t>
      </w:r>
      <w:r>
        <w:rPr>
          <w:color w:val="0D0D0D"/>
        </w:rPr>
        <w:t>is</w:t>
      </w:r>
      <w:r>
        <w:rPr>
          <w:color w:val="0D0D0D"/>
          <w:spacing w:val="-3"/>
        </w:rPr>
        <w:t> </w:t>
      </w:r>
      <w:r>
        <w:rPr>
          <w:color w:val="0D0D0D"/>
        </w:rPr>
        <w:t>being</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forecast</w:t>
      </w:r>
      <w:r>
        <w:rPr>
          <w:color w:val="0D0D0D"/>
          <w:spacing w:val="-3"/>
        </w:rPr>
        <w:t> </w:t>
      </w:r>
      <w:r>
        <w:rPr>
          <w:color w:val="0D0D0D"/>
        </w:rPr>
        <w:t>the</w:t>
      </w:r>
      <w:r>
        <w:rPr>
          <w:color w:val="0D0D0D"/>
          <w:spacing w:val="-2"/>
        </w:rPr>
        <w:t> </w:t>
      </w:r>
      <w:r>
        <w:rPr>
          <w:color w:val="0D0D0D"/>
        </w:rPr>
        <w:t>volatility</w:t>
      </w:r>
      <w:r>
        <w:rPr>
          <w:color w:val="0D0D0D"/>
          <w:spacing w:val="-2"/>
        </w:rPr>
        <w:t> </w:t>
      </w:r>
      <w:r>
        <w:rPr>
          <w:color w:val="0D0D0D"/>
        </w:rPr>
        <w:t>of</w:t>
      </w:r>
      <w:r>
        <w:rPr>
          <w:color w:val="0D0D0D"/>
          <w:spacing w:val="-3"/>
        </w:rPr>
        <w:t> </w:t>
      </w:r>
      <w:r>
        <w:rPr>
          <w:color w:val="0D0D0D"/>
        </w:rPr>
        <w:t>the</w:t>
      </w:r>
      <w:r>
        <w:rPr>
          <w:color w:val="0D0D0D"/>
          <w:spacing w:val="-5"/>
        </w:rPr>
        <w:t> </w:t>
      </w:r>
      <w:r>
        <w:rPr>
          <w:color w:val="0D0D0D"/>
        </w:rPr>
        <w:t>new</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volatility</w:t>
      </w:r>
      <w:r>
        <w:rPr>
          <w:color w:val="0D0D0D"/>
          <w:spacing w:val="-3"/>
        </w:rPr>
        <w:t> </w:t>
      </w:r>
      <w:r>
        <w:rPr>
          <w:color w:val="0D0D0D"/>
        </w:rPr>
        <w:t>of sensex for the year 2023.</w:t>
      </w:r>
    </w:p>
    <w:p>
      <w:pPr>
        <w:pStyle w:val="BodyText"/>
        <w:spacing w:before="74"/>
        <w:rPr>
          <w:sz w:val="20"/>
        </w:rPr>
      </w:pPr>
      <w:r>
        <w:rPr>
          <w:sz w:val="20"/>
        </w:rPr>
        <w:drawing>
          <wp:anchor distT="0" distB="0" distL="0" distR="0" allowOverlap="1" layoutInCell="1" locked="0" behindDoc="1" simplePos="0" relativeHeight="487591424">
            <wp:simplePos x="0" y="0"/>
            <wp:positionH relativeFrom="page">
              <wp:posOffset>944456</wp:posOffset>
            </wp:positionH>
            <wp:positionV relativeFrom="paragraph">
              <wp:posOffset>208651</wp:posOffset>
            </wp:positionV>
            <wp:extent cx="2723304" cy="1743551"/>
            <wp:effectExtent l="0" t="0" r="0" b="0"/>
            <wp:wrapTopAndBottom/>
            <wp:docPr id="11" name="Image 11" descr="A graph with blue lines  Description automatically generated"/>
            <wp:cNvGraphicFramePr>
              <a:graphicFrameLocks/>
            </wp:cNvGraphicFramePr>
            <a:graphic>
              <a:graphicData uri="http://schemas.openxmlformats.org/drawingml/2006/picture">
                <pic:pic>
                  <pic:nvPicPr>
                    <pic:cNvPr id="11" name="Image 11" descr="A graph with blue lines  Description automatically generated"/>
                    <pic:cNvPicPr/>
                  </pic:nvPicPr>
                  <pic:blipFill>
                    <a:blip r:embed="rId15" cstate="print"/>
                    <a:stretch>
                      <a:fillRect/>
                    </a:stretch>
                  </pic:blipFill>
                  <pic:spPr>
                    <a:xfrm>
                      <a:off x="0" y="0"/>
                      <a:ext cx="2723304" cy="1743551"/>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3764239</wp:posOffset>
            </wp:positionH>
            <wp:positionV relativeFrom="paragraph">
              <wp:posOffset>223713</wp:posOffset>
            </wp:positionV>
            <wp:extent cx="2768789" cy="1743551"/>
            <wp:effectExtent l="0" t="0" r="0" b="0"/>
            <wp:wrapTopAndBottom/>
            <wp:docPr id="12" name="Image 12" descr="A graph with blue lines  Description automatically generated"/>
            <wp:cNvGraphicFramePr>
              <a:graphicFrameLocks/>
            </wp:cNvGraphicFramePr>
            <a:graphic>
              <a:graphicData uri="http://schemas.openxmlformats.org/drawingml/2006/picture">
                <pic:pic>
                  <pic:nvPicPr>
                    <pic:cNvPr id="12" name="Image 12" descr="A graph with blue lines  Description automatically generated"/>
                    <pic:cNvPicPr/>
                  </pic:nvPicPr>
                  <pic:blipFill>
                    <a:blip r:embed="rId16" cstate="print"/>
                    <a:stretch>
                      <a:fillRect/>
                    </a:stretch>
                  </pic:blipFill>
                  <pic:spPr>
                    <a:xfrm>
                      <a:off x="0" y="0"/>
                      <a:ext cx="2768789" cy="1743551"/>
                    </a:xfrm>
                    <a:prstGeom prst="rect">
                      <a:avLst/>
                    </a:prstGeom>
                  </pic:spPr>
                </pic:pic>
              </a:graphicData>
            </a:graphic>
          </wp:anchor>
        </w:drawing>
      </w:r>
    </w:p>
    <w:p>
      <w:pPr>
        <w:pStyle w:val="BodyText"/>
        <w:spacing w:before="42"/>
        <w:ind w:left="2095"/>
      </w:pPr>
      <w:r>
        <w:rPr>
          <w:color w:val="0D0D0D"/>
        </w:rPr>
        <w:t>Fig.8.Forcasted</w:t>
      </w:r>
      <w:r>
        <w:rPr>
          <w:color w:val="0D0D0D"/>
          <w:spacing w:val="-2"/>
        </w:rPr>
        <w:t> </w:t>
      </w:r>
      <w:r>
        <w:rPr>
          <w:color w:val="0D0D0D"/>
        </w:rPr>
        <w:t>volatility</w:t>
      </w:r>
      <w:r>
        <w:rPr>
          <w:color w:val="0D0D0D"/>
          <w:spacing w:val="-1"/>
        </w:rPr>
        <w:t> </w:t>
      </w:r>
      <w:r>
        <w:rPr>
          <w:color w:val="0D0D0D"/>
        </w:rPr>
        <w:t>of</w:t>
      </w:r>
      <w:r>
        <w:rPr>
          <w:color w:val="0D0D0D"/>
          <w:spacing w:val="-1"/>
        </w:rPr>
        <w:t> </w:t>
      </w:r>
      <w:r>
        <w:rPr>
          <w:color w:val="0D0D0D"/>
        </w:rPr>
        <w:t>portfolio</w:t>
      </w:r>
      <w:r>
        <w:rPr>
          <w:color w:val="0D0D0D"/>
          <w:spacing w:val="-1"/>
        </w:rPr>
        <w:t> </w:t>
      </w:r>
      <w:r>
        <w:rPr>
          <w:color w:val="0D0D0D"/>
        </w:rPr>
        <w:t>&amp;</w:t>
      </w:r>
      <w:r>
        <w:rPr>
          <w:color w:val="0D0D0D"/>
          <w:spacing w:val="-3"/>
        </w:rPr>
        <w:t> </w:t>
      </w:r>
      <w:r>
        <w:rPr>
          <w:color w:val="0D0D0D"/>
        </w:rPr>
        <w:t>Sensex</w:t>
      </w:r>
      <w:r>
        <w:rPr>
          <w:color w:val="0D0D0D"/>
          <w:spacing w:val="-1"/>
        </w:rPr>
        <w:t> </w:t>
      </w:r>
      <w:r>
        <w:rPr>
          <w:color w:val="0D0D0D"/>
        </w:rPr>
        <w:t>for</w:t>
      </w:r>
      <w:r>
        <w:rPr>
          <w:color w:val="0D0D0D"/>
          <w:spacing w:val="-3"/>
        </w:rPr>
        <w:t> </w:t>
      </w:r>
      <w:r>
        <w:rPr>
          <w:color w:val="0D0D0D"/>
          <w:spacing w:val="-4"/>
        </w:rPr>
        <w:t>2023</w:t>
      </w:r>
    </w:p>
    <w:p>
      <w:pPr>
        <w:pStyle w:val="BodyText"/>
        <w:spacing w:after="0"/>
        <w:sectPr>
          <w:pgSz w:w="11910" w:h="16840"/>
          <w:pgMar w:top="1400" w:bottom="280" w:left="425" w:right="283"/>
        </w:sect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2976"/>
      </w:tblGrid>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0.000043</w:t>
            </w:r>
          </w:p>
        </w:tc>
      </w:tr>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0.000041</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4"/>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0.000014</w:t>
            </w:r>
          </w:p>
        </w:tc>
      </w:tr>
      <w:tr>
        <w:trPr>
          <w:trHeight w:val="277" w:hRule="atLeast"/>
        </w:trPr>
        <w:tc>
          <w:tcPr>
            <w:tcW w:w="5384" w:type="dxa"/>
          </w:tcPr>
          <w:p>
            <w:pPr>
              <w:pStyle w:val="TableParagraph"/>
              <w:spacing w:line="257" w:lineRule="exact" w:before="1"/>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sensex</w:t>
            </w:r>
          </w:p>
        </w:tc>
        <w:tc>
          <w:tcPr>
            <w:tcW w:w="2976" w:type="dxa"/>
          </w:tcPr>
          <w:p>
            <w:pPr>
              <w:pStyle w:val="TableParagraph"/>
              <w:spacing w:line="257" w:lineRule="exact" w:before="1"/>
              <w:rPr>
                <w:sz w:val="24"/>
              </w:rPr>
            </w:pPr>
            <w:r>
              <w:rPr>
                <w:color w:val="0D0D0D"/>
                <w:spacing w:val="-2"/>
                <w:sz w:val="24"/>
              </w:rPr>
              <w:t>0.000006</w:t>
            </w:r>
          </w:p>
        </w:tc>
      </w:tr>
      <w:tr>
        <w:trPr>
          <w:trHeight w:val="275" w:hRule="atLeast"/>
        </w:trPr>
        <w:tc>
          <w:tcPr>
            <w:tcW w:w="5384" w:type="dxa"/>
          </w:tcPr>
          <w:p>
            <w:pPr>
              <w:pStyle w:val="TableParagraph"/>
              <w:spacing w:line="256" w:lineRule="exact"/>
              <w:rPr>
                <w:sz w:val="24"/>
              </w:rPr>
            </w:pPr>
            <w:r>
              <w:rPr>
                <w:color w:val="0D0D0D"/>
                <w:sz w:val="24"/>
              </w:rPr>
              <w:t>Ratio</w:t>
            </w:r>
            <w:r>
              <w:rPr>
                <w:color w:val="0D0D0D"/>
                <w:spacing w:val="-2"/>
                <w:sz w:val="24"/>
              </w:rPr>
              <w:t> </w:t>
            </w:r>
            <w:r>
              <w:rPr>
                <w:color w:val="0D0D0D"/>
                <w:sz w:val="24"/>
              </w:rPr>
              <w:t>of</w:t>
            </w:r>
            <w:r>
              <w:rPr>
                <w:color w:val="0D0D0D"/>
                <w:spacing w:val="-1"/>
                <w:sz w:val="24"/>
              </w:rPr>
              <w:t> </w:t>
            </w:r>
            <w:r>
              <w:rPr>
                <w:color w:val="0D0D0D"/>
                <w:sz w:val="24"/>
              </w:rPr>
              <w:t>portfolio</w:t>
            </w:r>
            <w:r>
              <w:rPr>
                <w:color w:val="0D0D0D"/>
                <w:spacing w:val="-1"/>
                <w:sz w:val="24"/>
              </w:rPr>
              <w:t> </w:t>
            </w:r>
            <w:r>
              <w:rPr>
                <w:color w:val="0D0D0D"/>
                <w:sz w:val="24"/>
              </w:rPr>
              <w:t>volatility</w:t>
            </w:r>
            <w:r>
              <w:rPr>
                <w:color w:val="0D0D0D"/>
                <w:spacing w:val="-2"/>
                <w:sz w:val="24"/>
              </w:rPr>
              <w:t> </w:t>
            </w:r>
            <w:r>
              <w:rPr>
                <w:color w:val="0D0D0D"/>
                <w:sz w:val="24"/>
              </w:rPr>
              <w:t>and</w:t>
            </w:r>
            <w:r>
              <w:rPr>
                <w:color w:val="0D0D0D"/>
                <w:spacing w:val="-1"/>
                <w:sz w:val="24"/>
              </w:rPr>
              <w:t> </w:t>
            </w:r>
            <w:r>
              <w:rPr>
                <w:color w:val="0D0D0D"/>
                <w:sz w:val="24"/>
              </w:rPr>
              <w:t>sensex</w:t>
            </w:r>
            <w:r>
              <w:rPr>
                <w:color w:val="0D0D0D"/>
                <w:spacing w:val="-1"/>
                <w:sz w:val="24"/>
              </w:rPr>
              <w:t> </w:t>
            </w:r>
            <w:r>
              <w:rPr>
                <w:color w:val="0D0D0D"/>
                <w:spacing w:val="-2"/>
                <w:sz w:val="24"/>
              </w:rPr>
              <w:t>volatility</w:t>
            </w:r>
          </w:p>
        </w:tc>
        <w:tc>
          <w:tcPr>
            <w:tcW w:w="2976" w:type="dxa"/>
          </w:tcPr>
          <w:p>
            <w:pPr>
              <w:pStyle w:val="TableParagraph"/>
              <w:spacing w:line="256" w:lineRule="exact"/>
              <w:rPr>
                <w:sz w:val="24"/>
              </w:rPr>
            </w:pPr>
            <w:r>
              <w:rPr>
                <w:color w:val="0D0D0D"/>
                <w:spacing w:val="-2"/>
                <w:sz w:val="24"/>
              </w:rPr>
              <w:t>1.063166</w:t>
            </w:r>
          </w:p>
        </w:tc>
      </w:tr>
    </w:tbl>
    <w:p>
      <w:pPr>
        <w:pStyle w:val="BodyText"/>
        <w:spacing w:before="20"/>
      </w:pPr>
    </w:p>
    <w:p>
      <w:pPr>
        <w:pStyle w:val="BodyText"/>
        <w:ind w:left="2875"/>
      </w:pPr>
      <w:r>
        <w:rPr>
          <w:color w:val="0D0D0D"/>
        </w:rPr>
        <w:t>Table</w:t>
      </w:r>
      <w:r>
        <w:rPr>
          <w:color w:val="0D0D0D"/>
          <w:spacing w:val="-1"/>
        </w:rPr>
        <w:t> </w:t>
      </w:r>
      <w:r>
        <w:rPr>
          <w:color w:val="0D0D0D"/>
        </w:rPr>
        <w:t>3.Results</w:t>
      </w:r>
      <w:r>
        <w:rPr>
          <w:color w:val="0D0D0D"/>
          <w:spacing w:val="-1"/>
        </w:rPr>
        <w:t> </w:t>
      </w:r>
      <w:r>
        <w:rPr>
          <w:color w:val="0D0D0D"/>
        </w:rPr>
        <w:t>from</w:t>
      </w:r>
      <w:r>
        <w:rPr>
          <w:color w:val="0D0D0D"/>
          <w:spacing w:val="-1"/>
        </w:rPr>
        <w:t> </w:t>
      </w:r>
      <w:r>
        <w:rPr>
          <w:color w:val="0D0D0D"/>
        </w:rPr>
        <w:t>GARCH</w:t>
      </w:r>
      <w:r>
        <w:rPr>
          <w:color w:val="0D0D0D"/>
          <w:spacing w:val="-1"/>
        </w:rPr>
        <w:t> </w:t>
      </w:r>
      <w:r>
        <w:rPr>
          <w:color w:val="0D0D0D"/>
          <w:spacing w:val="-2"/>
        </w:rPr>
        <w:t>model</w:t>
      </w:r>
    </w:p>
    <w:p>
      <w:pPr>
        <w:pStyle w:val="BodyText"/>
      </w:pPr>
    </w:p>
    <w:p>
      <w:pPr>
        <w:pStyle w:val="BodyText"/>
      </w:pPr>
    </w:p>
    <w:p>
      <w:pPr>
        <w:pStyle w:val="Heading2"/>
      </w:pPr>
      <w:r>
        <w:rPr>
          <w:color w:val="0D0D0D"/>
        </w:rPr>
        <w:t>Top</w:t>
      </w:r>
      <w:r>
        <w:rPr>
          <w:color w:val="0D0D0D"/>
          <w:spacing w:val="-1"/>
        </w:rPr>
        <w:t> </w:t>
      </w:r>
      <w:r>
        <w:rPr>
          <w:color w:val="0D0D0D"/>
        </w:rPr>
        <w:t>25 percentile</w:t>
      </w:r>
      <w:r>
        <w:rPr>
          <w:color w:val="0D0D0D"/>
          <w:spacing w:val="-2"/>
        </w:rPr>
        <w:t> </w:t>
      </w:r>
      <w:r>
        <w:rPr>
          <w:color w:val="0D0D0D"/>
        </w:rPr>
        <w:t>stocks with</w:t>
      </w:r>
      <w:r>
        <w:rPr>
          <w:color w:val="0D0D0D"/>
          <w:spacing w:val="-1"/>
        </w:rPr>
        <w:t> </w:t>
      </w:r>
      <w:r>
        <w:rPr>
          <w:color w:val="0D0D0D"/>
        </w:rPr>
        <w:t>highest</w:t>
      </w:r>
      <w:r>
        <w:rPr>
          <w:color w:val="0D0D0D"/>
          <w:spacing w:val="1"/>
        </w:rPr>
        <w:t> </w:t>
      </w:r>
      <w:r>
        <w:rPr>
          <w:color w:val="0D0D0D"/>
        </w:rPr>
        <w:t>Sharpe</w:t>
      </w:r>
      <w:r>
        <w:rPr>
          <w:color w:val="0D0D0D"/>
          <w:spacing w:val="-1"/>
        </w:rPr>
        <w:t> </w:t>
      </w:r>
      <w:r>
        <w:rPr>
          <w:color w:val="0D0D0D"/>
          <w:spacing w:val="-4"/>
        </w:rPr>
        <w:t>ratio</w:t>
      </w:r>
    </w:p>
    <w:p>
      <w:pPr>
        <w:pStyle w:val="BodyText"/>
        <w:rPr>
          <w:b/>
        </w:rPr>
      </w:pPr>
    </w:p>
    <w:p>
      <w:pPr>
        <w:pStyle w:val="BodyText"/>
        <w:ind w:left="1015" w:right="1174"/>
      </w:pPr>
      <w:r>
        <w:rPr>
          <w:color w:val="0D0D0D"/>
        </w:rPr>
        <w:t>Sharpe ratio is a measure of risk adjusted i.e., the excess returns to those above and industry benchmark</w:t>
      </w:r>
      <w:r>
        <w:rPr>
          <w:color w:val="0D0D0D"/>
          <w:spacing w:val="-2"/>
        </w:rPr>
        <w:t> </w:t>
      </w:r>
      <w:r>
        <w:rPr>
          <w:color w:val="0D0D0D"/>
        </w:rPr>
        <w:t>or</w:t>
      </w:r>
      <w:r>
        <w:rPr>
          <w:color w:val="0D0D0D"/>
          <w:spacing w:val="-2"/>
        </w:rPr>
        <w:t> </w:t>
      </w:r>
      <w:r>
        <w:rPr>
          <w:color w:val="0D0D0D"/>
        </w:rPr>
        <w:t>the</w:t>
      </w:r>
      <w:r>
        <w:rPr>
          <w:color w:val="0D0D0D"/>
          <w:spacing w:val="-4"/>
        </w:rPr>
        <w:t> </w:t>
      </w:r>
      <w:r>
        <w:rPr>
          <w:color w:val="0D0D0D"/>
        </w:rPr>
        <w:t>risk</w:t>
      </w:r>
      <w:r>
        <w:rPr>
          <w:color w:val="0D0D0D"/>
          <w:spacing w:val="-2"/>
        </w:rPr>
        <w:t> </w:t>
      </w:r>
      <w:r>
        <w:rPr>
          <w:color w:val="0D0D0D"/>
        </w:rPr>
        <w:t>free</w:t>
      </w:r>
      <w:r>
        <w:rPr>
          <w:color w:val="0D0D0D"/>
          <w:spacing w:val="-3"/>
        </w:rPr>
        <w:t> </w:t>
      </w:r>
      <w:r>
        <w:rPr>
          <w:color w:val="0D0D0D"/>
        </w:rPr>
        <w:t>rate</w:t>
      </w:r>
      <w:r>
        <w:rPr>
          <w:color w:val="0D0D0D"/>
          <w:spacing w:val="-2"/>
        </w:rPr>
        <w:t> </w:t>
      </w:r>
      <w:r>
        <w:rPr>
          <w:color w:val="0D0D0D"/>
        </w:rPr>
        <w:t>of</w:t>
      </w:r>
      <w:r>
        <w:rPr>
          <w:color w:val="0D0D0D"/>
          <w:spacing w:val="-2"/>
        </w:rPr>
        <w:t> </w:t>
      </w:r>
      <w:r>
        <w:rPr>
          <w:color w:val="0D0D0D"/>
        </w:rPr>
        <w:t>return</w:t>
      </w:r>
      <w:r>
        <w:rPr>
          <w:color w:val="0D0D0D"/>
          <w:spacing w:val="-1"/>
        </w:rPr>
        <w:t> </w:t>
      </w:r>
      <w:r>
        <w:rPr>
          <w:color w:val="0D0D0D"/>
        </w:rPr>
        <w:t>.The</w:t>
      </w:r>
      <w:r>
        <w:rPr>
          <w:color w:val="0D0D0D"/>
          <w:spacing w:val="-3"/>
        </w:rPr>
        <w:t> </w:t>
      </w:r>
      <w:r>
        <w:rPr>
          <w:color w:val="0D0D0D"/>
        </w:rPr>
        <w:t>higher</w:t>
      </w:r>
      <w:r>
        <w:rPr>
          <w:color w:val="0D0D0D"/>
          <w:spacing w:val="-2"/>
        </w:rPr>
        <w:t> </w:t>
      </w:r>
      <w:r>
        <w:rPr>
          <w:color w:val="0D0D0D"/>
        </w:rPr>
        <w:t>the</w:t>
      </w:r>
      <w:r>
        <w:rPr>
          <w:color w:val="0D0D0D"/>
          <w:spacing w:val="-3"/>
        </w:rPr>
        <w:t> </w:t>
      </w:r>
      <w:r>
        <w:rPr>
          <w:color w:val="0D0D0D"/>
        </w:rPr>
        <w:t>Sharpe</w:t>
      </w:r>
      <w:r>
        <w:rPr>
          <w:color w:val="0D0D0D"/>
          <w:spacing w:val="-3"/>
        </w:rPr>
        <w:t> </w:t>
      </w:r>
      <w:r>
        <w:rPr>
          <w:color w:val="0D0D0D"/>
        </w:rPr>
        <w:t>ratio</w:t>
      </w:r>
      <w:r>
        <w:rPr>
          <w:color w:val="0D0D0D"/>
          <w:spacing w:val="-2"/>
        </w:rPr>
        <w:t> </w:t>
      </w:r>
      <w:r>
        <w:rPr>
          <w:color w:val="0D0D0D"/>
        </w:rPr>
        <w:t>the</w:t>
      </w:r>
      <w:r>
        <w:rPr>
          <w:color w:val="0D0D0D"/>
          <w:spacing w:val="-2"/>
        </w:rPr>
        <w:t> </w:t>
      </w:r>
      <w:r>
        <w:rPr>
          <w:color w:val="0D0D0D"/>
        </w:rPr>
        <w:t>better</w:t>
      </w:r>
      <w:r>
        <w:rPr>
          <w:color w:val="0D0D0D"/>
          <w:spacing w:val="-2"/>
        </w:rPr>
        <w:t> </w:t>
      </w:r>
      <w:r>
        <w:rPr>
          <w:color w:val="0D0D0D"/>
        </w:rPr>
        <w:t>it</w:t>
      </w:r>
      <w:r>
        <w:rPr>
          <w:color w:val="0D0D0D"/>
          <w:spacing w:val="-2"/>
        </w:rPr>
        <w:t> </w:t>
      </w:r>
      <w:r>
        <w:rPr>
          <w:color w:val="0D0D0D"/>
        </w:rPr>
        <w:t>is</w:t>
      </w:r>
      <w:r>
        <w:rPr>
          <w:color w:val="0D0D0D"/>
          <w:spacing w:val="-1"/>
        </w:rPr>
        <w:t> </w:t>
      </w:r>
      <w:r>
        <w:rPr>
          <w:color w:val="0D0D0D"/>
        </w:rPr>
        <w:t>compared to the similar portfolios .Therefore this is taken as a metric and the top performing (25 percentile) stocks which fall under this category are being selected.</w:t>
      </w:r>
    </w:p>
    <w:p>
      <w:pPr>
        <w:pStyle w:val="BodyText"/>
        <w:spacing w:line="550" w:lineRule="atLeast" w:before="3"/>
        <w:ind w:left="1015" w:right="1680" w:firstLine="480"/>
      </w:pPr>
      <w:r>
        <w:rPr>
          <w:color w:val="0D0D0D"/>
        </w:rPr>
        <w:t>Sharpe ratio = [Fund Return – Risk-Free Return]/Standard deviation of the fund The</w:t>
      </w:r>
      <w:r>
        <w:rPr>
          <w:color w:val="0D0D0D"/>
          <w:spacing w:val="-4"/>
        </w:rPr>
        <w:t> </w:t>
      </w:r>
      <w:r>
        <w:rPr>
          <w:color w:val="0D0D0D"/>
        </w:rPr>
        <w:t>XGBoost</w:t>
      </w:r>
      <w:r>
        <w:rPr>
          <w:color w:val="0D0D0D"/>
          <w:spacing w:val="-3"/>
        </w:rPr>
        <w:t> </w:t>
      </w:r>
      <w:r>
        <w:rPr>
          <w:color w:val="0D0D0D"/>
        </w:rPr>
        <w:t>classifier</w:t>
      </w:r>
      <w:r>
        <w:rPr>
          <w:color w:val="0D0D0D"/>
          <w:spacing w:val="-2"/>
        </w:rPr>
        <w:t> </w:t>
      </w:r>
      <w:r>
        <w:rPr>
          <w:color w:val="0D0D0D"/>
        </w:rPr>
        <w:t>model</w:t>
      </w:r>
      <w:r>
        <w:rPr>
          <w:color w:val="0D0D0D"/>
          <w:spacing w:val="-3"/>
        </w:rPr>
        <w:t> </w:t>
      </w:r>
      <w:r>
        <w:rPr>
          <w:color w:val="0D0D0D"/>
        </w:rPr>
        <w:t>is</w:t>
      </w:r>
      <w:r>
        <w:rPr>
          <w:color w:val="0D0D0D"/>
          <w:spacing w:val="-1"/>
        </w:rPr>
        <w:t> </w:t>
      </w:r>
      <w:r>
        <w:rPr>
          <w:color w:val="0D0D0D"/>
        </w:rPr>
        <w:t>trained</w:t>
      </w:r>
      <w:r>
        <w:rPr>
          <w:color w:val="0D0D0D"/>
          <w:spacing w:val="-3"/>
        </w:rPr>
        <w:t> </w:t>
      </w:r>
      <w:r>
        <w:rPr>
          <w:color w:val="0D0D0D"/>
        </w:rPr>
        <w:t>on</w:t>
      </w:r>
      <w:r>
        <w:rPr>
          <w:color w:val="0D0D0D"/>
          <w:spacing w:val="-3"/>
        </w:rPr>
        <w:t> </w:t>
      </w:r>
      <w:r>
        <w:rPr>
          <w:color w:val="0D0D0D"/>
        </w:rPr>
        <w:t>the</w:t>
      </w:r>
      <w:r>
        <w:rPr>
          <w:color w:val="0D0D0D"/>
          <w:spacing w:val="-3"/>
        </w:rPr>
        <w:t> </w:t>
      </w:r>
      <w:r>
        <w:rPr>
          <w:color w:val="0D0D0D"/>
        </w:rPr>
        <w:t>historic</w:t>
      </w:r>
      <w:r>
        <w:rPr>
          <w:color w:val="0D0D0D"/>
          <w:spacing w:val="-4"/>
        </w:rPr>
        <w:t> </w:t>
      </w:r>
      <w:r>
        <w:rPr>
          <w:color w:val="0D0D0D"/>
        </w:rPr>
        <w:t>data</w:t>
      </w:r>
      <w:r>
        <w:rPr>
          <w:color w:val="0D0D0D"/>
          <w:spacing w:val="-3"/>
        </w:rPr>
        <w:t> </w:t>
      </w:r>
      <w:r>
        <w:rPr>
          <w:color w:val="0D0D0D"/>
        </w:rPr>
        <w:t>and</w:t>
      </w:r>
      <w:r>
        <w:rPr>
          <w:color w:val="0D0D0D"/>
          <w:spacing w:val="-3"/>
        </w:rPr>
        <w:t> </w:t>
      </w:r>
      <w:r>
        <w:rPr>
          <w:color w:val="0D0D0D"/>
        </w:rPr>
        <w:t>it</w:t>
      </w:r>
      <w:r>
        <w:rPr>
          <w:color w:val="0D0D0D"/>
          <w:spacing w:val="-3"/>
        </w:rPr>
        <w:t> </w:t>
      </w:r>
      <w:r>
        <w:rPr>
          <w:color w:val="0D0D0D"/>
        </w:rPr>
        <w:t>is</w:t>
      </w:r>
      <w:r>
        <w:rPr>
          <w:color w:val="0D0D0D"/>
          <w:spacing w:val="-3"/>
        </w:rPr>
        <w:t> </w:t>
      </w:r>
      <w:r>
        <w:rPr>
          <w:color w:val="0D0D0D"/>
        </w:rPr>
        <w:t>used</w:t>
      </w:r>
      <w:r>
        <w:rPr>
          <w:color w:val="0D0D0D"/>
          <w:spacing w:val="-3"/>
        </w:rPr>
        <w:t> </w:t>
      </w:r>
      <w:r>
        <w:rPr>
          <w:color w:val="0D0D0D"/>
        </w:rPr>
        <w:t>to</w:t>
      </w:r>
      <w:r>
        <w:rPr>
          <w:color w:val="0D0D0D"/>
          <w:spacing w:val="-1"/>
        </w:rPr>
        <w:t> </w:t>
      </w:r>
      <w:r>
        <w:rPr>
          <w:color w:val="0D0D0D"/>
        </w:rPr>
        <w:t>classify</w:t>
      </w:r>
      <w:r>
        <w:rPr>
          <w:color w:val="0D0D0D"/>
          <w:spacing w:val="-3"/>
        </w:rPr>
        <w:t> </w:t>
      </w:r>
      <w:r>
        <w:rPr>
          <w:color w:val="0D0D0D"/>
        </w:rPr>
        <w:t>the</w:t>
      </w:r>
    </w:p>
    <w:p>
      <w:pPr>
        <w:pStyle w:val="BodyText"/>
        <w:spacing w:before="2"/>
        <w:ind w:left="1015" w:right="1260"/>
      </w:pPr>
      <w:r>
        <w:rPr>
          <w:color w:val="0D0D0D"/>
        </w:rPr>
        <w:t>performances</w:t>
      </w:r>
      <w:r>
        <w:rPr>
          <w:color w:val="0D0D0D"/>
          <w:spacing w:val="-1"/>
        </w:rPr>
        <w:t> </w:t>
      </w:r>
      <w:r>
        <w:rPr>
          <w:color w:val="0D0D0D"/>
        </w:rPr>
        <w:t>and</w:t>
      </w:r>
      <w:r>
        <w:rPr>
          <w:color w:val="0D0D0D"/>
          <w:spacing w:val="-3"/>
        </w:rPr>
        <w:t> </w:t>
      </w:r>
      <w:r>
        <w:rPr>
          <w:color w:val="0D0D0D"/>
        </w:rPr>
        <w:t>visualise</w:t>
      </w:r>
      <w:r>
        <w:rPr>
          <w:color w:val="0D0D0D"/>
          <w:spacing w:val="-4"/>
        </w:rPr>
        <w:t> </w:t>
      </w:r>
      <w:r>
        <w:rPr>
          <w:color w:val="0D0D0D"/>
        </w:rPr>
        <w:t>the</w:t>
      </w:r>
      <w:r>
        <w:rPr>
          <w:color w:val="0D0D0D"/>
          <w:spacing w:val="-3"/>
        </w:rPr>
        <w:t> </w:t>
      </w:r>
      <w:r>
        <w:rPr>
          <w:color w:val="0D0D0D"/>
        </w:rPr>
        <w:t>returns</w:t>
      </w:r>
      <w:r>
        <w:rPr>
          <w:color w:val="0D0D0D"/>
          <w:spacing w:val="-3"/>
        </w:rPr>
        <w:t> </w:t>
      </w:r>
      <w:r>
        <w:rPr>
          <w:color w:val="0D0D0D"/>
        </w:rPr>
        <w:t>of</w:t>
      </w:r>
      <w:r>
        <w:rPr>
          <w:color w:val="0D0D0D"/>
          <w:spacing w:val="-3"/>
        </w:rPr>
        <w:t> </w:t>
      </w:r>
      <w:r>
        <w:rPr>
          <w:color w:val="0D0D0D"/>
        </w:rPr>
        <w:t>the</w:t>
      </w:r>
      <w:r>
        <w:rPr>
          <w:color w:val="0D0D0D"/>
          <w:spacing w:val="-2"/>
        </w:rPr>
        <w:t> </w:t>
      </w:r>
      <w:r>
        <w:rPr>
          <w:color w:val="0D0D0D"/>
        </w:rPr>
        <w:t>stocks.</w:t>
      </w:r>
      <w:r>
        <w:rPr>
          <w:color w:val="0D0D0D"/>
          <w:spacing w:val="-3"/>
        </w:rPr>
        <w:t> </w:t>
      </w:r>
      <w:r>
        <w:rPr>
          <w:color w:val="0D0D0D"/>
        </w:rPr>
        <w:t>The</w:t>
      </w:r>
      <w:r>
        <w:rPr>
          <w:color w:val="0D0D0D"/>
          <w:spacing w:val="-4"/>
        </w:rPr>
        <w:t> </w:t>
      </w:r>
      <w:r>
        <w:rPr>
          <w:color w:val="0D0D0D"/>
        </w:rPr>
        <w:t>model</w:t>
      </w:r>
      <w:r>
        <w:rPr>
          <w:color w:val="0D0D0D"/>
          <w:spacing w:val="-3"/>
        </w:rPr>
        <w:t> </w:t>
      </w:r>
      <w:r>
        <w:rPr>
          <w:color w:val="0D0D0D"/>
        </w:rPr>
        <w:t>with</w:t>
      </w:r>
      <w:r>
        <w:rPr>
          <w:color w:val="0D0D0D"/>
          <w:spacing w:val="-3"/>
        </w:rPr>
        <w:t> </w:t>
      </w:r>
      <w:r>
        <w:rPr>
          <w:color w:val="0D0D0D"/>
        </w:rPr>
        <w:t>an</w:t>
      </w:r>
      <w:r>
        <w:rPr>
          <w:color w:val="0D0D0D"/>
          <w:spacing w:val="-3"/>
        </w:rPr>
        <w:t> </w:t>
      </w:r>
      <w:r>
        <w:rPr>
          <w:color w:val="0D0D0D"/>
        </w:rPr>
        <w:t>accuracy</w:t>
      </w:r>
      <w:r>
        <w:rPr>
          <w:color w:val="0D0D0D"/>
          <w:spacing w:val="-3"/>
        </w:rPr>
        <w:t> </w:t>
      </w:r>
      <w:r>
        <w:rPr>
          <w:color w:val="0D0D0D"/>
        </w:rPr>
        <w:t>of</w:t>
      </w:r>
      <w:r>
        <w:rPr>
          <w:color w:val="0D0D0D"/>
          <w:spacing w:val="-3"/>
        </w:rPr>
        <w:t> </w:t>
      </w:r>
      <w:r>
        <w:rPr>
          <w:color w:val="0D0D0D"/>
        </w:rPr>
        <w:t>73.42% picked Bajaj finance,Britannia, Bajaj FinServ Titan ,Nestle India ,Asian paint, Powergrid,HDFC Bank ,Hindustan Unilever limited,JSW Steel and Eichermot as the top 25 percentile stocks based on Sharpe ratio.</w:t>
      </w:r>
    </w:p>
    <w:p>
      <w:pPr>
        <w:pStyle w:val="BodyText"/>
        <w:ind w:left="1015"/>
      </w:pPr>
      <w:r>
        <w:rPr>
          <w:color w:val="0D0D0D"/>
        </w:rPr>
        <w:t>Historic</w:t>
      </w:r>
      <w:r>
        <w:rPr>
          <w:color w:val="0D0D0D"/>
          <w:spacing w:val="-5"/>
        </w:rPr>
        <w:t> </w:t>
      </w:r>
      <w:r>
        <w:rPr>
          <w:color w:val="0D0D0D"/>
        </w:rPr>
        <w:t>returns</w:t>
      </w:r>
      <w:r>
        <w:rPr>
          <w:color w:val="0D0D0D"/>
          <w:spacing w:val="-1"/>
        </w:rPr>
        <w:t> </w:t>
      </w:r>
      <w:r>
        <w:rPr>
          <w:color w:val="0D0D0D"/>
        </w:rPr>
        <w:t>and their historical stock</w:t>
      </w:r>
      <w:r>
        <w:rPr>
          <w:color w:val="0D0D0D"/>
          <w:spacing w:val="-1"/>
        </w:rPr>
        <w:t> </w:t>
      </w:r>
      <w:r>
        <w:rPr>
          <w:color w:val="0D0D0D"/>
        </w:rPr>
        <w:t>prices are</w:t>
      </w:r>
      <w:r>
        <w:rPr>
          <w:color w:val="0D0D0D"/>
          <w:spacing w:val="-2"/>
        </w:rPr>
        <w:t> </w:t>
      </w:r>
      <w:r>
        <w:rPr>
          <w:color w:val="0D0D0D"/>
        </w:rPr>
        <w:t>given in</w:t>
      </w:r>
      <w:r>
        <w:rPr>
          <w:color w:val="0D0D0D"/>
          <w:spacing w:val="-1"/>
        </w:rPr>
        <w:t> </w:t>
      </w:r>
      <w:r>
        <w:rPr>
          <w:color w:val="0D0D0D"/>
        </w:rPr>
        <w:t>figure</w:t>
      </w:r>
      <w:r>
        <w:rPr>
          <w:color w:val="0D0D0D"/>
          <w:spacing w:val="2"/>
        </w:rPr>
        <w:t> </w:t>
      </w:r>
      <w:r>
        <w:rPr>
          <w:color w:val="0D0D0D"/>
        </w:rPr>
        <w:t>9</w:t>
      </w:r>
      <w:r>
        <w:rPr>
          <w:color w:val="0D0D0D"/>
          <w:spacing w:val="-1"/>
        </w:rPr>
        <w:t> </w:t>
      </w:r>
      <w:r>
        <w:rPr>
          <w:color w:val="0D0D0D"/>
        </w:rPr>
        <w:t>&amp; </w:t>
      </w:r>
      <w:r>
        <w:rPr>
          <w:color w:val="0D0D0D"/>
          <w:spacing w:val="-5"/>
        </w:rPr>
        <w:t>10.</w:t>
      </w:r>
    </w:p>
    <w:p>
      <w:pPr>
        <w:pStyle w:val="BodyText"/>
        <w:rPr>
          <w:sz w:val="20"/>
        </w:rPr>
      </w:pPr>
    </w:p>
    <w:p>
      <w:pPr>
        <w:pStyle w:val="BodyText"/>
        <w:rPr>
          <w:sz w:val="20"/>
        </w:rPr>
      </w:pPr>
    </w:p>
    <w:p>
      <w:pPr>
        <w:pStyle w:val="BodyText"/>
        <w:spacing w:before="114"/>
        <w:rPr>
          <w:sz w:val="20"/>
        </w:rPr>
      </w:pPr>
      <w:r>
        <w:rPr>
          <w:sz w:val="20"/>
        </w:rPr>
        <w:drawing>
          <wp:anchor distT="0" distB="0" distL="0" distR="0" allowOverlap="1" layoutInCell="1" locked="0" behindDoc="1" simplePos="0" relativeHeight="487592448">
            <wp:simplePos x="0" y="0"/>
            <wp:positionH relativeFrom="page">
              <wp:posOffset>1331849</wp:posOffset>
            </wp:positionH>
            <wp:positionV relativeFrom="paragraph">
              <wp:posOffset>233674</wp:posOffset>
            </wp:positionV>
            <wp:extent cx="4685146" cy="2304288"/>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4685146" cy="2304288"/>
                    </a:xfrm>
                    <a:prstGeom prst="rect">
                      <a:avLst/>
                    </a:prstGeom>
                  </pic:spPr>
                </pic:pic>
              </a:graphicData>
            </a:graphic>
          </wp:anchor>
        </w:drawing>
      </w:r>
    </w:p>
    <w:p>
      <w:pPr>
        <w:pStyle w:val="BodyText"/>
        <w:spacing w:before="51"/>
        <w:ind w:right="12"/>
        <w:jc w:val="center"/>
      </w:pPr>
      <w:r>
        <w:rPr>
          <w:color w:val="0D0D0D"/>
        </w:rPr>
        <w:t>Fig.9.Returns</w:t>
      </w:r>
      <w:r>
        <w:rPr>
          <w:color w:val="0D0D0D"/>
          <w:spacing w:val="-1"/>
        </w:rPr>
        <w:t> </w:t>
      </w:r>
      <w:r>
        <w:rPr>
          <w:color w:val="0D0D0D"/>
        </w:rPr>
        <w:t>of</w:t>
      </w:r>
      <w:r>
        <w:rPr>
          <w:color w:val="0D0D0D"/>
          <w:spacing w:val="-2"/>
        </w:rPr>
        <w:t> </w:t>
      </w:r>
      <w:r>
        <w:rPr>
          <w:color w:val="0D0D0D"/>
        </w:rPr>
        <w:t>top</w:t>
      </w:r>
      <w:r>
        <w:rPr>
          <w:color w:val="0D0D0D"/>
          <w:spacing w:val="-1"/>
        </w:rPr>
        <w:t> </w:t>
      </w:r>
      <w:r>
        <w:rPr>
          <w:color w:val="0D0D0D"/>
        </w:rPr>
        <w:t>25 percentile stocks</w:t>
      </w:r>
      <w:r>
        <w:rPr>
          <w:color w:val="0D0D0D"/>
          <w:spacing w:val="-1"/>
        </w:rPr>
        <w:t> </w:t>
      </w:r>
      <w:r>
        <w:rPr>
          <w:color w:val="0D0D0D"/>
        </w:rPr>
        <w:t>in</w:t>
      </w:r>
      <w:r>
        <w:rPr>
          <w:color w:val="0D0D0D"/>
          <w:spacing w:val="-1"/>
        </w:rPr>
        <w:t> </w:t>
      </w:r>
      <w:r>
        <w:rPr>
          <w:color w:val="0D0D0D"/>
        </w:rPr>
        <w:t>Nifty</w:t>
      </w:r>
      <w:r>
        <w:rPr>
          <w:color w:val="0D0D0D"/>
          <w:spacing w:val="-1"/>
        </w:rPr>
        <w:t> </w:t>
      </w:r>
      <w:r>
        <w:rPr>
          <w:color w:val="0D0D0D"/>
        </w:rPr>
        <w:t>50 (2014-</w:t>
      </w:r>
      <w:r>
        <w:rPr>
          <w:color w:val="0D0D0D"/>
          <w:spacing w:val="-2"/>
        </w:rPr>
        <w:t>2023)</w:t>
      </w:r>
    </w:p>
    <w:p>
      <w:pPr>
        <w:pStyle w:val="BodyText"/>
        <w:spacing w:after="0"/>
        <w:jc w:val="center"/>
        <w:sectPr>
          <w:pgSz w:w="11910" w:h="16840"/>
          <w:pgMar w:top="1680" w:bottom="280" w:left="425" w:right="283"/>
        </w:sectPr>
      </w:pPr>
    </w:p>
    <w:p>
      <w:pPr>
        <w:pStyle w:val="BodyText"/>
        <w:ind w:left="2380"/>
        <w:rPr>
          <w:sz w:val="20"/>
        </w:rPr>
      </w:pPr>
      <w:r>
        <w:rPr>
          <w:sz w:val="20"/>
        </w:rPr>
        <w:drawing>
          <wp:inline distT="0" distB="0" distL="0" distR="0">
            <wp:extent cx="3720351" cy="2304287"/>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3720351" cy="2304287"/>
                    </a:xfrm>
                    <a:prstGeom prst="rect">
                      <a:avLst/>
                    </a:prstGeom>
                  </pic:spPr>
                </pic:pic>
              </a:graphicData>
            </a:graphic>
          </wp:inline>
        </w:drawing>
      </w:r>
      <w:r>
        <w:rPr>
          <w:sz w:val="20"/>
        </w:rPr>
      </w:r>
    </w:p>
    <w:p>
      <w:pPr>
        <w:pStyle w:val="BodyText"/>
        <w:spacing w:before="72"/>
        <w:ind w:left="809" w:right="1131"/>
        <w:jc w:val="center"/>
      </w:pPr>
      <w:r>
        <w:rPr>
          <w:color w:val="0D0D0D"/>
        </w:rPr>
        <w:t>Fig.10Historic</w:t>
      </w:r>
      <w:r>
        <w:rPr>
          <w:color w:val="0D0D0D"/>
          <w:spacing w:val="-4"/>
        </w:rPr>
        <w:t> </w:t>
      </w:r>
      <w:r>
        <w:rPr>
          <w:color w:val="0D0D0D"/>
        </w:rPr>
        <w:t>stock</w:t>
      </w:r>
      <w:r>
        <w:rPr>
          <w:color w:val="0D0D0D"/>
          <w:spacing w:val="-1"/>
        </w:rPr>
        <w:t> </w:t>
      </w:r>
      <w:r>
        <w:rPr>
          <w:color w:val="0D0D0D"/>
        </w:rPr>
        <w:t>prices</w:t>
      </w:r>
      <w:r>
        <w:rPr>
          <w:color w:val="0D0D0D"/>
          <w:spacing w:val="-1"/>
        </w:rPr>
        <w:t> </w:t>
      </w:r>
      <w:r>
        <w:rPr>
          <w:color w:val="0D0D0D"/>
        </w:rPr>
        <w:t>of the</w:t>
      </w:r>
      <w:r>
        <w:rPr>
          <w:color w:val="0D0D0D"/>
          <w:spacing w:val="-1"/>
        </w:rPr>
        <w:t> </w:t>
      </w:r>
      <w:r>
        <w:rPr>
          <w:color w:val="0D0D0D"/>
        </w:rPr>
        <w:t>stocks</w:t>
      </w:r>
      <w:r>
        <w:rPr>
          <w:color w:val="0D0D0D"/>
          <w:spacing w:val="-1"/>
        </w:rPr>
        <w:t> </w:t>
      </w:r>
      <w:r>
        <w:rPr>
          <w:color w:val="0D0D0D"/>
        </w:rPr>
        <w:t>(2014-</w:t>
      </w:r>
      <w:r>
        <w:rPr>
          <w:color w:val="0D0D0D"/>
          <w:spacing w:val="-4"/>
        </w:rPr>
        <w:t>2023)</w:t>
      </w:r>
    </w:p>
    <w:p>
      <w:pPr>
        <w:pStyle w:val="BodyText"/>
        <w:rPr>
          <w:sz w:val="20"/>
        </w:rPr>
      </w:pPr>
    </w:p>
    <w:p>
      <w:pPr>
        <w:pStyle w:val="BodyText"/>
        <w:rPr>
          <w:sz w:val="20"/>
        </w:rPr>
      </w:pPr>
    </w:p>
    <w:p>
      <w:pPr>
        <w:pStyle w:val="BodyText"/>
        <w:spacing w:before="20"/>
        <w:rPr>
          <w:sz w:val="20"/>
        </w:rPr>
      </w:pPr>
      <w:r>
        <w:rPr>
          <w:sz w:val="20"/>
        </w:rPr>
        <w:drawing>
          <wp:anchor distT="0" distB="0" distL="0" distR="0" allowOverlap="1" layoutInCell="1" locked="0" behindDoc="1" simplePos="0" relativeHeight="487592960">
            <wp:simplePos x="0" y="0"/>
            <wp:positionH relativeFrom="page">
              <wp:posOffset>1851592</wp:posOffset>
            </wp:positionH>
            <wp:positionV relativeFrom="paragraph">
              <wp:posOffset>174105</wp:posOffset>
            </wp:positionV>
            <wp:extent cx="3414853" cy="2933509"/>
            <wp:effectExtent l="0" t="0" r="0" b="0"/>
            <wp:wrapTopAndBottom/>
            <wp:docPr id="15" name="Image 15" descr="A chart of different colors  Description automatically generated"/>
            <wp:cNvGraphicFramePr>
              <a:graphicFrameLocks/>
            </wp:cNvGraphicFramePr>
            <a:graphic>
              <a:graphicData uri="http://schemas.openxmlformats.org/drawingml/2006/picture">
                <pic:pic>
                  <pic:nvPicPr>
                    <pic:cNvPr id="15" name="Image 15" descr="A chart of different colors  Description automatically generated"/>
                    <pic:cNvPicPr/>
                  </pic:nvPicPr>
                  <pic:blipFill>
                    <a:blip r:embed="rId19" cstate="print"/>
                    <a:stretch>
                      <a:fillRect/>
                    </a:stretch>
                  </pic:blipFill>
                  <pic:spPr>
                    <a:xfrm>
                      <a:off x="0" y="0"/>
                      <a:ext cx="3414853" cy="2933509"/>
                    </a:xfrm>
                    <a:prstGeom prst="rect">
                      <a:avLst/>
                    </a:prstGeom>
                  </pic:spPr>
                </pic:pic>
              </a:graphicData>
            </a:graphic>
          </wp:anchor>
        </w:drawing>
      </w:r>
    </w:p>
    <w:p>
      <w:pPr>
        <w:pStyle w:val="BodyText"/>
        <w:spacing w:before="51"/>
        <w:ind w:left="3356"/>
      </w:pPr>
      <w:r>
        <w:rPr>
          <w:color w:val="0D0D0D"/>
        </w:rPr>
        <w:t>Fig.11.Heap</w:t>
      </w:r>
      <w:r>
        <w:rPr>
          <w:color w:val="0D0D0D"/>
          <w:spacing w:val="-1"/>
        </w:rPr>
        <w:t> </w:t>
      </w:r>
      <w:r>
        <w:rPr>
          <w:color w:val="0D0D0D"/>
        </w:rPr>
        <w:t>map</w:t>
      </w:r>
      <w:r>
        <w:rPr>
          <w:color w:val="0D0D0D"/>
          <w:spacing w:val="-2"/>
        </w:rPr>
        <w:t> </w:t>
      </w:r>
      <w:r>
        <w:rPr>
          <w:color w:val="0D0D0D"/>
        </w:rPr>
        <w:t>of</w:t>
      </w:r>
      <w:r>
        <w:rPr>
          <w:color w:val="0D0D0D"/>
          <w:spacing w:val="-1"/>
        </w:rPr>
        <w:t> </w:t>
      </w:r>
      <w:r>
        <w:rPr>
          <w:color w:val="0D0D0D"/>
        </w:rPr>
        <w:t>the</w:t>
      </w:r>
      <w:r>
        <w:rPr>
          <w:color w:val="0D0D0D"/>
          <w:spacing w:val="-2"/>
        </w:rPr>
        <w:t> </w:t>
      </w:r>
      <w:r>
        <w:rPr>
          <w:color w:val="0D0D0D"/>
        </w:rPr>
        <w:t>selected</w:t>
      </w:r>
      <w:r>
        <w:rPr>
          <w:color w:val="0D0D0D"/>
          <w:spacing w:val="-1"/>
        </w:rPr>
        <w:t> </w:t>
      </w:r>
      <w:r>
        <w:rPr>
          <w:color w:val="0D0D0D"/>
          <w:spacing w:val="-2"/>
        </w:rPr>
        <w:t>stocks</w:t>
      </w:r>
    </w:p>
    <w:p>
      <w:pPr>
        <w:pStyle w:val="BodyText"/>
      </w:pPr>
    </w:p>
    <w:p>
      <w:pPr>
        <w:pStyle w:val="BodyText"/>
        <w:ind w:left="736" w:right="1131"/>
        <w:jc w:val="center"/>
      </w:pPr>
      <w:r>
        <w:rPr>
          <w:color w:val="0D0D0D"/>
        </w:rPr>
        <w:t>Similar</w:t>
      </w:r>
      <w:r>
        <w:rPr>
          <w:color w:val="0D0D0D"/>
          <w:spacing w:val="-1"/>
        </w:rPr>
        <w:t> </w:t>
      </w:r>
      <w:r>
        <w:rPr>
          <w:color w:val="0D0D0D"/>
        </w:rPr>
        <w:t>to</w:t>
      </w:r>
      <w:r>
        <w:rPr>
          <w:color w:val="0D0D0D"/>
          <w:spacing w:val="-1"/>
        </w:rPr>
        <w:t> </w:t>
      </w:r>
      <w:r>
        <w:rPr>
          <w:color w:val="0D0D0D"/>
        </w:rPr>
        <w:t>the</w:t>
      </w:r>
      <w:r>
        <w:rPr>
          <w:color w:val="0D0D0D"/>
          <w:spacing w:val="-2"/>
        </w:rPr>
        <w:t> </w:t>
      </w:r>
      <w:r>
        <w:rPr>
          <w:color w:val="0D0D0D"/>
        </w:rPr>
        <w:t>previous portfolio</w:t>
      </w:r>
      <w:r>
        <w:rPr>
          <w:color w:val="0D0D0D"/>
          <w:spacing w:val="-1"/>
        </w:rPr>
        <w:t> </w:t>
      </w:r>
      <w:r>
        <w:rPr>
          <w:color w:val="0D0D0D"/>
        </w:rPr>
        <w:t>mean</w:t>
      </w:r>
      <w:r>
        <w:rPr>
          <w:color w:val="0D0D0D"/>
          <w:spacing w:val="-1"/>
        </w:rPr>
        <w:t> </w:t>
      </w:r>
      <w:r>
        <w:rPr>
          <w:color w:val="0D0D0D"/>
        </w:rPr>
        <w:t>variance</w:t>
      </w:r>
      <w:r>
        <w:rPr>
          <w:color w:val="0D0D0D"/>
          <w:spacing w:val="-1"/>
        </w:rPr>
        <w:t> </w:t>
      </w:r>
      <w:r>
        <w:rPr>
          <w:color w:val="0D0D0D"/>
        </w:rPr>
        <w:t>optimization</w:t>
      </w:r>
      <w:r>
        <w:rPr>
          <w:color w:val="0D0D0D"/>
          <w:spacing w:val="-1"/>
        </w:rPr>
        <w:t> </w:t>
      </w:r>
      <w:r>
        <w:rPr>
          <w:color w:val="0D0D0D"/>
        </w:rPr>
        <w:t>is</w:t>
      </w:r>
      <w:r>
        <w:rPr>
          <w:color w:val="0D0D0D"/>
          <w:spacing w:val="-1"/>
        </w:rPr>
        <w:t> </w:t>
      </w:r>
      <w:r>
        <w:rPr>
          <w:color w:val="0D0D0D"/>
        </w:rPr>
        <w:t>being done</w:t>
      </w:r>
      <w:r>
        <w:rPr>
          <w:color w:val="0D0D0D"/>
          <w:spacing w:val="-1"/>
        </w:rPr>
        <w:t> </w:t>
      </w:r>
      <w:r>
        <w:rPr>
          <w:color w:val="0D0D0D"/>
        </w:rPr>
        <w:t>to</w:t>
      </w:r>
      <w:r>
        <w:rPr>
          <w:color w:val="0D0D0D"/>
          <w:spacing w:val="-1"/>
        </w:rPr>
        <w:t> </w:t>
      </w:r>
      <w:r>
        <w:rPr>
          <w:color w:val="0D0D0D"/>
        </w:rPr>
        <w:t>this </w:t>
      </w:r>
      <w:r>
        <w:rPr>
          <w:color w:val="0D0D0D"/>
          <w:spacing w:val="-2"/>
        </w:rPr>
        <w:t>portfolio.</w:t>
      </w:r>
    </w:p>
    <w:p>
      <w:pPr>
        <w:pStyle w:val="BodyText"/>
      </w:pPr>
    </w:p>
    <w:p>
      <w:pPr>
        <w:pStyle w:val="BodyText"/>
        <w:ind w:left="1015" w:right="1260"/>
      </w:pPr>
      <w:r>
        <w:rPr>
          <w:color w:val="0D0D0D"/>
        </w:rPr>
        <w:t>The</w:t>
      </w:r>
      <w:r>
        <w:rPr>
          <w:color w:val="0D0D0D"/>
          <w:spacing w:val="-4"/>
        </w:rPr>
        <w:t> </w:t>
      </w:r>
      <w:r>
        <w:rPr>
          <w:color w:val="0D0D0D"/>
        </w:rPr>
        <w:t>return</w:t>
      </w:r>
      <w:r>
        <w:rPr>
          <w:color w:val="0D0D0D"/>
          <w:spacing w:val="-3"/>
        </w:rPr>
        <w:t> </w:t>
      </w:r>
      <w:r>
        <w:rPr>
          <w:color w:val="0D0D0D"/>
        </w:rPr>
        <w:t>,volatility</w:t>
      </w:r>
      <w:r>
        <w:rPr>
          <w:color w:val="0D0D0D"/>
          <w:spacing w:val="-2"/>
        </w:rPr>
        <w:t> </w:t>
      </w:r>
      <w:r>
        <w:rPr>
          <w:color w:val="0D0D0D"/>
        </w:rPr>
        <w:t>and Sharpe</w:t>
      </w:r>
      <w:r>
        <w:rPr>
          <w:color w:val="0D0D0D"/>
          <w:spacing w:val="-4"/>
        </w:rPr>
        <w:t> </w:t>
      </w:r>
      <w:r>
        <w:rPr>
          <w:color w:val="0D0D0D"/>
        </w:rPr>
        <w:t>ratio</w:t>
      </w:r>
      <w:r>
        <w:rPr>
          <w:color w:val="0D0D0D"/>
          <w:spacing w:val="-2"/>
        </w:rPr>
        <w:t> </w:t>
      </w:r>
      <w:r>
        <w:rPr>
          <w:color w:val="0D0D0D"/>
        </w:rPr>
        <w:t>of</w:t>
      </w:r>
      <w:r>
        <w:rPr>
          <w:color w:val="0D0D0D"/>
          <w:spacing w:val="-2"/>
        </w:rPr>
        <w:t> </w:t>
      </w:r>
      <w:r>
        <w:rPr>
          <w:color w:val="0D0D0D"/>
        </w:rPr>
        <w:t>the</w:t>
      </w:r>
      <w:r>
        <w:rPr>
          <w:color w:val="0D0D0D"/>
          <w:spacing w:val="-4"/>
        </w:rPr>
        <w:t> </w:t>
      </w:r>
      <w:r>
        <w:rPr>
          <w:color w:val="0D0D0D"/>
        </w:rPr>
        <w:t>portfolio</w:t>
      </w:r>
      <w:r>
        <w:rPr>
          <w:color w:val="0D0D0D"/>
          <w:spacing w:val="-1"/>
        </w:rPr>
        <w:t> </w:t>
      </w:r>
      <w:r>
        <w:rPr>
          <w:color w:val="0D0D0D"/>
        </w:rPr>
        <w:t>are</w:t>
      </w:r>
      <w:r>
        <w:rPr>
          <w:color w:val="0D0D0D"/>
          <w:spacing w:val="-4"/>
        </w:rPr>
        <w:t> </w:t>
      </w:r>
      <w:r>
        <w:rPr>
          <w:color w:val="0D0D0D"/>
        </w:rPr>
        <w:t>studied</w:t>
      </w:r>
      <w:r>
        <w:rPr>
          <w:color w:val="0D0D0D"/>
          <w:spacing w:val="-2"/>
        </w:rPr>
        <w:t> </w:t>
      </w:r>
      <w:r>
        <w:rPr>
          <w:color w:val="0D0D0D"/>
        </w:rPr>
        <w:t>at</w:t>
      </w:r>
      <w:r>
        <w:rPr>
          <w:color w:val="0D0D0D"/>
          <w:spacing w:val="-2"/>
        </w:rPr>
        <w:t> </w:t>
      </w:r>
      <w:r>
        <w:rPr>
          <w:color w:val="0D0D0D"/>
        </w:rPr>
        <w:t>the</w:t>
      </w:r>
      <w:r>
        <w:rPr>
          <w:color w:val="0D0D0D"/>
          <w:spacing w:val="-3"/>
        </w:rPr>
        <w:t> </w:t>
      </w:r>
      <w:r>
        <w:rPr>
          <w:color w:val="0D0D0D"/>
        </w:rPr>
        <w:t>minimum</w:t>
      </w:r>
      <w:r>
        <w:rPr>
          <w:color w:val="0D0D0D"/>
          <w:spacing w:val="-2"/>
        </w:rPr>
        <w:t> </w:t>
      </w:r>
      <w:r>
        <w:rPr>
          <w:color w:val="0D0D0D"/>
        </w:rPr>
        <w:t>volatility and maximum sharpe ratio point</w:t>
      </w:r>
    </w:p>
    <w:p>
      <w:pPr>
        <w:pStyle w:val="BodyText"/>
        <w:spacing w:before="47" w:after="1"/>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8"/>
      </w:tblGrid>
      <w:tr>
        <w:trPr>
          <w:trHeight w:val="275" w:hRule="atLeast"/>
        </w:trPr>
        <w:tc>
          <w:tcPr>
            <w:tcW w:w="3005" w:type="dxa"/>
          </w:tcPr>
          <w:p>
            <w:pPr>
              <w:pStyle w:val="TableParagraph"/>
              <w:spacing w:line="240" w:lineRule="auto"/>
              <w:ind w:left="0"/>
              <w:rPr>
                <w:sz w:val="20"/>
              </w:rPr>
            </w:pPr>
          </w:p>
        </w:tc>
        <w:tc>
          <w:tcPr>
            <w:tcW w:w="3005"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minimum</w:t>
            </w:r>
            <w:r>
              <w:rPr>
                <w:color w:val="0D0D0D"/>
                <w:spacing w:val="-1"/>
                <w:sz w:val="24"/>
              </w:rPr>
              <w:t> </w:t>
            </w:r>
            <w:r>
              <w:rPr>
                <w:color w:val="0D0D0D"/>
                <w:sz w:val="24"/>
              </w:rPr>
              <w:t>volatility</w:t>
            </w:r>
            <w:r>
              <w:rPr>
                <w:color w:val="0D0D0D"/>
                <w:spacing w:val="-1"/>
                <w:sz w:val="24"/>
              </w:rPr>
              <w:t> </w:t>
            </w:r>
            <w:r>
              <w:rPr>
                <w:color w:val="0D0D0D"/>
                <w:spacing w:val="-2"/>
                <w:sz w:val="24"/>
              </w:rPr>
              <w:t>point</w:t>
            </w:r>
          </w:p>
        </w:tc>
        <w:tc>
          <w:tcPr>
            <w:tcW w:w="3008"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maximum Sharpe</w:t>
            </w:r>
            <w:r>
              <w:rPr>
                <w:color w:val="0D0D0D"/>
                <w:spacing w:val="-2"/>
                <w:sz w:val="24"/>
              </w:rPr>
              <w:t> point</w:t>
            </w:r>
          </w:p>
        </w:tc>
      </w:tr>
      <w:tr>
        <w:trPr>
          <w:trHeight w:val="275" w:hRule="atLeast"/>
        </w:trPr>
        <w:tc>
          <w:tcPr>
            <w:tcW w:w="3005" w:type="dxa"/>
          </w:tcPr>
          <w:p>
            <w:pPr>
              <w:pStyle w:val="TableParagraph"/>
              <w:spacing w:line="256" w:lineRule="exact"/>
              <w:rPr>
                <w:sz w:val="24"/>
              </w:rPr>
            </w:pPr>
            <w:r>
              <w:rPr>
                <w:color w:val="0D0D0D"/>
                <w:spacing w:val="-2"/>
                <w:sz w:val="24"/>
              </w:rPr>
              <w:t>Volatility</w:t>
            </w:r>
          </w:p>
        </w:tc>
        <w:tc>
          <w:tcPr>
            <w:tcW w:w="3005" w:type="dxa"/>
          </w:tcPr>
          <w:p>
            <w:pPr>
              <w:pStyle w:val="TableParagraph"/>
              <w:spacing w:line="256" w:lineRule="exact"/>
              <w:ind w:left="108"/>
              <w:rPr>
                <w:sz w:val="24"/>
              </w:rPr>
            </w:pPr>
            <w:r>
              <w:rPr>
                <w:color w:val="0D0D0D"/>
                <w:spacing w:val="-2"/>
                <w:sz w:val="24"/>
              </w:rPr>
              <w:t>0.1484</w:t>
            </w:r>
          </w:p>
        </w:tc>
        <w:tc>
          <w:tcPr>
            <w:tcW w:w="3008" w:type="dxa"/>
          </w:tcPr>
          <w:p>
            <w:pPr>
              <w:pStyle w:val="TableParagraph"/>
              <w:spacing w:line="256" w:lineRule="exact"/>
              <w:ind w:left="108"/>
              <w:rPr>
                <w:sz w:val="24"/>
              </w:rPr>
            </w:pPr>
            <w:r>
              <w:rPr>
                <w:color w:val="0D0D0D"/>
                <w:spacing w:val="-2"/>
                <w:sz w:val="24"/>
              </w:rPr>
              <w:t>0.1628</w:t>
            </w:r>
          </w:p>
        </w:tc>
      </w:tr>
      <w:tr>
        <w:trPr>
          <w:trHeight w:val="275" w:hRule="atLeast"/>
        </w:trPr>
        <w:tc>
          <w:tcPr>
            <w:tcW w:w="3005" w:type="dxa"/>
          </w:tcPr>
          <w:p>
            <w:pPr>
              <w:pStyle w:val="TableParagraph"/>
              <w:spacing w:line="256" w:lineRule="exact"/>
              <w:rPr>
                <w:sz w:val="24"/>
              </w:rPr>
            </w:pPr>
            <w:r>
              <w:rPr>
                <w:color w:val="0D0D0D"/>
                <w:spacing w:val="-2"/>
                <w:sz w:val="24"/>
              </w:rPr>
              <w:t>Returns</w:t>
            </w:r>
          </w:p>
        </w:tc>
        <w:tc>
          <w:tcPr>
            <w:tcW w:w="3005" w:type="dxa"/>
          </w:tcPr>
          <w:p>
            <w:pPr>
              <w:pStyle w:val="TableParagraph"/>
              <w:spacing w:line="256" w:lineRule="exact"/>
              <w:ind w:left="108"/>
              <w:rPr>
                <w:sz w:val="24"/>
              </w:rPr>
            </w:pPr>
            <w:r>
              <w:rPr>
                <w:color w:val="0D0D0D"/>
                <w:spacing w:val="-2"/>
                <w:sz w:val="24"/>
              </w:rPr>
              <w:t>24.58%</w:t>
            </w:r>
          </w:p>
        </w:tc>
        <w:tc>
          <w:tcPr>
            <w:tcW w:w="3008" w:type="dxa"/>
          </w:tcPr>
          <w:p>
            <w:pPr>
              <w:pStyle w:val="TableParagraph"/>
              <w:spacing w:line="256" w:lineRule="exact"/>
              <w:ind w:left="108"/>
              <w:rPr>
                <w:sz w:val="24"/>
              </w:rPr>
            </w:pPr>
            <w:r>
              <w:rPr>
                <w:color w:val="0D0D0D"/>
                <w:spacing w:val="-2"/>
                <w:sz w:val="24"/>
              </w:rPr>
              <w:t>29.29%</w:t>
            </w:r>
          </w:p>
        </w:tc>
      </w:tr>
      <w:tr>
        <w:trPr>
          <w:trHeight w:val="275" w:hRule="atLeast"/>
        </w:trPr>
        <w:tc>
          <w:tcPr>
            <w:tcW w:w="3005" w:type="dxa"/>
          </w:tcPr>
          <w:p>
            <w:pPr>
              <w:pStyle w:val="TableParagraph"/>
              <w:spacing w:line="256" w:lineRule="exact"/>
              <w:rPr>
                <w:sz w:val="24"/>
              </w:rPr>
            </w:pPr>
            <w:r>
              <w:rPr>
                <w:color w:val="0D0D0D"/>
                <w:sz w:val="24"/>
              </w:rPr>
              <w:t>Sharpe</w:t>
            </w:r>
            <w:r>
              <w:rPr>
                <w:color w:val="0D0D0D"/>
                <w:spacing w:val="-3"/>
                <w:sz w:val="24"/>
              </w:rPr>
              <w:t> </w:t>
            </w:r>
            <w:r>
              <w:rPr>
                <w:color w:val="0D0D0D"/>
                <w:spacing w:val="-2"/>
                <w:sz w:val="24"/>
              </w:rPr>
              <w:t>ratio</w:t>
            </w:r>
          </w:p>
        </w:tc>
        <w:tc>
          <w:tcPr>
            <w:tcW w:w="3005" w:type="dxa"/>
          </w:tcPr>
          <w:p>
            <w:pPr>
              <w:pStyle w:val="TableParagraph"/>
              <w:spacing w:line="256" w:lineRule="exact"/>
              <w:ind w:left="108"/>
              <w:rPr>
                <w:sz w:val="24"/>
              </w:rPr>
            </w:pPr>
            <w:r>
              <w:rPr>
                <w:color w:val="0D0D0D"/>
                <w:spacing w:val="-2"/>
                <w:sz w:val="24"/>
              </w:rPr>
              <w:t>1.6558</w:t>
            </w:r>
          </w:p>
        </w:tc>
        <w:tc>
          <w:tcPr>
            <w:tcW w:w="3008" w:type="dxa"/>
          </w:tcPr>
          <w:p>
            <w:pPr>
              <w:pStyle w:val="TableParagraph"/>
              <w:spacing w:line="256" w:lineRule="exact"/>
              <w:ind w:left="108"/>
              <w:rPr>
                <w:sz w:val="24"/>
              </w:rPr>
            </w:pPr>
            <w:r>
              <w:rPr>
                <w:color w:val="0D0D0D"/>
                <w:spacing w:val="-2"/>
                <w:sz w:val="24"/>
              </w:rPr>
              <w:t>1.7982</w:t>
            </w:r>
          </w:p>
        </w:tc>
      </w:tr>
    </w:tbl>
    <w:p>
      <w:pPr>
        <w:pStyle w:val="BodyText"/>
      </w:pPr>
    </w:p>
    <w:p>
      <w:pPr>
        <w:pStyle w:val="BodyText"/>
        <w:spacing w:before="1"/>
      </w:pPr>
    </w:p>
    <w:p>
      <w:pPr>
        <w:pStyle w:val="BodyText"/>
        <w:ind w:left="1015" w:right="1260"/>
      </w:pPr>
      <w:r>
        <w:rPr>
          <w:color w:val="0D0D0D"/>
        </w:rPr>
        <w:t>Though</w:t>
      </w:r>
      <w:r>
        <w:rPr>
          <w:color w:val="0D0D0D"/>
          <w:spacing w:val="-3"/>
        </w:rPr>
        <w:t> </w:t>
      </w:r>
      <w:r>
        <w:rPr>
          <w:color w:val="0D0D0D"/>
        </w:rPr>
        <w:t>there</w:t>
      </w:r>
      <w:r>
        <w:rPr>
          <w:color w:val="0D0D0D"/>
          <w:spacing w:val="-4"/>
        </w:rPr>
        <w:t> </w:t>
      </w:r>
      <w:r>
        <w:rPr>
          <w:color w:val="0D0D0D"/>
        </w:rPr>
        <w:t>is</w:t>
      </w:r>
      <w:r>
        <w:rPr>
          <w:color w:val="0D0D0D"/>
          <w:spacing w:val="-3"/>
        </w:rPr>
        <w:t> </w:t>
      </w:r>
      <w:r>
        <w:rPr>
          <w:color w:val="0D0D0D"/>
        </w:rPr>
        <w:t>a</w:t>
      </w:r>
      <w:r>
        <w:rPr>
          <w:color w:val="0D0D0D"/>
          <w:spacing w:val="-3"/>
        </w:rPr>
        <w:t> </w:t>
      </w:r>
      <w:r>
        <w:rPr>
          <w:color w:val="0D0D0D"/>
        </w:rPr>
        <w:t>considerable</w:t>
      </w:r>
      <w:r>
        <w:rPr>
          <w:color w:val="0D0D0D"/>
          <w:spacing w:val="-3"/>
        </w:rPr>
        <w:t> </w:t>
      </w:r>
      <w:r>
        <w:rPr>
          <w:color w:val="0D0D0D"/>
        </w:rPr>
        <w:t>difference</w:t>
      </w:r>
      <w:r>
        <w:rPr>
          <w:color w:val="0D0D0D"/>
          <w:spacing w:val="-4"/>
        </w:rPr>
        <w:t> </w:t>
      </w:r>
      <w:r>
        <w:rPr>
          <w:color w:val="0D0D0D"/>
        </w:rPr>
        <w:t>in</w:t>
      </w:r>
      <w:r>
        <w:rPr>
          <w:color w:val="0D0D0D"/>
          <w:spacing w:val="-3"/>
        </w:rPr>
        <w:t> </w:t>
      </w:r>
      <w:r>
        <w:rPr>
          <w:color w:val="0D0D0D"/>
        </w:rPr>
        <w:t>the</w:t>
      </w:r>
      <w:r>
        <w:rPr>
          <w:color w:val="0D0D0D"/>
          <w:spacing w:val="-4"/>
        </w:rPr>
        <w:t> </w:t>
      </w:r>
      <w:r>
        <w:rPr>
          <w:color w:val="0D0D0D"/>
        </w:rPr>
        <w:t>volatility</w:t>
      </w:r>
      <w:r>
        <w:rPr>
          <w:color w:val="0D0D0D"/>
          <w:spacing w:val="-3"/>
        </w:rPr>
        <w:t> </w:t>
      </w:r>
      <w:r>
        <w:rPr>
          <w:color w:val="0D0D0D"/>
        </w:rPr>
        <w:t>between</w:t>
      </w:r>
      <w:r>
        <w:rPr>
          <w:color w:val="0D0D0D"/>
          <w:spacing w:val="-3"/>
        </w:rPr>
        <w:t> </w:t>
      </w:r>
      <w:r>
        <w:rPr>
          <w:color w:val="0D0D0D"/>
        </w:rPr>
        <w:t>the</w:t>
      </w:r>
      <w:r>
        <w:rPr>
          <w:color w:val="0D0D0D"/>
          <w:spacing w:val="-3"/>
        </w:rPr>
        <w:t> </w:t>
      </w:r>
      <w:r>
        <w:rPr>
          <w:color w:val="0D0D0D"/>
        </w:rPr>
        <w:t>two</w:t>
      </w:r>
      <w:r>
        <w:rPr>
          <w:color w:val="0D0D0D"/>
          <w:spacing w:val="-3"/>
        </w:rPr>
        <w:t> </w:t>
      </w:r>
      <w:r>
        <w:rPr>
          <w:color w:val="0D0D0D"/>
        </w:rPr>
        <w:t>portfolios</w:t>
      </w:r>
      <w:r>
        <w:rPr>
          <w:color w:val="0D0D0D"/>
          <w:spacing w:val="-3"/>
        </w:rPr>
        <w:t> </w:t>
      </w:r>
      <w:r>
        <w:rPr>
          <w:color w:val="0D0D0D"/>
        </w:rPr>
        <w:t>there</w:t>
      </w:r>
      <w:r>
        <w:rPr>
          <w:color w:val="0D0D0D"/>
          <w:spacing w:val="-5"/>
        </w:rPr>
        <w:t> </w:t>
      </w:r>
      <w:r>
        <w:rPr>
          <w:color w:val="0D0D0D"/>
        </w:rPr>
        <w:t>is a significantly higher returns and slightly higher sharper ratio associated with the portfolio</w:t>
      </w:r>
    </w:p>
    <w:p>
      <w:pPr>
        <w:pStyle w:val="BodyText"/>
        <w:spacing w:after="0"/>
        <w:sectPr>
          <w:pgSz w:w="11910" w:h="16840"/>
          <w:pgMar w:top="1460" w:bottom="280" w:left="425" w:right="283"/>
        </w:sectPr>
      </w:pPr>
    </w:p>
    <w:p>
      <w:pPr>
        <w:pStyle w:val="BodyText"/>
        <w:spacing w:before="60"/>
        <w:ind w:left="1015" w:right="1260"/>
      </w:pPr>
      <w:r>
        <w:rPr>
          <w:color w:val="0D0D0D"/>
        </w:rPr>
        <w:t>with</w:t>
      </w:r>
      <w:r>
        <w:rPr>
          <w:color w:val="0D0D0D"/>
          <w:spacing w:val="-3"/>
        </w:rPr>
        <w:t> </w:t>
      </w:r>
      <w:r>
        <w:rPr>
          <w:color w:val="0D0D0D"/>
        </w:rPr>
        <w:t>maximum</w:t>
      </w:r>
      <w:r>
        <w:rPr>
          <w:color w:val="0D0D0D"/>
          <w:spacing w:val="-2"/>
        </w:rPr>
        <w:t> </w:t>
      </w:r>
      <w:r>
        <w:rPr>
          <w:color w:val="0D0D0D"/>
        </w:rPr>
        <w:t>Sharpe</w:t>
      </w:r>
      <w:r>
        <w:rPr>
          <w:color w:val="0D0D0D"/>
          <w:spacing w:val="-5"/>
        </w:rPr>
        <w:t> </w:t>
      </w:r>
      <w:r>
        <w:rPr>
          <w:color w:val="0D0D0D"/>
        </w:rPr>
        <w:t>point</w:t>
      </w:r>
      <w:r>
        <w:rPr>
          <w:color w:val="0D0D0D"/>
          <w:spacing w:val="-2"/>
        </w:rPr>
        <w:t> </w:t>
      </w:r>
      <w:r>
        <w:rPr>
          <w:color w:val="0D0D0D"/>
        </w:rPr>
        <w:t>.Therefore</w:t>
      </w:r>
      <w:r>
        <w:rPr>
          <w:color w:val="0D0D0D"/>
          <w:spacing w:val="-4"/>
        </w:rPr>
        <w:t> </w:t>
      </w:r>
      <w:r>
        <w:rPr>
          <w:color w:val="0D0D0D"/>
        </w:rPr>
        <w:t>this</w:t>
      </w:r>
      <w:r>
        <w:rPr>
          <w:color w:val="0D0D0D"/>
          <w:spacing w:val="-3"/>
        </w:rPr>
        <w:t> </w:t>
      </w:r>
      <w:r>
        <w:rPr>
          <w:color w:val="0D0D0D"/>
        </w:rPr>
        <w:t>portfolio</w:t>
      </w:r>
      <w:r>
        <w:rPr>
          <w:color w:val="0D0D0D"/>
          <w:spacing w:val="-3"/>
        </w:rPr>
        <w:t> </w:t>
      </w:r>
      <w:r>
        <w:rPr>
          <w:color w:val="0D0D0D"/>
        </w:rPr>
        <w:t>is</w:t>
      </w:r>
      <w:r>
        <w:rPr>
          <w:color w:val="0D0D0D"/>
          <w:spacing w:val="-3"/>
        </w:rPr>
        <w:t> </w:t>
      </w:r>
      <w:r>
        <w:rPr>
          <w:color w:val="0D0D0D"/>
        </w:rPr>
        <w:t>been</w:t>
      </w:r>
      <w:r>
        <w:rPr>
          <w:color w:val="0D0D0D"/>
          <w:spacing w:val="-3"/>
        </w:rPr>
        <w:t> </w:t>
      </w:r>
      <w:r>
        <w:rPr>
          <w:color w:val="0D0D0D"/>
        </w:rPr>
        <w:t>selected and</w:t>
      </w:r>
      <w:r>
        <w:rPr>
          <w:color w:val="0D0D0D"/>
          <w:spacing w:val="-1"/>
        </w:rPr>
        <w:t> </w:t>
      </w:r>
      <w:r>
        <w:rPr>
          <w:color w:val="0D0D0D"/>
        </w:rPr>
        <w:t>the</w:t>
      </w:r>
      <w:r>
        <w:rPr>
          <w:color w:val="0D0D0D"/>
          <w:spacing w:val="-3"/>
        </w:rPr>
        <w:t> </w:t>
      </w:r>
      <w:r>
        <w:rPr>
          <w:color w:val="0D0D0D"/>
        </w:rPr>
        <w:t>cummulative returns of this portfolio for the year 2023 is obtained which is 22.87%</w:t>
      </w:r>
    </w:p>
    <w:p>
      <w:pPr>
        <w:pStyle w:val="BodyText"/>
        <w:spacing w:before="66"/>
        <w:rPr>
          <w:sz w:val="20"/>
        </w:rPr>
      </w:pPr>
      <w:r>
        <w:rPr>
          <w:sz w:val="20"/>
        </w:rPr>
        <w:drawing>
          <wp:anchor distT="0" distB="0" distL="0" distR="0" allowOverlap="1" layoutInCell="1" locked="0" behindDoc="1" simplePos="0" relativeHeight="487593472">
            <wp:simplePos x="0" y="0"/>
            <wp:positionH relativeFrom="page">
              <wp:posOffset>2240560</wp:posOffset>
            </wp:positionH>
            <wp:positionV relativeFrom="paragraph">
              <wp:posOffset>203760</wp:posOffset>
            </wp:positionV>
            <wp:extent cx="2857500" cy="285750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2857500" cy="2857500"/>
                    </a:xfrm>
                    <a:prstGeom prst="rect">
                      <a:avLst/>
                    </a:prstGeom>
                  </pic:spPr>
                </pic:pic>
              </a:graphicData>
            </a:graphic>
          </wp:anchor>
        </w:drawing>
      </w:r>
    </w:p>
    <w:p>
      <w:pPr>
        <w:pStyle w:val="BodyText"/>
        <w:spacing w:before="41"/>
        <w:ind w:left="3416"/>
      </w:pPr>
      <w:r>
        <w:rPr>
          <w:color w:val="0D0D0D"/>
        </w:rPr>
        <w:t>Fig.12.Efficient</w:t>
      </w:r>
      <w:r>
        <w:rPr>
          <w:color w:val="0D0D0D"/>
          <w:spacing w:val="-1"/>
        </w:rPr>
        <w:t> </w:t>
      </w:r>
      <w:r>
        <w:rPr>
          <w:color w:val="0D0D0D"/>
        </w:rPr>
        <w:t>frontier</w:t>
      </w:r>
      <w:r>
        <w:rPr>
          <w:color w:val="0D0D0D"/>
          <w:spacing w:val="-1"/>
        </w:rPr>
        <w:t> </w:t>
      </w:r>
      <w:r>
        <w:rPr>
          <w:color w:val="0D0D0D"/>
        </w:rPr>
        <w:t>of</w:t>
      </w:r>
      <w:r>
        <w:rPr>
          <w:color w:val="0D0D0D"/>
          <w:spacing w:val="-2"/>
        </w:rPr>
        <w:t> </w:t>
      </w:r>
      <w:r>
        <w:rPr>
          <w:color w:val="0D0D0D"/>
        </w:rPr>
        <w:t>the</w:t>
      </w:r>
      <w:r>
        <w:rPr>
          <w:color w:val="0D0D0D"/>
          <w:spacing w:val="-3"/>
        </w:rPr>
        <w:t> </w:t>
      </w:r>
      <w:r>
        <w:rPr>
          <w:color w:val="0D0D0D"/>
          <w:spacing w:val="-2"/>
        </w:rPr>
        <w:t>portfolio</w:t>
      </w:r>
    </w:p>
    <w:p>
      <w:pPr>
        <w:pStyle w:val="BodyText"/>
        <w:rPr>
          <w:sz w:val="20"/>
        </w:rPr>
      </w:pPr>
    </w:p>
    <w:p>
      <w:pPr>
        <w:pStyle w:val="BodyText"/>
        <w:spacing w:before="211"/>
        <w:rPr>
          <w:sz w:val="20"/>
        </w:rPr>
      </w:pPr>
      <w:r>
        <w:rPr>
          <w:sz w:val="20"/>
        </w:rPr>
        <w:drawing>
          <wp:anchor distT="0" distB="0" distL="0" distR="0" allowOverlap="1" layoutInCell="1" locked="0" behindDoc="1" simplePos="0" relativeHeight="487593984">
            <wp:simplePos x="0" y="0"/>
            <wp:positionH relativeFrom="page">
              <wp:posOffset>984250</wp:posOffset>
            </wp:positionH>
            <wp:positionV relativeFrom="paragraph">
              <wp:posOffset>295264</wp:posOffset>
            </wp:positionV>
            <wp:extent cx="5412977" cy="3165348"/>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412977" cy="3165348"/>
                    </a:xfrm>
                    <a:prstGeom prst="rect">
                      <a:avLst/>
                    </a:prstGeom>
                  </pic:spPr>
                </pic:pic>
              </a:graphicData>
            </a:graphic>
          </wp:anchor>
        </w:drawing>
      </w:r>
    </w:p>
    <w:p>
      <w:pPr>
        <w:pStyle w:val="BodyText"/>
        <w:spacing w:before="95"/>
      </w:pPr>
    </w:p>
    <w:p>
      <w:pPr>
        <w:pStyle w:val="BodyText"/>
        <w:ind w:left="777" w:right="1131"/>
        <w:jc w:val="center"/>
      </w:pPr>
      <w:r>
        <w:rPr>
          <w:color w:val="0D0D0D"/>
        </w:rPr>
        <w:t>Fig.13.Cummulative</w:t>
      </w:r>
      <w:r>
        <w:rPr>
          <w:color w:val="0D0D0D"/>
          <w:spacing w:val="-1"/>
        </w:rPr>
        <w:t> </w:t>
      </w:r>
      <w:r>
        <w:rPr>
          <w:color w:val="0D0D0D"/>
        </w:rPr>
        <w:t>returns</w:t>
      </w:r>
      <w:r>
        <w:rPr>
          <w:color w:val="0D0D0D"/>
          <w:spacing w:val="-1"/>
        </w:rPr>
        <w:t> </w:t>
      </w:r>
      <w:r>
        <w:rPr>
          <w:color w:val="0D0D0D"/>
        </w:rPr>
        <w:t>of</w:t>
      </w:r>
      <w:r>
        <w:rPr>
          <w:color w:val="0D0D0D"/>
          <w:spacing w:val="-2"/>
        </w:rPr>
        <w:t> </w:t>
      </w:r>
      <w:r>
        <w:rPr>
          <w:color w:val="0D0D0D"/>
        </w:rPr>
        <w:t>the portfolio</w:t>
      </w:r>
      <w:r>
        <w:rPr>
          <w:color w:val="0D0D0D"/>
          <w:spacing w:val="-1"/>
        </w:rPr>
        <w:t> </w:t>
      </w:r>
      <w:r>
        <w:rPr>
          <w:color w:val="0D0D0D"/>
        </w:rPr>
        <w:t>for</w:t>
      </w:r>
      <w:r>
        <w:rPr>
          <w:color w:val="0D0D0D"/>
          <w:spacing w:val="-3"/>
        </w:rPr>
        <w:t> </w:t>
      </w:r>
      <w:r>
        <w:rPr>
          <w:color w:val="0D0D0D"/>
        </w:rPr>
        <w:t>the</w:t>
      </w:r>
      <w:r>
        <w:rPr>
          <w:color w:val="0D0D0D"/>
          <w:spacing w:val="-1"/>
        </w:rPr>
        <w:t> </w:t>
      </w:r>
      <w:r>
        <w:rPr>
          <w:color w:val="0D0D0D"/>
        </w:rPr>
        <w:t>year </w:t>
      </w:r>
      <w:r>
        <w:rPr>
          <w:color w:val="0D0D0D"/>
          <w:spacing w:val="-4"/>
        </w:rPr>
        <w:t>2023</w:t>
      </w:r>
    </w:p>
    <w:p>
      <w:pPr>
        <w:pStyle w:val="BodyText"/>
        <w:spacing w:after="0"/>
        <w:jc w:val="center"/>
        <w:sectPr>
          <w:pgSz w:w="11910" w:h="16840"/>
          <w:pgMar w:top="1360" w:bottom="280" w:left="425" w:right="283"/>
        </w:sectPr>
      </w:pPr>
    </w:p>
    <w:tbl>
      <w:tblPr>
        <w:tblW w:w="0" w:type="auto"/>
        <w:jc w:val="left"/>
        <w:tblInd w:w="3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437"/>
      </w:tblGrid>
      <w:tr>
        <w:trPr>
          <w:trHeight w:val="276" w:hRule="atLeast"/>
        </w:trPr>
        <w:tc>
          <w:tcPr>
            <w:tcW w:w="2264" w:type="dxa"/>
          </w:tcPr>
          <w:p>
            <w:pPr>
              <w:pStyle w:val="TableParagraph"/>
              <w:spacing w:line="256" w:lineRule="exact"/>
              <w:ind w:left="108"/>
              <w:rPr>
                <w:sz w:val="24"/>
              </w:rPr>
            </w:pPr>
            <w:r>
              <w:rPr>
                <w:color w:val="0D0D0D"/>
                <w:spacing w:val="-2"/>
                <w:sz w:val="24"/>
              </w:rPr>
              <w:t>STOCKS</w:t>
            </w:r>
          </w:p>
        </w:tc>
        <w:tc>
          <w:tcPr>
            <w:tcW w:w="2437" w:type="dxa"/>
          </w:tcPr>
          <w:p>
            <w:pPr>
              <w:pStyle w:val="TableParagraph"/>
              <w:spacing w:line="256" w:lineRule="exact"/>
              <w:rPr>
                <w:sz w:val="24"/>
              </w:rPr>
            </w:pPr>
            <w:r>
              <w:rPr>
                <w:color w:val="0D0D0D"/>
                <w:spacing w:val="-2"/>
                <w:sz w:val="24"/>
              </w:rPr>
              <w:t>WEIGHTS</w:t>
            </w:r>
          </w:p>
        </w:tc>
      </w:tr>
      <w:tr>
        <w:trPr>
          <w:trHeight w:val="275" w:hRule="atLeast"/>
        </w:trPr>
        <w:tc>
          <w:tcPr>
            <w:tcW w:w="2264" w:type="dxa"/>
          </w:tcPr>
          <w:p>
            <w:pPr>
              <w:pStyle w:val="TableParagraph"/>
              <w:spacing w:line="256" w:lineRule="exact"/>
              <w:ind w:left="108"/>
              <w:rPr>
                <w:sz w:val="24"/>
              </w:rPr>
            </w:pPr>
            <w:r>
              <w:rPr>
                <w:color w:val="0D0D0D"/>
                <w:spacing w:val="-2"/>
                <w:sz w:val="24"/>
              </w:rPr>
              <w:t>ASIANPAINT.NS</w:t>
            </w:r>
          </w:p>
        </w:tc>
        <w:tc>
          <w:tcPr>
            <w:tcW w:w="2437" w:type="dxa"/>
          </w:tcPr>
          <w:p>
            <w:pPr>
              <w:pStyle w:val="TableParagraph"/>
              <w:spacing w:line="256" w:lineRule="exact"/>
              <w:rPr>
                <w:sz w:val="24"/>
              </w:rPr>
            </w:pPr>
            <w:r>
              <w:rPr>
                <w:color w:val="0D0D0D"/>
                <w:spacing w:val="-2"/>
                <w:sz w:val="24"/>
              </w:rPr>
              <w:t>0.0865488739626426</w:t>
            </w:r>
          </w:p>
        </w:tc>
      </w:tr>
      <w:tr>
        <w:trPr>
          <w:trHeight w:val="275" w:hRule="atLeast"/>
        </w:trPr>
        <w:tc>
          <w:tcPr>
            <w:tcW w:w="2264" w:type="dxa"/>
          </w:tcPr>
          <w:p>
            <w:pPr>
              <w:pStyle w:val="TableParagraph"/>
              <w:spacing w:line="256" w:lineRule="exact"/>
              <w:ind w:left="108"/>
              <w:rPr>
                <w:sz w:val="24"/>
              </w:rPr>
            </w:pPr>
            <w:r>
              <w:rPr>
                <w:color w:val="0D0D0D"/>
                <w:spacing w:val="-2"/>
                <w:sz w:val="24"/>
              </w:rPr>
              <w:t>BAJAJFINSV.NS</w:t>
            </w:r>
          </w:p>
        </w:tc>
        <w:tc>
          <w:tcPr>
            <w:tcW w:w="2437" w:type="dxa"/>
          </w:tcPr>
          <w:p>
            <w:pPr>
              <w:pStyle w:val="TableParagraph"/>
              <w:spacing w:line="256" w:lineRule="exact"/>
              <w:rPr>
                <w:sz w:val="24"/>
              </w:rPr>
            </w:pPr>
            <w:r>
              <w:rPr>
                <w:color w:val="0D0D0D"/>
                <w:spacing w:val="-2"/>
                <w:sz w:val="24"/>
              </w:rPr>
              <w:t>0.03612711716679851</w:t>
            </w:r>
          </w:p>
        </w:tc>
      </w:tr>
      <w:tr>
        <w:trPr>
          <w:trHeight w:val="278" w:hRule="atLeast"/>
        </w:trPr>
        <w:tc>
          <w:tcPr>
            <w:tcW w:w="2264" w:type="dxa"/>
          </w:tcPr>
          <w:p>
            <w:pPr>
              <w:pStyle w:val="TableParagraph"/>
              <w:spacing w:line="257" w:lineRule="exact" w:before="1"/>
              <w:ind w:left="108"/>
              <w:rPr>
                <w:sz w:val="24"/>
              </w:rPr>
            </w:pPr>
            <w:r>
              <w:rPr>
                <w:color w:val="0D0D0D"/>
                <w:spacing w:val="-2"/>
                <w:sz w:val="24"/>
              </w:rPr>
              <w:t>BAJFINANCE.NS</w:t>
            </w:r>
          </w:p>
        </w:tc>
        <w:tc>
          <w:tcPr>
            <w:tcW w:w="2437" w:type="dxa"/>
          </w:tcPr>
          <w:p>
            <w:pPr>
              <w:pStyle w:val="TableParagraph"/>
              <w:spacing w:line="257" w:lineRule="exact" w:before="1"/>
              <w:rPr>
                <w:sz w:val="24"/>
              </w:rPr>
            </w:pPr>
            <w:r>
              <w:rPr>
                <w:color w:val="0D0D0D"/>
                <w:spacing w:val="-2"/>
                <w:sz w:val="24"/>
              </w:rPr>
              <w:t>0.08328986359394318</w:t>
            </w:r>
          </w:p>
        </w:tc>
      </w:tr>
      <w:tr>
        <w:trPr>
          <w:trHeight w:val="275" w:hRule="atLeast"/>
        </w:trPr>
        <w:tc>
          <w:tcPr>
            <w:tcW w:w="2264" w:type="dxa"/>
          </w:tcPr>
          <w:p>
            <w:pPr>
              <w:pStyle w:val="TableParagraph"/>
              <w:spacing w:line="256" w:lineRule="exact"/>
              <w:ind w:left="108"/>
              <w:rPr>
                <w:sz w:val="24"/>
              </w:rPr>
            </w:pPr>
            <w:r>
              <w:rPr>
                <w:color w:val="0D0D0D"/>
                <w:spacing w:val="-2"/>
                <w:sz w:val="24"/>
              </w:rPr>
              <w:t>BRITANNIA.NS</w:t>
            </w:r>
          </w:p>
        </w:tc>
        <w:tc>
          <w:tcPr>
            <w:tcW w:w="2437" w:type="dxa"/>
          </w:tcPr>
          <w:p>
            <w:pPr>
              <w:pStyle w:val="TableParagraph"/>
              <w:spacing w:line="256" w:lineRule="exact"/>
              <w:rPr>
                <w:sz w:val="24"/>
              </w:rPr>
            </w:pPr>
            <w:r>
              <w:rPr>
                <w:color w:val="0D0D0D"/>
                <w:spacing w:val="-2"/>
                <w:sz w:val="24"/>
              </w:rPr>
              <w:t>0.05790175687712292</w:t>
            </w:r>
          </w:p>
        </w:tc>
      </w:tr>
      <w:tr>
        <w:trPr>
          <w:trHeight w:val="275" w:hRule="atLeast"/>
        </w:trPr>
        <w:tc>
          <w:tcPr>
            <w:tcW w:w="2264" w:type="dxa"/>
          </w:tcPr>
          <w:p>
            <w:pPr>
              <w:pStyle w:val="TableParagraph"/>
              <w:spacing w:line="256" w:lineRule="exact"/>
              <w:ind w:left="108"/>
              <w:rPr>
                <w:sz w:val="24"/>
              </w:rPr>
            </w:pPr>
            <w:r>
              <w:rPr>
                <w:color w:val="0D0D0D"/>
                <w:spacing w:val="-2"/>
                <w:sz w:val="24"/>
              </w:rPr>
              <w:t>EICHERMOT.NS</w:t>
            </w:r>
          </w:p>
        </w:tc>
        <w:tc>
          <w:tcPr>
            <w:tcW w:w="2437" w:type="dxa"/>
          </w:tcPr>
          <w:p>
            <w:pPr>
              <w:pStyle w:val="TableParagraph"/>
              <w:spacing w:line="256" w:lineRule="exact"/>
              <w:rPr>
                <w:sz w:val="24"/>
              </w:rPr>
            </w:pPr>
            <w:r>
              <w:rPr>
                <w:color w:val="0D0D0D"/>
                <w:spacing w:val="-2"/>
                <w:sz w:val="24"/>
              </w:rPr>
              <w:t>0.10003793890806101</w:t>
            </w:r>
          </w:p>
        </w:tc>
      </w:tr>
      <w:tr>
        <w:trPr>
          <w:trHeight w:val="275" w:hRule="atLeast"/>
        </w:trPr>
        <w:tc>
          <w:tcPr>
            <w:tcW w:w="2264" w:type="dxa"/>
          </w:tcPr>
          <w:p>
            <w:pPr>
              <w:pStyle w:val="TableParagraph"/>
              <w:spacing w:line="256" w:lineRule="exact"/>
              <w:ind w:left="108"/>
              <w:rPr>
                <w:sz w:val="24"/>
              </w:rPr>
            </w:pPr>
            <w:r>
              <w:rPr>
                <w:color w:val="0D0D0D"/>
                <w:spacing w:val="-2"/>
                <w:sz w:val="24"/>
              </w:rPr>
              <w:t>HDFCBANK.NS</w:t>
            </w:r>
          </w:p>
        </w:tc>
        <w:tc>
          <w:tcPr>
            <w:tcW w:w="2437" w:type="dxa"/>
          </w:tcPr>
          <w:p>
            <w:pPr>
              <w:pStyle w:val="TableParagraph"/>
              <w:spacing w:line="256" w:lineRule="exact"/>
              <w:rPr>
                <w:sz w:val="24"/>
              </w:rPr>
            </w:pPr>
            <w:r>
              <w:rPr>
                <w:color w:val="0D0D0D"/>
                <w:spacing w:val="-2"/>
                <w:sz w:val="24"/>
              </w:rPr>
              <w:t>0.12257941277206764</w:t>
            </w:r>
          </w:p>
        </w:tc>
      </w:tr>
      <w:tr>
        <w:trPr>
          <w:trHeight w:val="275" w:hRule="atLeast"/>
        </w:trPr>
        <w:tc>
          <w:tcPr>
            <w:tcW w:w="2264" w:type="dxa"/>
          </w:tcPr>
          <w:p>
            <w:pPr>
              <w:pStyle w:val="TableParagraph"/>
              <w:spacing w:line="256" w:lineRule="exact"/>
              <w:ind w:left="108"/>
              <w:rPr>
                <w:sz w:val="24"/>
              </w:rPr>
            </w:pPr>
            <w:r>
              <w:rPr>
                <w:color w:val="0D0D0D"/>
                <w:spacing w:val="-2"/>
                <w:sz w:val="24"/>
              </w:rPr>
              <w:t>HINDUNILVR.NS</w:t>
            </w:r>
          </w:p>
        </w:tc>
        <w:tc>
          <w:tcPr>
            <w:tcW w:w="2437" w:type="dxa"/>
          </w:tcPr>
          <w:p>
            <w:pPr>
              <w:pStyle w:val="TableParagraph"/>
              <w:spacing w:line="256" w:lineRule="exact"/>
              <w:rPr>
                <w:sz w:val="24"/>
              </w:rPr>
            </w:pPr>
            <w:r>
              <w:rPr>
                <w:color w:val="0D0D0D"/>
                <w:spacing w:val="-2"/>
                <w:sz w:val="24"/>
              </w:rPr>
              <w:t>.09769210313091992</w:t>
            </w:r>
          </w:p>
        </w:tc>
      </w:tr>
      <w:tr>
        <w:trPr>
          <w:trHeight w:val="275" w:hRule="atLeast"/>
        </w:trPr>
        <w:tc>
          <w:tcPr>
            <w:tcW w:w="2264" w:type="dxa"/>
          </w:tcPr>
          <w:p>
            <w:pPr>
              <w:pStyle w:val="TableParagraph"/>
              <w:spacing w:line="256" w:lineRule="exact"/>
              <w:ind w:left="108"/>
              <w:rPr>
                <w:sz w:val="24"/>
              </w:rPr>
            </w:pPr>
            <w:r>
              <w:rPr>
                <w:color w:val="0D0D0D"/>
                <w:spacing w:val="-2"/>
                <w:sz w:val="24"/>
              </w:rPr>
              <w:t>JSWSTEEL.NS</w:t>
            </w:r>
          </w:p>
        </w:tc>
        <w:tc>
          <w:tcPr>
            <w:tcW w:w="2437" w:type="dxa"/>
          </w:tcPr>
          <w:p>
            <w:pPr>
              <w:pStyle w:val="TableParagraph"/>
              <w:spacing w:line="256" w:lineRule="exact"/>
              <w:rPr>
                <w:sz w:val="24"/>
              </w:rPr>
            </w:pPr>
            <w:r>
              <w:rPr>
                <w:color w:val="0D0D0D"/>
                <w:spacing w:val="-2"/>
                <w:sz w:val="24"/>
              </w:rPr>
              <w:t>.07365154181402357</w:t>
            </w:r>
          </w:p>
        </w:tc>
      </w:tr>
      <w:tr>
        <w:trPr>
          <w:trHeight w:val="277" w:hRule="atLeast"/>
        </w:trPr>
        <w:tc>
          <w:tcPr>
            <w:tcW w:w="2264" w:type="dxa"/>
          </w:tcPr>
          <w:p>
            <w:pPr>
              <w:pStyle w:val="TableParagraph"/>
              <w:spacing w:line="257" w:lineRule="exact" w:before="1"/>
              <w:ind w:left="108"/>
              <w:rPr>
                <w:sz w:val="24"/>
              </w:rPr>
            </w:pPr>
            <w:r>
              <w:rPr>
                <w:color w:val="0D0D0D"/>
                <w:spacing w:val="-2"/>
                <w:sz w:val="24"/>
              </w:rPr>
              <w:t>NESTLEIND.NS</w:t>
            </w:r>
          </w:p>
        </w:tc>
        <w:tc>
          <w:tcPr>
            <w:tcW w:w="2437" w:type="dxa"/>
          </w:tcPr>
          <w:p>
            <w:pPr>
              <w:pStyle w:val="TableParagraph"/>
              <w:spacing w:line="257" w:lineRule="exact" w:before="1"/>
              <w:rPr>
                <w:sz w:val="24"/>
              </w:rPr>
            </w:pPr>
            <w:r>
              <w:rPr>
                <w:color w:val="0D0D0D"/>
                <w:spacing w:val="-2"/>
                <w:sz w:val="24"/>
              </w:rPr>
              <w:t>.15186365472020794</w:t>
            </w:r>
          </w:p>
        </w:tc>
      </w:tr>
      <w:tr>
        <w:trPr>
          <w:trHeight w:val="275" w:hRule="atLeast"/>
        </w:trPr>
        <w:tc>
          <w:tcPr>
            <w:tcW w:w="2264" w:type="dxa"/>
          </w:tcPr>
          <w:p>
            <w:pPr>
              <w:pStyle w:val="TableParagraph"/>
              <w:spacing w:line="256" w:lineRule="exact"/>
              <w:ind w:left="108"/>
              <w:rPr>
                <w:sz w:val="24"/>
              </w:rPr>
            </w:pPr>
            <w:r>
              <w:rPr>
                <w:color w:val="0D0D0D"/>
                <w:spacing w:val="-2"/>
                <w:sz w:val="24"/>
              </w:rPr>
              <w:t>POWERGRID.NS</w:t>
            </w:r>
          </w:p>
        </w:tc>
        <w:tc>
          <w:tcPr>
            <w:tcW w:w="2437" w:type="dxa"/>
          </w:tcPr>
          <w:p>
            <w:pPr>
              <w:pStyle w:val="TableParagraph"/>
              <w:spacing w:line="256" w:lineRule="exact"/>
              <w:rPr>
                <w:sz w:val="24"/>
              </w:rPr>
            </w:pPr>
            <w:r>
              <w:rPr>
                <w:color w:val="0D0D0D"/>
                <w:spacing w:val="-2"/>
                <w:sz w:val="24"/>
              </w:rPr>
              <w:t>0.09705170070278274</w:t>
            </w:r>
          </w:p>
        </w:tc>
      </w:tr>
      <w:tr>
        <w:trPr>
          <w:trHeight w:val="275" w:hRule="atLeast"/>
        </w:trPr>
        <w:tc>
          <w:tcPr>
            <w:tcW w:w="2264" w:type="dxa"/>
          </w:tcPr>
          <w:p>
            <w:pPr>
              <w:pStyle w:val="TableParagraph"/>
              <w:spacing w:line="256" w:lineRule="exact"/>
              <w:ind w:left="108"/>
              <w:rPr>
                <w:sz w:val="24"/>
              </w:rPr>
            </w:pPr>
            <w:r>
              <w:rPr>
                <w:color w:val="0D0D0D"/>
                <w:spacing w:val="-2"/>
                <w:sz w:val="24"/>
              </w:rPr>
              <w:t>TITAN.NS</w:t>
            </w:r>
          </w:p>
        </w:tc>
        <w:tc>
          <w:tcPr>
            <w:tcW w:w="2437" w:type="dxa"/>
          </w:tcPr>
          <w:p>
            <w:pPr>
              <w:pStyle w:val="TableParagraph"/>
              <w:spacing w:line="256" w:lineRule="exact"/>
              <w:rPr>
                <w:sz w:val="24"/>
              </w:rPr>
            </w:pPr>
            <w:r>
              <w:rPr>
                <w:color w:val="0D0D0D"/>
                <w:spacing w:val="-2"/>
                <w:sz w:val="24"/>
              </w:rPr>
              <w:t>.09325603635142993</w:t>
            </w:r>
          </w:p>
        </w:tc>
      </w:tr>
    </w:tbl>
    <w:p>
      <w:pPr>
        <w:pStyle w:val="BodyText"/>
        <w:spacing w:before="27"/>
      </w:pPr>
    </w:p>
    <w:p>
      <w:pPr>
        <w:pStyle w:val="BodyText"/>
        <w:ind w:right="55"/>
        <w:jc w:val="center"/>
      </w:pPr>
      <w:r>
        <w:rPr>
          <w:color w:val="0D0D0D"/>
        </w:rPr>
        <w:t>Table.</w:t>
      </w:r>
      <w:r>
        <w:rPr>
          <w:color w:val="0D0D0D"/>
          <w:spacing w:val="-3"/>
        </w:rPr>
        <w:t> </w:t>
      </w:r>
      <w:r>
        <w:rPr>
          <w:color w:val="0D0D0D"/>
        </w:rPr>
        <w:t>4 Wights of</w:t>
      </w:r>
      <w:r>
        <w:rPr>
          <w:color w:val="0D0D0D"/>
          <w:spacing w:val="-1"/>
        </w:rPr>
        <w:t> </w:t>
      </w:r>
      <w:r>
        <w:rPr>
          <w:color w:val="0D0D0D"/>
        </w:rPr>
        <w:t>stocks</w:t>
      </w:r>
      <w:r>
        <w:rPr>
          <w:color w:val="0D0D0D"/>
          <w:spacing w:val="-1"/>
        </w:rPr>
        <w:t> </w:t>
      </w:r>
      <w:r>
        <w:rPr>
          <w:color w:val="0D0D0D"/>
        </w:rPr>
        <w:t>in portfolio</w:t>
      </w:r>
      <w:r>
        <w:rPr>
          <w:color w:val="0D0D0D"/>
          <w:spacing w:val="-1"/>
        </w:rPr>
        <w:t> </w:t>
      </w:r>
      <w:r>
        <w:rPr>
          <w:color w:val="0D0D0D"/>
        </w:rPr>
        <w:t>at highest</w:t>
      </w:r>
      <w:r>
        <w:rPr>
          <w:color w:val="0D0D0D"/>
          <w:spacing w:val="-1"/>
        </w:rPr>
        <w:t> </w:t>
      </w:r>
      <w:r>
        <w:rPr>
          <w:color w:val="0D0D0D"/>
        </w:rPr>
        <w:t>Sharpe</w:t>
      </w:r>
      <w:r>
        <w:rPr>
          <w:color w:val="0D0D0D"/>
          <w:spacing w:val="-2"/>
        </w:rPr>
        <w:t> point</w:t>
      </w:r>
    </w:p>
    <w:p>
      <w:pPr>
        <w:pStyle w:val="BodyText"/>
      </w:pPr>
    </w:p>
    <w:p>
      <w:pPr>
        <w:pStyle w:val="BodyText"/>
        <w:ind w:left="1015" w:right="1260"/>
      </w:pPr>
      <w:r>
        <w:rPr>
          <w:color w:val="0D0D0D"/>
        </w:rPr>
        <w:t>GARCH</w:t>
      </w:r>
      <w:r>
        <w:rPr>
          <w:color w:val="0D0D0D"/>
          <w:spacing w:val="-4"/>
        </w:rPr>
        <w:t> </w:t>
      </w:r>
      <w:r>
        <w:rPr>
          <w:color w:val="0D0D0D"/>
        </w:rPr>
        <w:t>model</w:t>
      </w:r>
      <w:r>
        <w:rPr>
          <w:color w:val="0D0D0D"/>
          <w:spacing w:val="-3"/>
        </w:rPr>
        <w:t> </w:t>
      </w:r>
      <w:r>
        <w:rPr>
          <w:color w:val="0D0D0D"/>
        </w:rPr>
        <w:t>is</w:t>
      </w:r>
      <w:r>
        <w:rPr>
          <w:color w:val="0D0D0D"/>
          <w:spacing w:val="-3"/>
        </w:rPr>
        <w:t> </w:t>
      </w:r>
      <w:r>
        <w:rPr>
          <w:color w:val="0D0D0D"/>
        </w:rPr>
        <w:t>being</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forecast</w:t>
      </w:r>
      <w:r>
        <w:rPr>
          <w:color w:val="0D0D0D"/>
          <w:spacing w:val="-3"/>
        </w:rPr>
        <w:t> </w:t>
      </w:r>
      <w:r>
        <w:rPr>
          <w:color w:val="0D0D0D"/>
        </w:rPr>
        <w:t>the</w:t>
      </w:r>
      <w:r>
        <w:rPr>
          <w:color w:val="0D0D0D"/>
          <w:spacing w:val="-2"/>
        </w:rPr>
        <w:t> </w:t>
      </w:r>
      <w:r>
        <w:rPr>
          <w:color w:val="0D0D0D"/>
        </w:rPr>
        <w:t>volatility</w:t>
      </w:r>
      <w:r>
        <w:rPr>
          <w:color w:val="0D0D0D"/>
          <w:spacing w:val="-2"/>
        </w:rPr>
        <w:t> </w:t>
      </w:r>
      <w:r>
        <w:rPr>
          <w:color w:val="0D0D0D"/>
        </w:rPr>
        <w:t>of</w:t>
      </w:r>
      <w:r>
        <w:rPr>
          <w:color w:val="0D0D0D"/>
          <w:spacing w:val="-3"/>
        </w:rPr>
        <w:t> </w:t>
      </w:r>
      <w:r>
        <w:rPr>
          <w:color w:val="0D0D0D"/>
        </w:rPr>
        <w:t>the</w:t>
      </w:r>
      <w:r>
        <w:rPr>
          <w:color w:val="0D0D0D"/>
          <w:spacing w:val="-5"/>
        </w:rPr>
        <w:t> </w:t>
      </w:r>
      <w:r>
        <w:rPr>
          <w:color w:val="0D0D0D"/>
        </w:rPr>
        <w:t>new</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volatility</w:t>
      </w:r>
      <w:r>
        <w:rPr>
          <w:color w:val="0D0D0D"/>
          <w:spacing w:val="-3"/>
        </w:rPr>
        <w:t> </w:t>
      </w:r>
      <w:r>
        <w:rPr>
          <w:color w:val="0D0D0D"/>
        </w:rPr>
        <w:t>of Sensex for the year 2023.</w:t>
      </w:r>
    </w:p>
    <w:p>
      <w:pPr>
        <w:pStyle w:val="BodyText"/>
        <w:spacing w:before="22"/>
        <w:rPr>
          <w:sz w:val="20"/>
        </w:rPr>
      </w:pPr>
      <w:r>
        <w:rPr>
          <w:sz w:val="20"/>
        </w:rPr>
        <w:drawing>
          <wp:anchor distT="0" distB="0" distL="0" distR="0" allowOverlap="1" layoutInCell="1" locked="0" behindDoc="1" simplePos="0" relativeHeight="487594496">
            <wp:simplePos x="0" y="0"/>
            <wp:positionH relativeFrom="page">
              <wp:posOffset>914400</wp:posOffset>
            </wp:positionH>
            <wp:positionV relativeFrom="paragraph">
              <wp:posOffset>175461</wp:posOffset>
            </wp:positionV>
            <wp:extent cx="5465559" cy="176022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5465559" cy="1760220"/>
                    </a:xfrm>
                    <a:prstGeom prst="rect">
                      <a:avLst/>
                    </a:prstGeom>
                  </pic:spPr>
                </pic:pic>
              </a:graphicData>
            </a:graphic>
          </wp:anchor>
        </w:drawing>
      </w:r>
    </w:p>
    <w:p>
      <w:pPr>
        <w:pStyle w:val="BodyText"/>
        <w:spacing w:before="7"/>
        <w:ind w:left="2395"/>
      </w:pPr>
      <w:r>
        <w:rPr>
          <w:color w:val="0D0D0D"/>
        </w:rPr>
        <w:t>Fig.14Forcasted</w:t>
      </w:r>
      <w:r>
        <w:rPr>
          <w:color w:val="0D0D0D"/>
          <w:spacing w:val="-1"/>
        </w:rPr>
        <w:t> </w:t>
      </w:r>
      <w:r>
        <w:rPr>
          <w:color w:val="0D0D0D"/>
        </w:rPr>
        <w:t>volatility</w:t>
      </w:r>
      <w:r>
        <w:rPr>
          <w:color w:val="0D0D0D"/>
          <w:spacing w:val="-1"/>
        </w:rPr>
        <w:t> </w:t>
      </w:r>
      <w:r>
        <w:rPr>
          <w:color w:val="0D0D0D"/>
        </w:rPr>
        <w:t>of</w:t>
      </w:r>
      <w:r>
        <w:rPr>
          <w:color w:val="0D0D0D"/>
          <w:spacing w:val="-1"/>
        </w:rPr>
        <w:t> </w:t>
      </w:r>
      <w:r>
        <w:rPr>
          <w:color w:val="0D0D0D"/>
        </w:rPr>
        <w:t>portfolio</w:t>
      </w:r>
      <w:r>
        <w:rPr>
          <w:color w:val="0D0D0D"/>
          <w:spacing w:val="-1"/>
        </w:rPr>
        <w:t> </w:t>
      </w:r>
      <w:r>
        <w:rPr>
          <w:color w:val="0D0D0D"/>
        </w:rPr>
        <w:t>&amp;</w:t>
      </w:r>
      <w:r>
        <w:rPr>
          <w:color w:val="0D0D0D"/>
          <w:spacing w:val="-1"/>
        </w:rPr>
        <w:t> </w:t>
      </w:r>
      <w:r>
        <w:rPr>
          <w:color w:val="0D0D0D"/>
        </w:rPr>
        <w:t>Sensex</w:t>
      </w:r>
      <w:r>
        <w:rPr>
          <w:color w:val="0D0D0D"/>
          <w:spacing w:val="-1"/>
        </w:rPr>
        <w:t> </w:t>
      </w:r>
      <w:r>
        <w:rPr>
          <w:color w:val="0D0D0D"/>
        </w:rPr>
        <w:t>for</w:t>
      </w:r>
      <w:r>
        <w:rPr>
          <w:color w:val="0D0D0D"/>
          <w:spacing w:val="-2"/>
        </w:rPr>
        <w:t> </w:t>
      </w:r>
      <w:r>
        <w:rPr>
          <w:color w:val="0D0D0D"/>
          <w:spacing w:val="-4"/>
        </w:rPr>
        <w:t>2023</w:t>
      </w:r>
    </w:p>
    <w:p>
      <w:pPr>
        <w:pStyle w:val="BodyText"/>
        <w:rPr>
          <w:sz w:val="20"/>
        </w:rPr>
      </w:pPr>
    </w:p>
    <w:p>
      <w:pPr>
        <w:pStyle w:val="BodyText"/>
        <w:spacing w:before="136" w:after="1"/>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2976"/>
      </w:tblGrid>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0.000037</w:t>
            </w:r>
          </w:p>
        </w:tc>
      </w:tr>
      <w:tr>
        <w:trPr>
          <w:trHeight w:val="277" w:hRule="atLeast"/>
        </w:trPr>
        <w:tc>
          <w:tcPr>
            <w:tcW w:w="5384" w:type="dxa"/>
          </w:tcPr>
          <w:p>
            <w:pPr>
              <w:pStyle w:val="TableParagraph"/>
              <w:spacing w:line="257" w:lineRule="exact" w:before="1"/>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sensex</w:t>
            </w:r>
          </w:p>
        </w:tc>
        <w:tc>
          <w:tcPr>
            <w:tcW w:w="2976" w:type="dxa"/>
          </w:tcPr>
          <w:p>
            <w:pPr>
              <w:pStyle w:val="TableParagraph"/>
              <w:spacing w:line="257" w:lineRule="exact" w:before="1"/>
              <w:rPr>
                <w:sz w:val="24"/>
              </w:rPr>
            </w:pPr>
            <w:r>
              <w:rPr>
                <w:color w:val="0D0D0D"/>
                <w:spacing w:val="-2"/>
                <w:sz w:val="24"/>
              </w:rPr>
              <w:t>0.000041</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4"/>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0.000004</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0.000006</w:t>
            </w:r>
          </w:p>
        </w:tc>
      </w:tr>
      <w:tr>
        <w:trPr>
          <w:trHeight w:val="275" w:hRule="atLeast"/>
        </w:trPr>
        <w:tc>
          <w:tcPr>
            <w:tcW w:w="5384" w:type="dxa"/>
          </w:tcPr>
          <w:p>
            <w:pPr>
              <w:pStyle w:val="TableParagraph"/>
              <w:spacing w:line="256" w:lineRule="exact"/>
              <w:rPr>
                <w:sz w:val="24"/>
              </w:rPr>
            </w:pPr>
            <w:r>
              <w:rPr>
                <w:color w:val="0D0D0D"/>
                <w:sz w:val="24"/>
              </w:rPr>
              <w:t>Ratio</w:t>
            </w:r>
            <w:r>
              <w:rPr>
                <w:color w:val="0D0D0D"/>
                <w:spacing w:val="-2"/>
                <w:sz w:val="24"/>
              </w:rPr>
              <w:t> </w:t>
            </w:r>
            <w:r>
              <w:rPr>
                <w:color w:val="0D0D0D"/>
                <w:sz w:val="24"/>
              </w:rPr>
              <w:t>of</w:t>
            </w:r>
            <w:r>
              <w:rPr>
                <w:color w:val="0D0D0D"/>
                <w:spacing w:val="-1"/>
                <w:sz w:val="24"/>
              </w:rPr>
              <w:t> </w:t>
            </w:r>
            <w:r>
              <w:rPr>
                <w:color w:val="0D0D0D"/>
                <w:sz w:val="24"/>
              </w:rPr>
              <w:t>portfolio</w:t>
            </w:r>
            <w:r>
              <w:rPr>
                <w:color w:val="0D0D0D"/>
                <w:spacing w:val="-1"/>
                <w:sz w:val="24"/>
              </w:rPr>
              <w:t> </w:t>
            </w:r>
            <w:r>
              <w:rPr>
                <w:color w:val="0D0D0D"/>
                <w:sz w:val="24"/>
              </w:rPr>
              <w:t>volatility</w:t>
            </w:r>
            <w:r>
              <w:rPr>
                <w:color w:val="0D0D0D"/>
                <w:spacing w:val="-2"/>
                <w:sz w:val="24"/>
              </w:rPr>
              <w:t> </w:t>
            </w:r>
            <w:r>
              <w:rPr>
                <w:color w:val="0D0D0D"/>
                <w:sz w:val="24"/>
              </w:rPr>
              <w:t>and</w:t>
            </w:r>
            <w:r>
              <w:rPr>
                <w:color w:val="0D0D0D"/>
                <w:spacing w:val="-1"/>
                <w:sz w:val="24"/>
              </w:rPr>
              <w:t> </w:t>
            </w:r>
            <w:r>
              <w:rPr>
                <w:color w:val="0D0D0D"/>
                <w:sz w:val="24"/>
              </w:rPr>
              <w:t>sensex</w:t>
            </w:r>
            <w:r>
              <w:rPr>
                <w:color w:val="0D0D0D"/>
                <w:spacing w:val="-1"/>
                <w:sz w:val="24"/>
              </w:rPr>
              <w:t> </w:t>
            </w:r>
            <w:r>
              <w:rPr>
                <w:color w:val="0D0D0D"/>
                <w:spacing w:val="-2"/>
                <w:sz w:val="24"/>
              </w:rPr>
              <w:t>volatility</w:t>
            </w:r>
          </w:p>
        </w:tc>
        <w:tc>
          <w:tcPr>
            <w:tcW w:w="2976" w:type="dxa"/>
          </w:tcPr>
          <w:p>
            <w:pPr>
              <w:pStyle w:val="TableParagraph"/>
              <w:spacing w:line="256" w:lineRule="exact"/>
              <w:rPr>
                <w:sz w:val="24"/>
              </w:rPr>
            </w:pPr>
            <w:r>
              <w:rPr>
                <w:color w:val="0D0D0D"/>
                <w:spacing w:val="-2"/>
                <w:sz w:val="24"/>
              </w:rPr>
              <w:t>0.898571</w:t>
            </w:r>
          </w:p>
        </w:tc>
      </w:tr>
    </w:tbl>
    <w:p>
      <w:pPr>
        <w:pStyle w:val="BodyText"/>
        <w:spacing w:before="45"/>
      </w:pPr>
    </w:p>
    <w:p>
      <w:pPr>
        <w:pStyle w:val="BodyText"/>
        <w:ind w:left="3115"/>
      </w:pPr>
      <w:r>
        <w:rPr>
          <w:color w:val="0D0D0D"/>
        </w:rPr>
        <w:t>Table</w:t>
      </w:r>
      <w:r>
        <w:rPr>
          <w:color w:val="0D0D0D"/>
          <w:spacing w:val="-1"/>
        </w:rPr>
        <w:t> </w:t>
      </w:r>
      <w:r>
        <w:rPr>
          <w:color w:val="0D0D0D"/>
        </w:rPr>
        <w:t>5.Results</w:t>
      </w:r>
      <w:r>
        <w:rPr>
          <w:color w:val="0D0D0D"/>
          <w:spacing w:val="-1"/>
        </w:rPr>
        <w:t> </w:t>
      </w:r>
      <w:r>
        <w:rPr>
          <w:color w:val="0D0D0D"/>
        </w:rPr>
        <w:t>from</w:t>
      </w:r>
      <w:r>
        <w:rPr>
          <w:color w:val="0D0D0D"/>
          <w:spacing w:val="-1"/>
        </w:rPr>
        <w:t> </w:t>
      </w:r>
      <w:r>
        <w:rPr>
          <w:color w:val="0D0D0D"/>
        </w:rPr>
        <w:t>GARCH </w:t>
      </w:r>
      <w:r>
        <w:rPr>
          <w:color w:val="0D0D0D"/>
          <w:spacing w:val="-2"/>
        </w:rPr>
        <w:t>model</w:t>
      </w:r>
    </w:p>
    <w:p>
      <w:pPr>
        <w:pStyle w:val="BodyText"/>
        <w:spacing w:after="0"/>
        <w:sectPr>
          <w:pgSz w:w="11910" w:h="16840"/>
          <w:pgMar w:top="1400" w:bottom="280" w:left="425" w:right="283"/>
        </w:sectPr>
      </w:pPr>
    </w:p>
    <w:p>
      <w:pPr>
        <w:pStyle w:val="Heading2"/>
        <w:spacing w:before="60"/>
      </w:pPr>
      <w:r>
        <w:rPr>
          <w:color w:val="0D0D0D"/>
        </w:rPr>
        <w:t>Top</w:t>
      </w:r>
      <w:r>
        <w:rPr>
          <w:color w:val="0D0D0D"/>
          <w:spacing w:val="-1"/>
        </w:rPr>
        <w:t> </w:t>
      </w:r>
      <w:r>
        <w:rPr>
          <w:color w:val="0D0D0D"/>
        </w:rPr>
        <w:t>25</w:t>
      </w:r>
      <w:r>
        <w:rPr>
          <w:color w:val="0D0D0D"/>
          <w:spacing w:val="-1"/>
        </w:rPr>
        <w:t> </w:t>
      </w:r>
      <w:r>
        <w:rPr>
          <w:color w:val="0D0D0D"/>
        </w:rPr>
        <w:t>percentile</w:t>
      </w:r>
      <w:r>
        <w:rPr>
          <w:color w:val="0D0D0D"/>
          <w:spacing w:val="-2"/>
        </w:rPr>
        <w:t> </w:t>
      </w:r>
      <w:r>
        <w:rPr>
          <w:color w:val="0D0D0D"/>
        </w:rPr>
        <w:t>companies</w:t>
      </w:r>
      <w:r>
        <w:rPr>
          <w:color w:val="0D0D0D"/>
          <w:spacing w:val="-1"/>
        </w:rPr>
        <w:t> </w:t>
      </w:r>
      <w:r>
        <w:rPr>
          <w:color w:val="0D0D0D"/>
        </w:rPr>
        <w:t>with</w:t>
      </w:r>
      <w:r>
        <w:rPr>
          <w:color w:val="0D0D0D"/>
          <w:spacing w:val="-1"/>
        </w:rPr>
        <w:t> </w:t>
      </w:r>
      <w:r>
        <w:rPr>
          <w:color w:val="0D0D0D"/>
        </w:rPr>
        <w:t>lowest</w:t>
      </w:r>
      <w:r>
        <w:rPr>
          <w:color w:val="0D0D0D"/>
          <w:spacing w:val="-1"/>
        </w:rPr>
        <w:t> </w:t>
      </w:r>
      <w:r>
        <w:rPr>
          <w:color w:val="0D0D0D"/>
          <w:spacing w:val="-4"/>
        </w:rPr>
        <w:t>MAPE</w:t>
      </w:r>
    </w:p>
    <w:p>
      <w:pPr>
        <w:pStyle w:val="BodyText"/>
        <w:spacing w:before="1"/>
        <w:rPr>
          <w:b/>
        </w:rPr>
      </w:pPr>
    </w:p>
    <w:p>
      <w:pPr>
        <w:pStyle w:val="BodyText"/>
        <w:ind w:left="1015" w:right="1175"/>
      </w:pPr>
      <w:r>
        <w:rPr>
          <w:color w:val="0D0D0D"/>
        </w:rPr>
        <w:t>The</w:t>
      </w:r>
      <w:r>
        <w:rPr>
          <w:color w:val="0D0D0D"/>
          <w:spacing w:val="-4"/>
        </w:rPr>
        <w:t> </w:t>
      </w:r>
      <w:r>
        <w:rPr>
          <w:color w:val="0D0D0D"/>
        </w:rPr>
        <w:t>root</w:t>
      </w:r>
      <w:r>
        <w:rPr>
          <w:color w:val="0D0D0D"/>
          <w:spacing w:val="-3"/>
        </w:rPr>
        <w:t> </w:t>
      </w:r>
      <w:r>
        <w:rPr>
          <w:color w:val="0D0D0D"/>
        </w:rPr>
        <w:t>means</w:t>
      </w:r>
      <w:r>
        <w:rPr>
          <w:color w:val="0D0D0D"/>
          <w:spacing w:val="-3"/>
        </w:rPr>
        <w:t> </w:t>
      </w:r>
      <w:r>
        <w:rPr>
          <w:color w:val="0D0D0D"/>
        </w:rPr>
        <w:t>square</w:t>
      </w:r>
      <w:r>
        <w:rPr>
          <w:color w:val="0D0D0D"/>
          <w:spacing w:val="-5"/>
        </w:rPr>
        <w:t> </w:t>
      </w:r>
      <w:r>
        <w:rPr>
          <w:color w:val="0D0D0D"/>
        </w:rPr>
        <w:t>error(RMSE)</w:t>
      </w:r>
      <w:r>
        <w:rPr>
          <w:color w:val="0D0D0D"/>
          <w:spacing w:val="-4"/>
        </w:rPr>
        <w:t> </w:t>
      </w:r>
      <w:r>
        <w:rPr>
          <w:color w:val="0D0D0D"/>
        </w:rPr>
        <w:t>and</w:t>
      </w:r>
      <w:r>
        <w:rPr>
          <w:color w:val="0D0D0D"/>
          <w:spacing w:val="-3"/>
        </w:rPr>
        <w:t> </w:t>
      </w:r>
      <w:r>
        <w:rPr>
          <w:color w:val="0D0D0D"/>
        </w:rPr>
        <w:t>mean</w:t>
      </w:r>
      <w:r>
        <w:rPr>
          <w:color w:val="0D0D0D"/>
          <w:spacing w:val="-3"/>
        </w:rPr>
        <w:t> </w:t>
      </w:r>
      <w:r>
        <w:rPr>
          <w:color w:val="0D0D0D"/>
        </w:rPr>
        <w:t>absolute</w:t>
      </w:r>
      <w:r>
        <w:rPr>
          <w:color w:val="0D0D0D"/>
          <w:spacing w:val="-4"/>
        </w:rPr>
        <w:t> </w:t>
      </w:r>
      <w:r>
        <w:rPr>
          <w:color w:val="0D0D0D"/>
        </w:rPr>
        <w:t>percentage</w:t>
      </w:r>
      <w:r>
        <w:rPr>
          <w:color w:val="0D0D0D"/>
          <w:spacing w:val="-4"/>
        </w:rPr>
        <w:t> </w:t>
      </w:r>
      <w:r>
        <w:rPr>
          <w:color w:val="0D0D0D"/>
        </w:rPr>
        <w:t>error(MAPE)</w:t>
      </w:r>
      <w:r>
        <w:rPr>
          <w:color w:val="0D0D0D"/>
          <w:spacing w:val="-3"/>
        </w:rPr>
        <w:t> </w:t>
      </w:r>
      <w:r>
        <w:rPr>
          <w:color w:val="0D0D0D"/>
        </w:rPr>
        <w:t>aretwo</w:t>
      </w:r>
      <w:r>
        <w:rPr>
          <w:color w:val="0D0D0D"/>
          <w:spacing w:val="-3"/>
        </w:rPr>
        <w:t> </w:t>
      </w:r>
      <w:r>
        <w:rPr>
          <w:color w:val="0D0D0D"/>
        </w:rPr>
        <w:t>well known metrices in accessing error.Here both the values are being calculated and the one that is being smaller is chosen as the metric .The smaller the error the better is the model .On using XGBoost modelMAPE is found to be a better metric.</w:t>
      </w:r>
    </w:p>
    <w:p>
      <w:pPr>
        <w:pStyle w:val="BodyText"/>
        <w:ind w:left="1015" w:right="1222"/>
      </w:pPr>
      <w:r>
        <w:rPr>
          <w:color w:val="0D0D0D"/>
        </w:rPr>
        <w:t>The</w:t>
      </w:r>
      <w:r>
        <w:rPr>
          <w:color w:val="0D0D0D"/>
          <w:spacing w:val="-6"/>
        </w:rPr>
        <w:t> </w:t>
      </w:r>
      <w:r>
        <w:rPr>
          <w:color w:val="0D0D0D"/>
        </w:rPr>
        <w:t>top</w:t>
      </w:r>
      <w:r>
        <w:rPr>
          <w:color w:val="0D0D0D"/>
          <w:spacing w:val="-4"/>
        </w:rPr>
        <w:t> </w:t>
      </w:r>
      <w:r>
        <w:rPr>
          <w:color w:val="0D0D0D"/>
        </w:rPr>
        <w:t>25</w:t>
      </w:r>
      <w:r>
        <w:rPr>
          <w:color w:val="0D0D0D"/>
          <w:spacing w:val="-4"/>
        </w:rPr>
        <w:t> </w:t>
      </w:r>
      <w:r>
        <w:rPr>
          <w:color w:val="0D0D0D"/>
        </w:rPr>
        <w:t>percentile</w:t>
      </w:r>
      <w:r>
        <w:rPr>
          <w:color w:val="0D0D0D"/>
          <w:spacing w:val="-4"/>
        </w:rPr>
        <w:t> </w:t>
      </w:r>
      <w:r>
        <w:rPr>
          <w:color w:val="0D0D0D"/>
        </w:rPr>
        <w:t>companies</w:t>
      </w:r>
      <w:r>
        <w:rPr>
          <w:color w:val="0D0D0D"/>
          <w:spacing w:val="-4"/>
        </w:rPr>
        <w:t> </w:t>
      </w:r>
      <w:r>
        <w:rPr>
          <w:color w:val="0D0D0D"/>
        </w:rPr>
        <w:t>with</w:t>
      </w:r>
      <w:r>
        <w:rPr>
          <w:color w:val="0D0D0D"/>
          <w:spacing w:val="-4"/>
        </w:rPr>
        <w:t> </w:t>
      </w:r>
      <w:r>
        <w:rPr>
          <w:color w:val="0D0D0D"/>
        </w:rPr>
        <w:t>least</w:t>
      </w:r>
      <w:r>
        <w:rPr>
          <w:color w:val="0D0D0D"/>
          <w:spacing w:val="-4"/>
        </w:rPr>
        <w:t> </w:t>
      </w:r>
      <w:r>
        <w:rPr>
          <w:color w:val="0D0D0D"/>
        </w:rPr>
        <w:t>RMSE</w:t>
      </w:r>
      <w:r>
        <w:rPr>
          <w:color w:val="0D0D0D"/>
          <w:spacing w:val="-4"/>
        </w:rPr>
        <w:t> </w:t>
      </w:r>
      <w:r>
        <w:rPr>
          <w:color w:val="0D0D0D"/>
        </w:rPr>
        <w:t>were</w:t>
      </w:r>
      <w:r>
        <w:rPr>
          <w:color w:val="0D0D0D"/>
          <w:spacing w:val="-4"/>
        </w:rPr>
        <w:t> </w:t>
      </w:r>
      <w:r>
        <w:rPr>
          <w:color w:val="0D0D0D"/>
        </w:rPr>
        <w:t>IOC,JSWSTEEL</w:t>
      </w:r>
      <w:r>
        <w:rPr>
          <w:color w:val="0D0D0D"/>
          <w:spacing w:val="-3"/>
        </w:rPr>
        <w:t> </w:t>
      </w:r>
      <w:r>
        <w:rPr>
          <w:color w:val="0D0D0D"/>
        </w:rPr>
        <w:t>and</w:t>
      </w:r>
      <w:r>
        <w:rPr>
          <w:color w:val="0D0D0D"/>
          <w:spacing w:val="-4"/>
        </w:rPr>
        <w:t> </w:t>
      </w:r>
      <w:r>
        <w:rPr>
          <w:color w:val="0D0D0D"/>
        </w:rPr>
        <w:t>POWERGRID with RMSE values 2.016,10.502 and 2.101 respectively.</w:t>
      </w:r>
    </w:p>
    <w:p>
      <w:pPr>
        <w:pStyle w:val="BodyText"/>
        <w:ind w:left="1015" w:right="1587"/>
        <w:jc w:val="both"/>
      </w:pPr>
      <w:r>
        <w:rPr>
          <w:color w:val="0D0D0D"/>
        </w:rPr>
        <w:t>The</w:t>
      </w:r>
      <w:r>
        <w:rPr>
          <w:color w:val="0D0D0D"/>
          <w:spacing w:val="-6"/>
        </w:rPr>
        <w:t> </w:t>
      </w:r>
      <w:r>
        <w:rPr>
          <w:color w:val="0D0D0D"/>
        </w:rPr>
        <w:t>top</w:t>
      </w:r>
      <w:r>
        <w:rPr>
          <w:color w:val="0D0D0D"/>
          <w:spacing w:val="-4"/>
        </w:rPr>
        <w:t> </w:t>
      </w:r>
      <w:r>
        <w:rPr>
          <w:color w:val="0D0D0D"/>
        </w:rPr>
        <w:t>25</w:t>
      </w:r>
      <w:r>
        <w:rPr>
          <w:color w:val="0D0D0D"/>
          <w:spacing w:val="-4"/>
        </w:rPr>
        <w:t> </w:t>
      </w:r>
      <w:r>
        <w:rPr>
          <w:color w:val="0D0D0D"/>
        </w:rPr>
        <w:t>percentile</w:t>
      </w:r>
      <w:r>
        <w:rPr>
          <w:color w:val="0D0D0D"/>
          <w:spacing w:val="-4"/>
        </w:rPr>
        <w:t> </w:t>
      </w:r>
      <w:r>
        <w:rPr>
          <w:color w:val="0D0D0D"/>
        </w:rPr>
        <w:t>companies</w:t>
      </w:r>
      <w:r>
        <w:rPr>
          <w:color w:val="0D0D0D"/>
          <w:spacing w:val="-4"/>
        </w:rPr>
        <w:t> </w:t>
      </w:r>
      <w:r>
        <w:rPr>
          <w:color w:val="0D0D0D"/>
        </w:rPr>
        <w:t>with</w:t>
      </w:r>
      <w:r>
        <w:rPr>
          <w:color w:val="0D0D0D"/>
          <w:spacing w:val="-4"/>
        </w:rPr>
        <w:t> </w:t>
      </w:r>
      <w:r>
        <w:rPr>
          <w:color w:val="0D0D0D"/>
        </w:rPr>
        <w:t>least</w:t>
      </w:r>
      <w:r>
        <w:rPr>
          <w:color w:val="0D0D0D"/>
          <w:spacing w:val="-4"/>
        </w:rPr>
        <w:t> </w:t>
      </w:r>
      <w:r>
        <w:rPr>
          <w:color w:val="0D0D0D"/>
        </w:rPr>
        <w:t>MAPE</w:t>
      </w:r>
      <w:r>
        <w:rPr>
          <w:color w:val="0D0D0D"/>
          <w:spacing w:val="-4"/>
        </w:rPr>
        <w:t> </w:t>
      </w:r>
      <w:r>
        <w:rPr>
          <w:color w:val="0D0D0D"/>
        </w:rPr>
        <w:t>were</w:t>
      </w:r>
      <w:r>
        <w:rPr>
          <w:color w:val="0D0D0D"/>
          <w:spacing w:val="-4"/>
        </w:rPr>
        <w:t> </w:t>
      </w:r>
      <w:r>
        <w:rPr>
          <w:color w:val="0D0D0D"/>
        </w:rPr>
        <w:t>HDFC</w:t>
      </w:r>
      <w:r>
        <w:rPr>
          <w:color w:val="0D0D0D"/>
          <w:spacing w:val="-4"/>
        </w:rPr>
        <w:t> </w:t>
      </w:r>
      <w:r>
        <w:rPr>
          <w:color w:val="0D0D0D"/>
        </w:rPr>
        <w:t>BANK,NESTLEIND</w:t>
      </w:r>
      <w:r>
        <w:rPr>
          <w:color w:val="0D0D0D"/>
          <w:spacing w:val="-5"/>
        </w:rPr>
        <w:t> </w:t>
      </w:r>
      <w:r>
        <w:rPr>
          <w:color w:val="0D0D0D"/>
        </w:rPr>
        <w:t>and POWERGRID</w:t>
      </w:r>
      <w:r>
        <w:rPr>
          <w:color w:val="0D0D0D"/>
          <w:spacing w:val="-3"/>
        </w:rPr>
        <w:t> </w:t>
      </w:r>
      <w:r>
        <w:rPr>
          <w:color w:val="0D0D0D"/>
        </w:rPr>
        <w:t>with</w:t>
      </w:r>
      <w:r>
        <w:rPr>
          <w:color w:val="0D0D0D"/>
          <w:spacing w:val="-4"/>
        </w:rPr>
        <w:t> </w:t>
      </w:r>
      <w:r>
        <w:rPr>
          <w:color w:val="0D0D0D"/>
        </w:rPr>
        <w:t>MAPE</w:t>
      </w:r>
      <w:r>
        <w:rPr>
          <w:color w:val="0D0D0D"/>
          <w:spacing w:val="-4"/>
        </w:rPr>
        <w:t> </w:t>
      </w:r>
      <w:r>
        <w:rPr>
          <w:color w:val="0D0D0D"/>
        </w:rPr>
        <w:t>values</w:t>
      </w:r>
      <w:r>
        <w:rPr>
          <w:color w:val="0D0D0D"/>
          <w:spacing w:val="-4"/>
        </w:rPr>
        <w:t> </w:t>
      </w:r>
      <w:r>
        <w:rPr>
          <w:color w:val="0D0D0D"/>
        </w:rPr>
        <w:t>1.285,1.337</w:t>
      </w:r>
      <w:r>
        <w:rPr>
          <w:color w:val="0D0D0D"/>
          <w:spacing w:val="-4"/>
        </w:rPr>
        <w:t> </w:t>
      </w:r>
      <w:r>
        <w:rPr>
          <w:color w:val="0D0D0D"/>
        </w:rPr>
        <w:t>and</w:t>
      </w:r>
      <w:r>
        <w:rPr>
          <w:color w:val="0D0D0D"/>
          <w:spacing w:val="-4"/>
        </w:rPr>
        <w:t> </w:t>
      </w:r>
      <w:r>
        <w:rPr>
          <w:color w:val="0D0D0D"/>
        </w:rPr>
        <w:t>1.363</w:t>
      </w:r>
      <w:r>
        <w:rPr>
          <w:color w:val="0D0D0D"/>
          <w:spacing w:val="-4"/>
        </w:rPr>
        <w:t> </w:t>
      </w:r>
      <w:r>
        <w:rPr>
          <w:color w:val="0D0D0D"/>
        </w:rPr>
        <w:t>respectively.</w:t>
      </w:r>
      <w:r>
        <w:rPr>
          <w:color w:val="0D0D0D"/>
          <w:spacing w:val="-4"/>
        </w:rPr>
        <w:t> </w:t>
      </w:r>
      <w:r>
        <w:rPr>
          <w:color w:val="0D0D0D"/>
        </w:rPr>
        <w:t>On</w:t>
      </w:r>
      <w:r>
        <w:rPr>
          <w:color w:val="0D0D0D"/>
          <w:spacing w:val="-2"/>
        </w:rPr>
        <w:t> </w:t>
      </w:r>
      <w:r>
        <w:rPr>
          <w:color w:val="0D0D0D"/>
        </w:rPr>
        <w:t>comparing</w:t>
      </w:r>
      <w:r>
        <w:rPr>
          <w:color w:val="0D0D0D"/>
          <w:spacing w:val="-4"/>
        </w:rPr>
        <w:t> </w:t>
      </w:r>
      <w:r>
        <w:rPr>
          <w:color w:val="0D0D0D"/>
        </w:rPr>
        <w:t>the values MAPE is found to be the least therefore its chosen.</w:t>
      </w:r>
    </w:p>
    <w:p>
      <w:pPr>
        <w:pStyle w:val="BodyText"/>
        <w:spacing w:before="108"/>
        <w:rPr>
          <w:sz w:val="20"/>
        </w:rPr>
      </w:pPr>
      <w:r>
        <w:rPr>
          <w:sz w:val="20"/>
        </w:rPr>
        <w:drawing>
          <wp:anchor distT="0" distB="0" distL="0" distR="0" allowOverlap="1" layoutInCell="1" locked="0" behindDoc="1" simplePos="0" relativeHeight="487595008">
            <wp:simplePos x="0" y="0"/>
            <wp:positionH relativeFrom="page">
              <wp:posOffset>1464149</wp:posOffset>
            </wp:positionH>
            <wp:positionV relativeFrom="paragraph">
              <wp:posOffset>229853</wp:posOffset>
            </wp:positionV>
            <wp:extent cx="4623495" cy="2839497"/>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4623495" cy="2839497"/>
                    </a:xfrm>
                    <a:prstGeom prst="rect">
                      <a:avLst/>
                    </a:prstGeom>
                  </pic:spPr>
                </pic:pic>
              </a:graphicData>
            </a:graphic>
          </wp:anchor>
        </w:drawing>
      </w:r>
    </w:p>
    <w:p>
      <w:pPr>
        <w:pStyle w:val="BodyText"/>
        <w:spacing w:before="83"/>
        <w:ind w:left="264"/>
        <w:jc w:val="center"/>
      </w:pPr>
      <w:r>
        <w:rPr>
          <w:color w:val="0D0D0D"/>
        </w:rPr>
        <w:t>Fig.15.Daily</w:t>
      </w:r>
      <w:r>
        <w:rPr>
          <w:color w:val="0D0D0D"/>
          <w:spacing w:val="-1"/>
        </w:rPr>
        <w:t> </w:t>
      </w:r>
      <w:r>
        <w:rPr>
          <w:color w:val="0D0D0D"/>
        </w:rPr>
        <w:t>returns</w:t>
      </w:r>
      <w:r>
        <w:rPr>
          <w:color w:val="0D0D0D"/>
          <w:spacing w:val="-1"/>
        </w:rPr>
        <w:t> </w:t>
      </w:r>
      <w:r>
        <w:rPr>
          <w:color w:val="0D0D0D"/>
        </w:rPr>
        <w:t>of</w:t>
      </w:r>
      <w:r>
        <w:rPr>
          <w:color w:val="0D0D0D"/>
          <w:spacing w:val="-2"/>
        </w:rPr>
        <w:t> </w:t>
      </w:r>
      <w:r>
        <w:rPr>
          <w:color w:val="0D0D0D"/>
        </w:rPr>
        <w:t>top</w:t>
      </w:r>
      <w:r>
        <w:rPr>
          <w:color w:val="0D0D0D"/>
          <w:spacing w:val="-1"/>
        </w:rPr>
        <w:t> </w:t>
      </w:r>
      <w:r>
        <w:rPr>
          <w:color w:val="0D0D0D"/>
        </w:rPr>
        <w:t>25 percentile</w:t>
      </w:r>
      <w:r>
        <w:rPr>
          <w:color w:val="0D0D0D"/>
          <w:spacing w:val="-1"/>
        </w:rPr>
        <w:t> </w:t>
      </w:r>
      <w:r>
        <w:rPr>
          <w:color w:val="0D0D0D"/>
        </w:rPr>
        <w:t>companies</w:t>
      </w:r>
      <w:r>
        <w:rPr>
          <w:color w:val="0D0D0D"/>
          <w:spacing w:val="-1"/>
        </w:rPr>
        <w:t> </w:t>
      </w:r>
      <w:r>
        <w:rPr>
          <w:color w:val="0D0D0D"/>
        </w:rPr>
        <w:t>with</w:t>
      </w:r>
      <w:r>
        <w:rPr>
          <w:color w:val="0D0D0D"/>
          <w:spacing w:val="-1"/>
        </w:rPr>
        <w:t> </w:t>
      </w:r>
      <w:r>
        <w:rPr>
          <w:color w:val="0D0D0D"/>
        </w:rPr>
        <w:t>least </w:t>
      </w:r>
      <w:r>
        <w:rPr>
          <w:color w:val="0D0D0D"/>
          <w:spacing w:val="-4"/>
        </w:rPr>
        <w:t>MAPE</w:t>
      </w:r>
    </w:p>
    <w:p>
      <w:pPr>
        <w:pStyle w:val="BodyText"/>
        <w:rPr>
          <w:sz w:val="20"/>
        </w:rPr>
      </w:pPr>
    </w:p>
    <w:p>
      <w:pPr>
        <w:pStyle w:val="BodyText"/>
        <w:rPr>
          <w:sz w:val="20"/>
        </w:rPr>
      </w:pPr>
    </w:p>
    <w:p>
      <w:pPr>
        <w:pStyle w:val="BodyText"/>
        <w:rPr>
          <w:sz w:val="20"/>
        </w:rPr>
      </w:pPr>
    </w:p>
    <w:p>
      <w:pPr>
        <w:pStyle w:val="BodyText"/>
        <w:spacing w:before="64"/>
        <w:rPr>
          <w:sz w:val="20"/>
        </w:rPr>
      </w:pPr>
      <w:r>
        <w:rPr>
          <w:sz w:val="20"/>
        </w:rPr>
        <w:drawing>
          <wp:anchor distT="0" distB="0" distL="0" distR="0" allowOverlap="1" layoutInCell="1" locked="0" behindDoc="1" simplePos="0" relativeHeight="487595520">
            <wp:simplePos x="0" y="0"/>
            <wp:positionH relativeFrom="page">
              <wp:posOffset>1781326</wp:posOffset>
            </wp:positionH>
            <wp:positionV relativeFrom="paragraph">
              <wp:posOffset>201999</wp:posOffset>
            </wp:positionV>
            <wp:extent cx="3976667" cy="2487168"/>
            <wp:effectExtent l="0" t="0" r="0" b="0"/>
            <wp:wrapTopAndBottom/>
            <wp:docPr id="20" name="Image 20" descr="A graph of a stock market  Description automatically generated"/>
            <wp:cNvGraphicFramePr>
              <a:graphicFrameLocks/>
            </wp:cNvGraphicFramePr>
            <a:graphic>
              <a:graphicData uri="http://schemas.openxmlformats.org/drawingml/2006/picture">
                <pic:pic>
                  <pic:nvPicPr>
                    <pic:cNvPr id="20" name="Image 20" descr="A graph of a stock market  Description automatically generated"/>
                    <pic:cNvPicPr/>
                  </pic:nvPicPr>
                  <pic:blipFill>
                    <a:blip r:embed="rId24" cstate="print"/>
                    <a:stretch>
                      <a:fillRect/>
                    </a:stretch>
                  </pic:blipFill>
                  <pic:spPr>
                    <a:xfrm>
                      <a:off x="0" y="0"/>
                      <a:ext cx="3976667" cy="2487168"/>
                    </a:xfrm>
                    <a:prstGeom prst="rect">
                      <a:avLst/>
                    </a:prstGeom>
                  </pic:spPr>
                </pic:pic>
              </a:graphicData>
            </a:graphic>
          </wp:anchor>
        </w:drawing>
      </w:r>
    </w:p>
    <w:p>
      <w:pPr>
        <w:pStyle w:val="BodyText"/>
        <w:spacing w:before="58"/>
        <w:ind w:left="18"/>
        <w:jc w:val="center"/>
      </w:pPr>
      <w:r>
        <w:rPr>
          <w:color w:val="0D0D0D"/>
        </w:rPr>
        <w:t>Fig.16Historic</w:t>
      </w:r>
      <w:r>
        <w:rPr>
          <w:color w:val="0D0D0D"/>
          <w:spacing w:val="-5"/>
        </w:rPr>
        <w:t> </w:t>
      </w:r>
      <w:r>
        <w:rPr>
          <w:color w:val="0D0D0D"/>
        </w:rPr>
        <w:t>stock</w:t>
      </w:r>
      <w:r>
        <w:rPr>
          <w:color w:val="0D0D0D"/>
          <w:spacing w:val="-1"/>
        </w:rPr>
        <w:t> </w:t>
      </w:r>
      <w:r>
        <w:rPr>
          <w:color w:val="0D0D0D"/>
        </w:rPr>
        <w:t>prices of</w:t>
      </w:r>
      <w:r>
        <w:rPr>
          <w:color w:val="0D0D0D"/>
          <w:spacing w:val="-1"/>
        </w:rPr>
        <w:t> </w:t>
      </w:r>
      <w:r>
        <w:rPr>
          <w:color w:val="0D0D0D"/>
        </w:rPr>
        <w:t>the selected stocks(2014-</w:t>
      </w:r>
      <w:r>
        <w:rPr>
          <w:color w:val="0D0D0D"/>
          <w:spacing w:val="-2"/>
        </w:rPr>
        <w:t>2023)</w:t>
      </w:r>
    </w:p>
    <w:p>
      <w:pPr>
        <w:pStyle w:val="BodyText"/>
        <w:spacing w:after="0"/>
        <w:jc w:val="center"/>
        <w:sectPr>
          <w:pgSz w:w="11910" w:h="16840"/>
          <w:pgMar w:top="1360" w:bottom="280" w:left="425" w:right="283"/>
        </w:sectPr>
      </w:pPr>
    </w:p>
    <w:p>
      <w:pPr>
        <w:pStyle w:val="BodyText"/>
        <w:spacing w:before="60"/>
        <w:ind w:left="1015" w:right="1222"/>
      </w:pPr>
      <w:r>
        <w:rPr>
          <w:color w:val="0D0D0D"/>
        </w:rPr>
        <w:t>Similar</w:t>
      </w:r>
      <w:r>
        <w:rPr>
          <w:color w:val="0D0D0D"/>
          <w:spacing w:val="-3"/>
        </w:rPr>
        <w:t> </w:t>
      </w:r>
      <w:r>
        <w:rPr>
          <w:color w:val="0D0D0D"/>
        </w:rPr>
        <w:t>to</w:t>
      </w:r>
      <w:r>
        <w:rPr>
          <w:color w:val="0D0D0D"/>
          <w:spacing w:val="-3"/>
        </w:rPr>
        <w:t> </w:t>
      </w:r>
      <w:r>
        <w:rPr>
          <w:color w:val="0D0D0D"/>
        </w:rPr>
        <w:t>the</w:t>
      </w:r>
      <w:r>
        <w:rPr>
          <w:color w:val="0D0D0D"/>
          <w:spacing w:val="-3"/>
        </w:rPr>
        <w:t> </w:t>
      </w:r>
      <w:r>
        <w:rPr>
          <w:color w:val="0D0D0D"/>
        </w:rPr>
        <w:t>pervious</w:t>
      </w:r>
      <w:r>
        <w:rPr>
          <w:color w:val="0D0D0D"/>
          <w:spacing w:val="-3"/>
        </w:rPr>
        <w:t> </w:t>
      </w:r>
      <w:r>
        <w:rPr>
          <w:color w:val="0D0D0D"/>
        </w:rPr>
        <w:t>portfolios</w:t>
      </w:r>
      <w:r>
        <w:rPr>
          <w:color w:val="0D0D0D"/>
          <w:spacing w:val="-3"/>
        </w:rPr>
        <w:t> </w:t>
      </w:r>
      <w:r>
        <w:rPr>
          <w:color w:val="0D0D0D"/>
        </w:rPr>
        <w:t>the</w:t>
      </w:r>
      <w:r>
        <w:rPr>
          <w:color w:val="0D0D0D"/>
          <w:spacing w:val="-3"/>
        </w:rPr>
        <w:t> </w:t>
      </w:r>
      <w:r>
        <w:rPr>
          <w:color w:val="0D0D0D"/>
        </w:rPr>
        <w:t>mean</w:t>
      </w:r>
      <w:r>
        <w:rPr>
          <w:color w:val="0D0D0D"/>
          <w:spacing w:val="-3"/>
        </w:rPr>
        <w:t> </w:t>
      </w:r>
      <w:r>
        <w:rPr>
          <w:color w:val="0D0D0D"/>
        </w:rPr>
        <w:t>variance</w:t>
      </w:r>
      <w:r>
        <w:rPr>
          <w:color w:val="0D0D0D"/>
          <w:spacing w:val="-4"/>
        </w:rPr>
        <w:t> </w:t>
      </w:r>
      <w:r>
        <w:rPr>
          <w:color w:val="0D0D0D"/>
        </w:rPr>
        <w:t>optimization</w:t>
      </w:r>
      <w:r>
        <w:rPr>
          <w:color w:val="0D0D0D"/>
          <w:spacing w:val="-3"/>
        </w:rPr>
        <w:t> </w:t>
      </w:r>
      <w:r>
        <w:rPr>
          <w:color w:val="0D0D0D"/>
        </w:rPr>
        <w:t>is</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weight</w:t>
      </w:r>
      <w:r>
        <w:rPr>
          <w:color w:val="0D0D0D"/>
          <w:spacing w:val="-3"/>
        </w:rPr>
        <w:t> </w:t>
      </w:r>
      <w:r>
        <w:rPr>
          <w:color w:val="0D0D0D"/>
        </w:rPr>
        <w:t>the</w:t>
      </w:r>
      <w:r>
        <w:rPr>
          <w:color w:val="0D0D0D"/>
          <w:spacing w:val="-3"/>
        </w:rPr>
        <w:t> </w:t>
      </w:r>
      <w:r>
        <w:rPr>
          <w:color w:val="0D0D0D"/>
        </w:rPr>
        <w:t>stocks in the portfolio.The return ,volatility and Sharpe ratio of the portfolio are studied at the minimum volatility and maximum Sharpe ratio point</w:t>
      </w:r>
    </w:p>
    <w:p>
      <w:pPr>
        <w:pStyle w:val="BodyText"/>
        <w:spacing w:before="48"/>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05"/>
        <w:gridCol w:w="3005"/>
        <w:gridCol w:w="3008"/>
      </w:tblGrid>
      <w:tr>
        <w:trPr>
          <w:trHeight w:val="275" w:hRule="atLeast"/>
        </w:trPr>
        <w:tc>
          <w:tcPr>
            <w:tcW w:w="3005" w:type="dxa"/>
          </w:tcPr>
          <w:p>
            <w:pPr>
              <w:pStyle w:val="TableParagraph"/>
              <w:spacing w:line="240" w:lineRule="auto"/>
              <w:ind w:left="0"/>
              <w:rPr>
                <w:sz w:val="20"/>
              </w:rPr>
            </w:pPr>
          </w:p>
        </w:tc>
        <w:tc>
          <w:tcPr>
            <w:tcW w:w="3005"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minimum</w:t>
            </w:r>
            <w:r>
              <w:rPr>
                <w:color w:val="0D0D0D"/>
                <w:spacing w:val="-1"/>
                <w:sz w:val="24"/>
              </w:rPr>
              <w:t> </w:t>
            </w:r>
            <w:r>
              <w:rPr>
                <w:color w:val="0D0D0D"/>
                <w:sz w:val="24"/>
              </w:rPr>
              <w:t>volatility</w:t>
            </w:r>
            <w:r>
              <w:rPr>
                <w:color w:val="0D0D0D"/>
                <w:spacing w:val="-1"/>
                <w:sz w:val="24"/>
              </w:rPr>
              <w:t> </w:t>
            </w:r>
            <w:r>
              <w:rPr>
                <w:color w:val="0D0D0D"/>
                <w:spacing w:val="-2"/>
                <w:sz w:val="24"/>
              </w:rPr>
              <w:t>point</w:t>
            </w:r>
          </w:p>
        </w:tc>
        <w:tc>
          <w:tcPr>
            <w:tcW w:w="3008" w:type="dxa"/>
          </w:tcPr>
          <w:p>
            <w:pPr>
              <w:pStyle w:val="TableParagraph"/>
              <w:spacing w:line="256" w:lineRule="exact"/>
              <w:ind w:left="108"/>
              <w:rPr>
                <w:sz w:val="24"/>
              </w:rPr>
            </w:pPr>
            <w:r>
              <w:rPr>
                <w:color w:val="0D0D0D"/>
                <w:sz w:val="24"/>
              </w:rPr>
              <w:t>At</w:t>
            </w:r>
            <w:r>
              <w:rPr>
                <w:color w:val="0D0D0D"/>
                <w:spacing w:val="-1"/>
                <w:sz w:val="24"/>
              </w:rPr>
              <w:t> </w:t>
            </w:r>
            <w:r>
              <w:rPr>
                <w:color w:val="0D0D0D"/>
                <w:sz w:val="24"/>
              </w:rPr>
              <w:t>maximum Sharpe</w:t>
            </w:r>
            <w:r>
              <w:rPr>
                <w:color w:val="0D0D0D"/>
                <w:spacing w:val="-2"/>
                <w:sz w:val="24"/>
              </w:rPr>
              <w:t> point</w:t>
            </w:r>
          </w:p>
        </w:tc>
      </w:tr>
      <w:tr>
        <w:trPr>
          <w:trHeight w:val="275" w:hRule="atLeast"/>
        </w:trPr>
        <w:tc>
          <w:tcPr>
            <w:tcW w:w="3005" w:type="dxa"/>
          </w:tcPr>
          <w:p>
            <w:pPr>
              <w:pStyle w:val="TableParagraph"/>
              <w:spacing w:line="256" w:lineRule="exact"/>
              <w:rPr>
                <w:sz w:val="24"/>
              </w:rPr>
            </w:pPr>
            <w:r>
              <w:rPr>
                <w:color w:val="0D0D0D"/>
                <w:spacing w:val="-2"/>
                <w:sz w:val="24"/>
              </w:rPr>
              <w:t>Volatility</w:t>
            </w:r>
          </w:p>
        </w:tc>
        <w:tc>
          <w:tcPr>
            <w:tcW w:w="3005" w:type="dxa"/>
          </w:tcPr>
          <w:p>
            <w:pPr>
              <w:pStyle w:val="TableParagraph"/>
              <w:spacing w:line="256" w:lineRule="exact"/>
              <w:ind w:left="108"/>
              <w:rPr>
                <w:sz w:val="24"/>
              </w:rPr>
            </w:pPr>
            <w:r>
              <w:rPr>
                <w:color w:val="0D0D0D"/>
                <w:spacing w:val="-2"/>
                <w:sz w:val="24"/>
              </w:rPr>
              <w:t>0.1583</w:t>
            </w:r>
          </w:p>
        </w:tc>
        <w:tc>
          <w:tcPr>
            <w:tcW w:w="3008" w:type="dxa"/>
          </w:tcPr>
          <w:p>
            <w:pPr>
              <w:pStyle w:val="TableParagraph"/>
              <w:spacing w:line="256" w:lineRule="exact"/>
              <w:ind w:left="108"/>
              <w:rPr>
                <w:sz w:val="24"/>
              </w:rPr>
            </w:pPr>
            <w:r>
              <w:rPr>
                <w:color w:val="0D0D0D"/>
                <w:spacing w:val="-2"/>
                <w:sz w:val="24"/>
              </w:rPr>
              <w:t>0.1585</w:t>
            </w:r>
          </w:p>
        </w:tc>
      </w:tr>
      <w:tr>
        <w:trPr>
          <w:trHeight w:val="275" w:hRule="atLeast"/>
        </w:trPr>
        <w:tc>
          <w:tcPr>
            <w:tcW w:w="3005" w:type="dxa"/>
          </w:tcPr>
          <w:p>
            <w:pPr>
              <w:pStyle w:val="TableParagraph"/>
              <w:spacing w:line="256" w:lineRule="exact"/>
              <w:rPr>
                <w:sz w:val="24"/>
              </w:rPr>
            </w:pPr>
            <w:r>
              <w:rPr>
                <w:color w:val="0D0D0D"/>
                <w:spacing w:val="-2"/>
                <w:sz w:val="24"/>
              </w:rPr>
              <w:t>Returns</w:t>
            </w:r>
          </w:p>
        </w:tc>
        <w:tc>
          <w:tcPr>
            <w:tcW w:w="3005" w:type="dxa"/>
          </w:tcPr>
          <w:p>
            <w:pPr>
              <w:pStyle w:val="TableParagraph"/>
              <w:spacing w:line="256" w:lineRule="exact"/>
              <w:ind w:left="108"/>
              <w:rPr>
                <w:sz w:val="24"/>
              </w:rPr>
            </w:pPr>
            <w:r>
              <w:rPr>
                <w:color w:val="0D0D0D"/>
                <w:spacing w:val="-2"/>
                <w:sz w:val="24"/>
              </w:rPr>
              <w:t>22.57%</w:t>
            </w:r>
          </w:p>
        </w:tc>
        <w:tc>
          <w:tcPr>
            <w:tcW w:w="3008" w:type="dxa"/>
          </w:tcPr>
          <w:p>
            <w:pPr>
              <w:pStyle w:val="TableParagraph"/>
              <w:spacing w:line="256" w:lineRule="exact"/>
              <w:ind w:left="108"/>
              <w:rPr>
                <w:sz w:val="24"/>
              </w:rPr>
            </w:pPr>
            <w:r>
              <w:rPr>
                <w:color w:val="0D0D0D"/>
                <w:spacing w:val="-2"/>
                <w:sz w:val="24"/>
              </w:rPr>
              <w:t>22.63%</w:t>
            </w:r>
          </w:p>
        </w:tc>
      </w:tr>
      <w:tr>
        <w:trPr>
          <w:trHeight w:val="278" w:hRule="atLeast"/>
        </w:trPr>
        <w:tc>
          <w:tcPr>
            <w:tcW w:w="3005" w:type="dxa"/>
          </w:tcPr>
          <w:p>
            <w:pPr>
              <w:pStyle w:val="TableParagraph"/>
              <w:spacing w:line="257" w:lineRule="exact" w:before="1"/>
              <w:rPr>
                <w:sz w:val="24"/>
              </w:rPr>
            </w:pPr>
            <w:r>
              <w:rPr>
                <w:color w:val="0D0D0D"/>
                <w:sz w:val="24"/>
              </w:rPr>
              <w:t>Sharpe</w:t>
            </w:r>
            <w:r>
              <w:rPr>
                <w:color w:val="0D0D0D"/>
                <w:spacing w:val="-3"/>
                <w:sz w:val="24"/>
              </w:rPr>
              <w:t> </w:t>
            </w:r>
            <w:r>
              <w:rPr>
                <w:color w:val="0D0D0D"/>
                <w:spacing w:val="-2"/>
                <w:sz w:val="24"/>
              </w:rPr>
              <w:t>ratio</w:t>
            </w:r>
          </w:p>
        </w:tc>
        <w:tc>
          <w:tcPr>
            <w:tcW w:w="3005" w:type="dxa"/>
          </w:tcPr>
          <w:p>
            <w:pPr>
              <w:pStyle w:val="TableParagraph"/>
              <w:spacing w:line="257" w:lineRule="exact" w:before="1"/>
              <w:ind w:left="108"/>
              <w:rPr>
                <w:sz w:val="24"/>
              </w:rPr>
            </w:pPr>
            <w:r>
              <w:rPr>
                <w:color w:val="0D0D0D"/>
                <w:spacing w:val="-2"/>
                <w:sz w:val="24"/>
              </w:rPr>
              <w:t>1.4257</w:t>
            </w:r>
          </w:p>
        </w:tc>
        <w:tc>
          <w:tcPr>
            <w:tcW w:w="3008" w:type="dxa"/>
          </w:tcPr>
          <w:p>
            <w:pPr>
              <w:pStyle w:val="TableParagraph"/>
              <w:spacing w:line="257" w:lineRule="exact" w:before="1"/>
              <w:ind w:left="108"/>
              <w:rPr>
                <w:sz w:val="24"/>
              </w:rPr>
            </w:pPr>
            <w:r>
              <w:rPr>
                <w:color w:val="0D0D0D"/>
                <w:spacing w:val="-2"/>
                <w:sz w:val="24"/>
              </w:rPr>
              <w:t>1.5885</w:t>
            </w:r>
          </w:p>
        </w:tc>
      </w:tr>
    </w:tbl>
    <w:p>
      <w:pPr>
        <w:pStyle w:val="BodyText"/>
      </w:pPr>
    </w:p>
    <w:p>
      <w:pPr>
        <w:pStyle w:val="BodyText"/>
        <w:ind w:left="1015" w:right="1260"/>
      </w:pPr>
      <w:r>
        <w:rPr>
          <w:color w:val="0D0D0D"/>
        </w:rPr>
        <w:t>The</w:t>
      </w:r>
      <w:r>
        <w:rPr>
          <w:color w:val="0D0D0D"/>
          <w:spacing w:val="-4"/>
        </w:rPr>
        <w:t> </w:t>
      </w:r>
      <w:r>
        <w:rPr>
          <w:color w:val="0D0D0D"/>
        </w:rPr>
        <w:t>difference</w:t>
      </w:r>
      <w:r>
        <w:rPr>
          <w:color w:val="0D0D0D"/>
          <w:spacing w:val="-3"/>
        </w:rPr>
        <w:t> </w:t>
      </w:r>
      <w:r>
        <w:rPr>
          <w:color w:val="0D0D0D"/>
        </w:rPr>
        <w:t>in</w:t>
      </w:r>
      <w:r>
        <w:rPr>
          <w:color w:val="0D0D0D"/>
          <w:spacing w:val="-2"/>
        </w:rPr>
        <w:t> </w:t>
      </w:r>
      <w:r>
        <w:rPr>
          <w:color w:val="0D0D0D"/>
        </w:rPr>
        <w:t>the</w:t>
      </w:r>
      <w:r>
        <w:rPr>
          <w:color w:val="0D0D0D"/>
          <w:spacing w:val="-3"/>
        </w:rPr>
        <w:t> </w:t>
      </w:r>
      <w:r>
        <w:rPr>
          <w:color w:val="0D0D0D"/>
        </w:rPr>
        <w:t>volatility</w:t>
      </w:r>
      <w:r>
        <w:rPr>
          <w:color w:val="0D0D0D"/>
          <w:spacing w:val="-2"/>
        </w:rPr>
        <w:t> </w:t>
      </w:r>
      <w:r>
        <w:rPr>
          <w:color w:val="0D0D0D"/>
        </w:rPr>
        <w:t>between</w:t>
      </w:r>
      <w:r>
        <w:rPr>
          <w:color w:val="0D0D0D"/>
          <w:spacing w:val="-2"/>
        </w:rPr>
        <w:t> </w:t>
      </w:r>
      <w:r>
        <w:rPr>
          <w:color w:val="0D0D0D"/>
        </w:rPr>
        <w:t>the</w:t>
      </w:r>
      <w:r>
        <w:rPr>
          <w:color w:val="0D0D0D"/>
          <w:spacing w:val="-2"/>
        </w:rPr>
        <w:t> </w:t>
      </w:r>
      <w:r>
        <w:rPr>
          <w:color w:val="0D0D0D"/>
        </w:rPr>
        <w:t>two</w:t>
      </w:r>
      <w:r>
        <w:rPr>
          <w:color w:val="0D0D0D"/>
          <w:spacing w:val="-2"/>
        </w:rPr>
        <w:t> </w:t>
      </w:r>
      <w:r>
        <w:rPr>
          <w:color w:val="0D0D0D"/>
        </w:rPr>
        <w:t>portfolios is</w:t>
      </w:r>
      <w:r>
        <w:rPr>
          <w:color w:val="0D0D0D"/>
          <w:spacing w:val="-2"/>
        </w:rPr>
        <w:t> </w:t>
      </w:r>
      <w:r>
        <w:rPr>
          <w:color w:val="0D0D0D"/>
        </w:rPr>
        <w:t>zero</w:t>
      </w:r>
      <w:r>
        <w:rPr>
          <w:color w:val="0D0D0D"/>
          <w:spacing w:val="-2"/>
        </w:rPr>
        <w:t> </w:t>
      </w:r>
      <w:r>
        <w:rPr>
          <w:color w:val="0D0D0D"/>
        </w:rPr>
        <w:t>but</w:t>
      </w:r>
      <w:r>
        <w:rPr>
          <w:color w:val="0D0D0D"/>
          <w:spacing w:val="-2"/>
        </w:rPr>
        <w:t> </w:t>
      </w:r>
      <w:r>
        <w:rPr>
          <w:color w:val="0D0D0D"/>
        </w:rPr>
        <w:t>there</w:t>
      </w:r>
      <w:r>
        <w:rPr>
          <w:color w:val="0D0D0D"/>
          <w:spacing w:val="-2"/>
        </w:rPr>
        <w:t> </w:t>
      </w:r>
      <w:r>
        <w:rPr>
          <w:color w:val="0D0D0D"/>
        </w:rPr>
        <w:t>is</w:t>
      </w:r>
      <w:r>
        <w:rPr>
          <w:color w:val="0D0D0D"/>
          <w:spacing w:val="-1"/>
        </w:rPr>
        <w:t> </w:t>
      </w:r>
      <w:r>
        <w:rPr>
          <w:color w:val="0D0D0D"/>
        </w:rPr>
        <w:t>slightly</w:t>
      </w:r>
      <w:r>
        <w:rPr>
          <w:color w:val="0D0D0D"/>
          <w:spacing w:val="-2"/>
        </w:rPr>
        <w:t> </w:t>
      </w:r>
      <w:r>
        <w:rPr>
          <w:color w:val="0D0D0D"/>
        </w:rPr>
        <w:t>higher returns and higher sharper ratio associated with the portfolio with maximum Sharpe point</w:t>
      </w:r>
    </w:p>
    <w:p>
      <w:pPr>
        <w:pStyle w:val="BodyText"/>
        <w:ind w:left="1015" w:right="1222"/>
      </w:pPr>
      <w:r>
        <w:rPr>
          <w:color w:val="0D0D0D"/>
        </w:rPr>
        <w:t>.Therefore</w:t>
      </w:r>
      <w:r>
        <w:rPr>
          <w:color w:val="0D0D0D"/>
          <w:spacing w:val="-5"/>
        </w:rPr>
        <w:t> </w:t>
      </w:r>
      <w:r>
        <w:rPr>
          <w:color w:val="0D0D0D"/>
        </w:rPr>
        <w:t>this</w:t>
      </w:r>
      <w:r>
        <w:rPr>
          <w:color w:val="0D0D0D"/>
          <w:spacing w:val="-3"/>
        </w:rPr>
        <w:t> </w:t>
      </w:r>
      <w:r>
        <w:rPr>
          <w:color w:val="0D0D0D"/>
        </w:rPr>
        <w:t>portfolio</w:t>
      </w:r>
      <w:r>
        <w:rPr>
          <w:color w:val="0D0D0D"/>
          <w:spacing w:val="-3"/>
        </w:rPr>
        <w:t> </w:t>
      </w:r>
      <w:r>
        <w:rPr>
          <w:color w:val="0D0D0D"/>
        </w:rPr>
        <w:t>is</w:t>
      </w:r>
      <w:r>
        <w:rPr>
          <w:color w:val="0D0D0D"/>
          <w:spacing w:val="-3"/>
        </w:rPr>
        <w:t> </w:t>
      </w:r>
      <w:r>
        <w:rPr>
          <w:color w:val="0D0D0D"/>
        </w:rPr>
        <w:t>been</w:t>
      </w:r>
      <w:r>
        <w:rPr>
          <w:color w:val="0D0D0D"/>
          <w:spacing w:val="-3"/>
        </w:rPr>
        <w:t> </w:t>
      </w:r>
      <w:r>
        <w:rPr>
          <w:color w:val="0D0D0D"/>
        </w:rPr>
        <w:t>selected</w:t>
      </w:r>
      <w:r>
        <w:rPr>
          <w:color w:val="0D0D0D"/>
          <w:spacing w:val="-2"/>
        </w:rPr>
        <w:t> </w:t>
      </w:r>
      <w:r>
        <w:rPr>
          <w:color w:val="0D0D0D"/>
        </w:rPr>
        <w:t>and</w:t>
      </w:r>
      <w:r>
        <w:rPr>
          <w:color w:val="0D0D0D"/>
          <w:spacing w:val="-3"/>
        </w:rPr>
        <w:t> </w:t>
      </w:r>
      <w:r>
        <w:rPr>
          <w:color w:val="0D0D0D"/>
        </w:rPr>
        <w:t>the</w:t>
      </w:r>
      <w:r>
        <w:rPr>
          <w:color w:val="0D0D0D"/>
          <w:spacing w:val="-1"/>
        </w:rPr>
        <w:t> </w:t>
      </w:r>
      <w:r>
        <w:rPr>
          <w:color w:val="0D0D0D"/>
        </w:rPr>
        <w:t>cummulative</w:t>
      </w:r>
      <w:r>
        <w:rPr>
          <w:color w:val="0D0D0D"/>
          <w:spacing w:val="-3"/>
        </w:rPr>
        <w:t> </w:t>
      </w:r>
      <w:r>
        <w:rPr>
          <w:color w:val="0D0D0D"/>
        </w:rPr>
        <w:t>returns</w:t>
      </w:r>
      <w:r>
        <w:rPr>
          <w:color w:val="0D0D0D"/>
          <w:spacing w:val="-3"/>
        </w:rPr>
        <w:t> </w:t>
      </w:r>
      <w:r>
        <w:rPr>
          <w:color w:val="0D0D0D"/>
        </w:rPr>
        <w:t>of</w:t>
      </w:r>
      <w:r>
        <w:rPr>
          <w:color w:val="0D0D0D"/>
          <w:spacing w:val="-4"/>
        </w:rPr>
        <w:t> </w:t>
      </w:r>
      <w:r>
        <w:rPr>
          <w:color w:val="0D0D0D"/>
        </w:rPr>
        <w:t>this</w:t>
      </w:r>
      <w:r>
        <w:rPr>
          <w:color w:val="0D0D0D"/>
          <w:spacing w:val="-3"/>
        </w:rPr>
        <w:t> </w:t>
      </w:r>
      <w:r>
        <w:rPr>
          <w:color w:val="0D0D0D"/>
        </w:rPr>
        <w:t>portfolio</w:t>
      </w:r>
      <w:r>
        <w:rPr>
          <w:color w:val="0D0D0D"/>
          <w:spacing w:val="-3"/>
        </w:rPr>
        <w:t> </w:t>
      </w:r>
      <w:r>
        <w:rPr>
          <w:color w:val="0D0D0D"/>
        </w:rPr>
        <w:t>for</w:t>
      </w:r>
      <w:r>
        <w:rPr>
          <w:color w:val="0D0D0D"/>
          <w:spacing w:val="-5"/>
        </w:rPr>
        <w:t> </w:t>
      </w:r>
      <w:r>
        <w:rPr>
          <w:color w:val="0D0D0D"/>
        </w:rPr>
        <w:t>the year 2023 is obtained which is 33.00%</w:t>
      </w:r>
    </w:p>
    <w:p>
      <w:pPr>
        <w:pStyle w:val="BodyText"/>
        <w:spacing w:before="120"/>
        <w:rPr>
          <w:sz w:val="20"/>
        </w:rPr>
      </w:pPr>
      <w:r>
        <w:rPr>
          <w:sz w:val="20"/>
        </w:rPr>
        <w:drawing>
          <wp:anchor distT="0" distB="0" distL="0" distR="0" allowOverlap="1" layoutInCell="1" locked="0" behindDoc="1" simplePos="0" relativeHeight="487596032">
            <wp:simplePos x="0" y="0"/>
            <wp:positionH relativeFrom="page">
              <wp:posOffset>1620127</wp:posOffset>
            </wp:positionH>
            <wp:positionV relativeFrom="paragraph">
              <wp:posOffset>237792</wp:posOffset>
            </wp:positionV>
            <wp:extent cx="3329931" cy="332612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3329931" cy="3326129"/>
                    </a:xfrm>
                    <a:prstGeom prst="rect">
                      <a:avLst/>
                    </a:prstGeom>
                  </pic:spPr>
                </pic:pic>
              </a:graphicData>
            </a:graphic>
          </wp:anchor>
        </w:drawing>
      </w:r>
    </w:p>
    <w:p>
      <w:pPr>
        <w:pStyle w:val="BodyText"/>
        <w:spacing w:before="67"/>
        <w:ind w:left="2875"/>
      </w:pPr>
      <w:r>
        <w:rPr>
          <w:color w:val="0D0D0D"/>
        </w:rPr>
        <w:t>Fig.17.Efficient</w:t>
      </w:r>
      <w:r>
        <w:rPr>
          <w:color w:val="0D0D0D"/>
          <w:spacing w:val="-2"/>
        </w:rPr>
        <w:t> </w:t>
      </w:r>
      <w:r>
        <w:rPr>
          <w:color w:val="0D0D0D"/>
        </w:rPr>
        <w:t>frontier</w:t>
      </w:r>
      <w:r>
        <w:rPr>
          <w:color w:val="0D0D0D"/>
          <w:spacing w:val="-1"/>
        </w:rPr>
        <w:t> </w:t>
      </w:r>
      <w:r>
        <w:rPr>
          <w:color w:val="0D0D0D"/>
        </w:rPr>
        <w:t>of</w:t>
      </w:r>
      <w:r>
        <w:rPr>
          <w:color w:val="0D0D0D"/>
          <w:spacing w:val="-3"/>
        </w:rPr>
        <w:t> </w:t>
      </w:r>
      <w:r>
        <w:rPr>
          <w:color w:val="0D0D0D"/>
          <w:spacing w:val="-2"/>
        </w:rPr>
        <w:t>portfolio</w:t>
      </w:r>
    </w:p>
    <w:p>
      <w:pPr>
        <w:pStyle w:val="BodyText"/>
        <w:spacing w:before="123"/>
        <w:rPr>
          <w:sz w:val="20"/>
        </w:rPr>
      </w:pPr>
      <w:r>
        <w:rPr>
          <w:sz w:val="20"/>
        </w:rPr>
        <w:drawing>
          <wp:anchor distT="0" distB="0" distL="0" distR="0" allowOverlap="1" layoutInCell="1" locked="0" behindDoc="1" simplePos="0" relativeHeight="487596544">
            <wp:simplePos x="0" y="0"/>
            <wp:positionH relativeFrom="page">
              <wp:posOffset>1957011</wp:posOffset>
            </wp:positionH>
            <wp:positionV relativeFrom="paragraph">
              <wp:posOffset>239865</wp:posOffset>
            </wp:positionV>
            <wp:extent cx="3150186" cy="1842516"/>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3150186" cy="1842516"/>
                    </a:xfrm>
                    <a:prstGeom prst="rect">
                      <a:avLst/>
                    </a:prstGeom>
                  </pic:spPr>
                </pic:pic>
              </a:graphicData>
            </a:graphic>
          </wp:anchor>
        </w:drawing>
      </w:r>
    </w:p>
    <w:p>
      <w:pPr>
        <w:pStyle w:val="BodyText"/>
        <w:spacing w:before="60"/>
        <w:ind w:left="2275"/>
      </w:pPr>
      <w:r>
        <w:rPr>
          <w:color w:val="0D0D0D"/>
        </w:rPr>
        <w:t>Fig.18.Cummulative</w:t>
      </w:r>
      <w:r>
        <w:rPr>
          <w:color w:val="0D0D0D"/>
          <w:spacing w:val="-1"/>
        </w:rPr>
        <w:t> </w:t>
      </w:r>
      <w:r>
        <w:rPr>
          <w:color w:val="0D0D0D"/>
        </w:rPr>
        <w:t>returns</w:t>
      </w:r>
      <w:r>
        <w:rPr>
          <w:color w:val="0D0D0D"/>
          <w:spacing w:val="-2"/>
        </w:rPr>
        <w:t> </w:t>
      </w:r>
      <w:r>
        <w:rPr>
          <w:color w:val="0D0D0D"/>
        </w:rPr>
        <w:t>of</w:t>
      </w:r>
      <w:r>
        <w:rPr>
          <w:color w:val="0D0D0D"/>
          <w:spacing w:val="-1"/>
        </w:rPr>
        <w:t> </w:t>
      </w:r>
      <w:r>
        <w:rPr>
          <w:color w:val="0D0D0D"/>
        </w:rPr>
        <w:t>portfolio</w:t>
      </w:r>
      <w:r>
        <w:rPr>
          <w:color w:val="0D0D0D"/>
          <w:spacing w:val="-2"/>
        </w:rPr>
        <w:t> </w:t>
      </w:r>
      <w:r>
        <w:rPr>
          <w:color w:val="0D0D0D"/>
        </w:rPr>
        <w:t>for</w:t>
      </w:r>
      <w:r>
        <w:rPr>
          <w:color w:val="0D0D0D"/>
          <w:spacing w:val="-2"/>
        </w:rPr>
        <w:t> </w:t>
      </w:r>
      <w:r>
        <w:rPr>
          <w:color w:val="0D0D0D"/>
        </w:rPr>
        <w:t>the</w:t>
      </w:r>
      <w:r>
        <w:rPr>
          <w:color w:val="0D0D0D"/>
          <w:spacing w:val="-1"/>
        </w:rPr>
        <w:t> </w:t>
      </w:r>
      <w:r>
        <w:rPr>
          <w:color w:val="0D0D0D"/>
        </w:rPr>
        <w:t>year</w:t>
      </w:r>
      <w:r>
        <w:rPr>
          <w:color w:val="0D0D0D"/>
          <w:spacing w:val="-1"/>
        </w:rPr>
        <w:t> </w:t>
      </w:r>
      <w:r>
        <w:rPr>
          <w:color w:val="0D0D0D"/>
          <w:spacing w:val="-4"/>
        </w:rPr>
        <w:t>2023</w:t>
      </w:r>
    </w:p>
    <w:p>
      <w:pPr>
        <w:pStyle w:val="BodyText"/>
        <w:spacing w:after="0"/>
        <w:sectPr>
          <w:pgSz w:w="11910" w:h="16840"/>
          <w:pgMar w:top="1360" w:bottom="280" w:left="425" w:right="283"/>
        </w:sectPr>
      </w:pPr>
    </w:p>
    <w:p>
      <w:pPr>
        <w:pStyle w:val="BodyText"/>
        <w:spacing w:before="60"/>
        <w:ind w:left="1015" w:right="1260"/>
      </w:pPr>
      <w:r>
        <w:rPr>
          <w:color w:val="0D0D0D"/>
        </w:rPr>
        <w:t>GARCH</w:t>
      </w:r>
      <w:r>
        <w:rPr>
          <w:color w:val="0D0D0D"/>
          <w:spacing w:val="-4"/>
        </w:rPr>
        <w:t> </w:t>
      </w:r>
      <w:r>
        <w:rPr>
          <w:color w:val="0D0D0D"/>
        </w:rPr>
        <w:t>model</w:t>
      </w:r>
      <w:r>
        <w:rPr>
          <w:color w:val="0D0D0D"/>
          <w:spacing w:val="-3"/>
        </w:rPr>
        <w:t> </w:t>
      </w:r>
      <w:r>
        <w:rPr>
          <w:color w:val="0D0D0D"/>
        </w:rPr>
        <w:t>is</w:t>
      </w:r>
      <w:r>
        <w:rPr>
          <w:color w:val="0D0D0D"/>
          <w:spacing w:val="-3"/>
        </w:rPr>
        <w:t> </w:t>
      </w:r>
      <w:r>
        <w:rPr>
          <w:color w:val="0D0D0D"/>
        </w:rPr>
        <w:t>being</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forecast</w:t>
      </w:r>
      <w:r>
        <w:rPr>
          <w:color w:val="0D0D0D"/>
          <w:spacing w:val="-3"/>
        </w:rPr>
        <w:t> </w:t>
      </w:r>
      <w:r>
        <w:rPr>
          <w:color w:val="0D0D0D"/>
        </w:rPr>
        <w:t>the</w:t>
      </w:r>
      <w:r>
        <w:rPr>
          <w:color w:val="0D0D0D"/>
          <w:spacing w:val="-2"/>
        </w:rPr>
        <w:t> </w:t>
      </w:r>
      <w:r>
        <w:rPr>
          <w:color w:val="0D0D0D"/>
        </w:rPr>
        <w:t>volatility</w:t>
      </w:r>
      <w:r>
        <w:rPr>
          <w:color w:val="0D0D0D"/>
          <w:spacing w:val="-2"/>
        </w:rPr>
        <w:t> </w:t>
      </w:r>
      <w:r>
        <w:rPr>
          <w:color w:val="0D0D0D"/>
        </w:rPr>
        <w:t>of</w:t>
      </w:r>
      <w:r>
        <w:rPr>
          <w:color w:val="0D0D0D"/>
          <w:spacing w:val="-3"/>
        </w:rPr>
        <w:t> </w:t>
      </w:r>
      <w:r>
        <w:rPr>
          <w:color w:val="0D0D0D"/>
        </w:rPr>
        <w:t>the</w:t>
      </w:r>
      <w:r>
        <w:rPr>
          <w:color w:val="0D0D0D"/>
          <w:spacing w:val="-5"/>
        </w:rPr>
        <w:t> </w:t>
      </w:r>
      <w:r>
        <w:rPr>
          <w:color w:val="0D0D0D"/>
        </w:rPr>
        <w:t>new</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volatility</w:t>
      </w:r>
      <w:r>
        <w:rPr>
          <w:color w:val="0D0D0D"/>
          <w:spacing w:val="-3"/>
        </w:rPr>
        <w:t> </w:t>
      </w:r>
      <w:r>
        <w:rPr>
          <w:color w:val="0D0D0D"/>
        </w:rPr>
        <w:t>of Sensex for the year 2023.</w:t>
      </w:r>
    </w:p>
    <w:p>
      <w:pPr>
        <w:pStyle w:val="BodyText"/>
        <w:spacing w:before="23"/>
        <w:rPr>
          <w:sz w:val="20"/>
        </w:rPr>
      </w:pPr>
      <w:r>
        <w:rPr>
          <w:sz w:val="20"/>
        </w:rPr>
        <w:drawing>
          <wp:anchor distT="0" distB="0" distL="0" distR="0" allowOverlap="1" layoutInCell="1" locked="0" behindDoc="1" simplePos="0" relativeHeight="487597056">
            <wp:simplePos x="0" y="0"/>
            <wp:positionH relativeFrom="page">
              <wp:posOffset>914400</wp:posOffset>
            </wp:positionH>
            <wp:positionV relativeFrom="paragraph">
              <wp:posOffset>176305</wp:posOffset>
            </wp:positionV>
            <wp:extent cx="2887296" cy="175564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2887296" cy="1755648"/>
                    </a:xfrm>
                    <a:prstGeom prst="rect">
                      <a:avLst/>
                    </a:prstGeom>
                  </pic:spPr>
                </pic:pic>
              </a:graphicData>
            </a:graphic>
          </wp:anchor>
        </w:drawing>
      </w:r>
      <w:r>
        <w:rPr>
          <w:sz w:val="20"/>
        </w:rPr>
        <w:drawing>
          <wp:anchor distT="0" distB="0" distL="0" distR="0" allowOverlap="1" layoutInCell="1" locked="0" behindDoc="1" simplePos="0" relativeHeight="487597568">
            <wp:simplePos x="0" y="0"/>
            <wp:positionH relativeFrom="page">
              <wp:posOffset>3880894</wp:posOffset>
            </wp:positionH>
            <wp:positionV relativeFrom="paragraph">
              <wp:posOffset>233991</wp:posOffset>
            </wp:positionV>
            <wp:extent cx="2689706" cy="1693735"/>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6" cstate="print"/>
                    <a:stretch>
                      <a:fillRect/>
                    </a:stretch>
                  </pic:blipFill>
                  <pic:spPr>
                    <a:xfrm>
                      <a:off x="0" y="0"/>
                      <a:ext cx="2689706" cy="1693735"/>
                    </a:xfrm>
                    <a:prstGeom prst="rect">
                      <a:avLst/>
                    </a:prstGeom>
                  </pic:spPr>
                </pic:pic>
              </a:graphicData>
            </a:graphic>
          </wp:anchor>
        </w:drawing>
      </w:r>
    </w:p>
    <w:p>
      <w:pPr>
        <w:pStyle w:val="BodyText"/>
        <w:spacing w:before="55"/>
        <w:ind w:left="2395"/>
      </w:pPr>
      <w:r>
        <w:rPr>
          <w:color w:val="0D0D0D"/>
        </w:rPr>
        <w:t>Fig.19</w:t>
      </w:r>
      <w:r>
        <w:rPr>
          <w:color w:val="0D0D0D"/>
          <w:spacing w:val="-1"/>
        </w:rPr>
        <w:t> </w:t>
      </w:r>
      <w:r>
        <w:rPr>
          <w:color w:val="0D0D0D"/>
        </w:rPr>
        <w:t>Forcasted</w:t>
      </w:r>
      <w:r>
        <w:rPr>
          <w:color w:val="0D0D0D"/>
          <w:spacing w:val="-1"/>
        </w:rPr>
        <w:t> </w:t>
      </w:r>
      <w:r>
        <w:rPr>
          <w:color w:val="0D0D0D"/>
        </w:rPr>
        <w:t>volatility</w:t>
      </w:r>
      <w:r>
        <w:rPr>
          <w:color w:val="0D0D0D"/>
          <w:spacing w:val="-1"/>
        </w:rPr>
        <w:t> </w:t>
      </w:r>
      <w:r>
        <w:rPr>
          <w:color w:val="0D0D0D"/>
        </w:rPr>
        <w:t>of</w:t>
      </w:r>
      <w:r>
        <w:rPr>
          <w:color w:val="0D0D0D"/>
          <w:spacing w:val="-1"/>
        </w:rPr>
        <w:t> </w:t>
      </w:r>
      <w:r>
        <w:rPr>
          <w:color w:val="0D0D0D"/>
        </w:rPr>
        <w:t>portfolio</w:t>
      </w:r>
      <w:r>
        <w:rPr>
          <w:color w:val="0D0D0D"/>
          <w:spacing w:val="-1"/>
        </w:rPr>
        <w:t> </w:t>
      </w:r>
      <w:r>
        <w:rPr>
          <w:color w:val="0D0D0D"/>
        </w:rPr>
        <w:t>&amp;</w:t>
      </w:r>
      <w:r>
        <w:rPr>
          <w:color w:val="0D0D0D"/>
          <w:spacing w:val="-1"/>
        </w:rPr>
        <w:t> </w:t>
      </w:r>
      <w:r>
        <w:rPr>
          <w:color w:val="0D0D0D"/>
        </w:rPr>
        <w:t>Sensex</w:t>
      </w:r>
      <w:r>
        <w:rPr>
          <w:color w:val="0D0D0D"/>
          <w:spacing w:val="-1"/>
        </w:rPr>
        <w:t> </w:t>
      </w:r>
      <w:r>
        <w:rPr>
          <w:color w:val="0D0D0D"/>
        </w:rPr>
        <w:t>for</w:t>
      </w:r>
      <w:r>
        <w:rPr>
          <w:color w:val="0D0D0D"/>
          <w:spacing w:val="-2"/>
        </w:rPr>
        <w:t> </w:t>
      </w:r>
      <w:r>
        <w:rPr>
          <w:color w:val="0D0D0D"/>
          <w:spacing w:val="-4"/>
        </w:rPr>
        <w:t>2023</w:t>
      </w:r>
    </w:p>
    <w:p>
      <w:pPr>
        <w:pStyle w:val="BodyText"/>
        <w:rPr>
          <w:sz w:val="20"/>
        </w:rPr>
      </w:pPr>
    </w:p>
    <w:p>
      <w:pPr>
        <w:pStyle w:val="BodyText"/>
        <w:spacing w:before="179"/>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2976"/>
      </w:tblGrid>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0.000056</w:t>
            </w:r>
          </w:p>
        </w:tc>
      </w:tr>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0.000041</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4"/>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0.00001</w:t>
            </w:r>
          </w:p>
        </w:tc>
      </w:tr>
      <w:tr>
        <w:trPr>
          <w:trHeight w:val="278" w:hRule="atLeast"/>
        </w:trPr>
        <w:tc>
          <w:tcPr>
            <w:tcW w:w="5384" w:type="dxa"/>
          </w:tcPr>
          <w:p>
            <w:pPr>
              <w:pStyle w:val="TableParagraph"/>
              <w:spacing w:line="257" w:lineRule="exact" w:before="1"/>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sensex</w:t>
            </w:r>
          </w:p>
        </w:tc>
        <w:tc>
          <w:tcPr>
            <w:tcW w:w="2976" w:type="dxa"/>
          </w:tcPr>
          <w:p>
            <w:pPr>
              <w:pStyle w:val="TableParagraph"/>
              <w:spacing w:line="257" w:lineRule="exact" w:before="1"/>
              <w:rPr>
                <w:sz w:val="24"/>
              </w:rPr>
            </w:pPr>
            <w:r>
              <w:rPr>
                <w:color w:val="0D0D0D"/>
                <w:spacing w:val="-2"/>
                <w:sz w:val="24"/>
              </w:rPr>
              <w:t>0.000006</w:t>
            </w:r>
          </w:p>
        </w:tc>
      </w:tr>
      <w:tr>
        <w:trPr>
          <w:trHeight w:val="275" w:hRule="atLeast"/>
        </w:trPr>
        <w:tc>
          <w:tcPr>
            <w:tcW w:w="5384" w:type="dxa"/>
          </w:tcPr>
          <w:p>
            <w:pPr>
              <w:pStyle w:val="TableParagraph"/>
              <w:spacing w:line="256" w:lineRule="exact"/>
              <w:rPr>
                <w:sz w:val="24"/>
              </w:rPr>
            </w:pPr>
            <w:r>
              <w:rPr>
                <w:color w:val="0D0D0D"/>
                <w:sz w:val="24"/>
              </w:rPr>
              <w:t>Ratio</w:t>
            </w:r>
            <w:r>
              <w:rPr>
                <w:color w:val="0D0D0D"/>
                <w:spacing w:val="-2"/>
                <w:sz w:val="24"/>
              </w:rPr>
              <w:t> </w:t>
            </w:r>
            <w:r>
              <w:rPr>
                <w:color w:val="0D0D0D"/>
                <w:sz w:val="24"/>
              </w:rPr>
              <w:t>of</w:t>
            </w:r>
            <w:r>
              <w:rPr>
                <w:color w:val="0D0D0D"/>
                <w:spacing w:val="-1"/>
                <w:sz w:val="24"/>
              </w:rPr>
              <w:t> </w:t>
            </w:r>
            <w:r>
              <w:rPr>
                <w:color w:val="0D0D0D"/>
                <w:sz w:val="24"/>
              </w:rPr>
              <w:t>portfolio</w:t>
            </w:r>
            <w:r>
              <w:rPr>
                <w:color w:val="0D0D0D"/>
                <w:spacing w:val="-1"/>
                <w:sz w:val="24"/>
              </w:rPr>
              <w:t> </w:t>
            </w:r>
            <w:r>
              <w:rPr>
                <w:color w:val="0D0D0D"/>
                <w:sz w:val="24"/>
              </w:rPr>
              <w:t>volatility</w:t>
            </w:r>
            <w:r>
              <w:rPr>
                <w:color w:val="0D0D0D"/>
                <w:spacing w:val="-2"/>
                <w:sz w:val="24"/>
              </w:rPr>
              <w:t> </w:t>
            </w:r>
            <w:r>
              <w:rPr>
                <w:color w:val="0D0D0D"/>
                <w:sz w:val="24"/>
              </w:rPr>
              <w:t>and</w:t>
            </w:r>
            <w:r>
              <w:rPr>
                <w:color w:val="0D0D0D"/>
                <w:spacing w:val="-1"/>
                <w:sz w:val="24"/>
              </w:rPr>
              <w:t> </w:t>
            </w:r>
            <w:r>
              <w:rPr>
                <w:color w:val="0D0D0D"/>
                <w:sz w:val="24"/>
              </w:rPr>
              <w:t>sensex</w:t>
            </w:r>
            <w:r>
              <w:rPr>
                <w:color w:val="0D0D0D"/>
                <w:spacing w:val="-1"/>
                <w:sz w:val="24"/>
              </w:rPr>
              <w:t> </w:t>
            </w:r>
            <w:r>
              <w:rPr>
                <w:color w:val="0D0D0D"/>
                <w:spacing w:val="-2"/>
                <w:sz w:val="24"/>
              </w:rPr>
              <w:t>volatility</w:t>
            </w:r>
          </w:p>
        </w:tc>
        <w:tc>
          <w:tcPr>
            <w:tcW w:w="2976" w:type="dxa"/>
          </w:tcPr>
          <w:p>
            <w:pPr>
              <w:pStyle w:val="TableParagraph"/>
              <w:spacing w:line="256" w:lineRule="exact"/>
              <w:rPr>
                <w:sz w:val="24"/>
              </w:rPr>
            </w:pPr>
            <w:r>
              <w:rPr>
                <w:color w:val="0D0D0D"/>
                <w:spacing w:val="-2"/>
                <w:sz w:val="24"/>
              </w:rPr>
              <w:t>1.369688</w:t>
            </w:r>
          </w:p>
        </w:tc>
      </w:tr>
    </w:tbl>
    <w:p>
      <w:pPr>
        <w:pStyle w:val="BodyText"/>
        <w:spacing w:before="44"/>
      </w:pPr>
    </w:p>
    <w:p>
      <w:pPr>
        <w:pStyle w:val="BodyText"/>
        <w:ind w:left="2815"/>
      </w:pPr>
      <w:r>
        <w:rPr>
          <w:color w:val="0D0D0D"/>
        </w:rPr>
        <w:t>Table 5.Results</w:t>
      </w:r>
      <w:r>
        <w:rPr>
          <w:color w:val="0D0D0D"/>
          <w:spacing w:val="-1"/>
        </w:rPr>
        <w:t> </w:t>
      </w:r>
      <w:r>
        <w:rPr>
          <w:color w:val="0D0D0D"/>
        </w:rPr>
        <w:t>from</w:t>
      </w:r>
      <w:r>
        <w:rPr>
          <w:color w:val="0D0D0D"/>
          <w:spacing w:val="-1"/>
        </w:rPr>
        <w:t> </w:t>
      </w:r>
      <w:r>
        <w:rPr>
          <w:color w:val="0D0D0D"/>
        </w:rPr>
        <w:t>GARCH</w:t>
      </w:r>
      <w:r>
        <w:rPr>
          <w:color w:val="0D0D0D"/>
          <w:spacing w:val="-1"/>
        </w:rPr>
        <w:t> </w:t>
      </w:r>
      <w:r>
        <w:rPr>
          <w:color w:val="0D0D0D"/>
          <w:spacing w:val="-2"/>
        </w:rPr>
        <w:t>model</w:t>
      </w:r>
    </w:p>
    <w:p>
      <w:pPr>
        <w:pStyle w:val="BodyText"/>
        <w:spacing w:after="0"/>
        <w:sectPr>
          <w:pgSz w:w="11910" w:h="16840"/>
          <w:pgMar w:top="1360" w:bottom="280" w:left="425" w:right="283"/>
        </w:sectPr>
      </w:pPr>
    </w:p>
    <w:p>
      <w:pPr>
        <w:pStyle w:val="Heading2"/>
        <w:spacing w:before="60"/>
      </w:pPr>
      <w:r>
        <w:rPr>
          <w:color w:val="0D0D0D"/>
        </w:rPr>
        <w:t>All</w:t>
      </w:r>
      <w:r>
        <w:rPr>
          <w:color w:val="0D0D0D"/>
          <w:spacing w:val="-1"/>
        </w:rPr>
        <w:t> </w:t>
      </w:r>
      <w:r>
        <w:rPr>
          <w:color w:val="0D0D0D"/>
        </w:rPr>
        <w:t>Nifty 50 </w:t>
      </w:r>
      <w:r>
        <w:rPr>
          <w:color w:val="0D0D0D"/>
          <w:spacing w:val="-2"/>
        </w:rPr>
        <w:t>companies</w:t>
      </w:r>
    </w:p>
    <w:p>
      <w:pPr>
        <w:pStyle w:val="BodyText"/>
        <w:spacing w:before="1"/>
        <w:ind w:left="1015" w:right="1260" w:firstLine="60"/>
      </w:pPr>
      <w:r>
        <w:rPr>
          <w:color w:val="0D0D0D"/>
        </w:rPr>
        <w:t>In</w:t>
      </w:r>
      <w:r>
        <w:rPr>
          <w:color w:val="0D0D0D"/>
          <w:spacing w:val="-3"/>
        </w:rPr>
        <w:t> </w:t>
      </w:r>
      <w:r>
        <w:rPr>
          <w:color w:val="0D0D0D"/>
        </w:rPr>
        <w:t>order</w:t>
      </w:r>
      <w:r>
        <w:rPr>
          <w:color w:val="0D0D0D"/>
          <w:spacing w:val="-3"/>
        </w:rPr>
        <w:t> </w:t>
      </w:r>
      <w:r>
        <w:rPr>
          <w:color w:val="0D0D0D"/>
        </w:rPr>
        <w:t>to</w:t>
      </w:r>
      <w:r>
        <w:rPr>
          <w:color w:val="0D0D0D"/>
          <w:spacing w:val="-3"/>
        </w:rPr>
        <w:t> </w:t>
      </w:r>
      <w:r>
        <w:rPr>
          <w:color w:val="0D0D0D"/>
        </w:rPr>
        <w:t>construct</w:t>
      </w:r>
      <w:r>
        <w:rPr>
          <w:color w:val="0D0D0D"/>
          <w:spacing w:val="-3"/>
        </w:rPr>
        <w:t> </w:t>
      </w:r>
      <w:r>
        <w:rPr>
          <w:color w:val="0D0D0D"/>
        </w:rPr>
        <w:t>a</w:t>
      </w:r>
      <w:r>
        <w:rPr>
          <w:color w:val="0D0D0D"/>
          <w:spacing w:val="-3"/>
        </w:rPr>
        <w:t> </w:t>
      </w:r>
      <w:r>
        <w:rPr>
          <w:color w:val="0D0D0D"/>
        </w:rPr>
        <w:t>portfolio</w:t>
      </w:r>
      <w:r>
        <w:rPr>
          <w:color w:val="0D0D0D"/>
          <w:spacing w:val="-3"/>
        </w:rPr>
        <w:t> </w:t>
      </w:r>
      <w:r>
        <w:rPr>
          <w:color w:val="0D0D0D"/>
        </w:rPr>
        <w:t>of</w:t>
      </w:r>
      <w:r>
        <w:rPr>
          <w:color w:val="0D0D0D"/>
          <w:spacing w:val="-3"/>
        </w:rPr>
        <w:t> </w:t>
      </w:r>
      <w:r>
        <w:rPr>
          <w:color w:val="0D0D0D"/>
        </w:rPr>
        <w:t>the</w:t>
      </w:r>
      <w:r>
        <w:rPr>
          <w:color w:val="0D0D0D"/>
          <w:spacing w:val="-4"/>
        </w:rPr>
        <w:t> </w:t>
      </w:r>
      <w:r>
        <w:rPr>
          <w:color w:val="0D0D0D"/>
        </w:rPr>
        <w:t>Nifty</w:t>
      </w:r>
      <w:r>
        <w:rPr>
          <w:color w:val="0D0D0D"/>
          <w:spacing w:val="-3"/>
        </w:rPr>
        <w:t> </w:t>
      </w:r>
      <w:r>
        <w:rPr>
          <w:color w:val="0D0D0D"/>
        </w:rPr>
        <w:t>50</w:t>
      </w:r>
      <w:r>
        <w:rPr>
          <w:color w:val="0D0D0D"/>
          <w:spacing w:val="-3"/>
        </w:rPr>
        <w:t> </w:t>
      </w:r>
      <w:r>
        <w:rPr>
          <w:color w:val="0D0D0D"/>
        </w:rPr>
        <w:t>companies</w:t>
      </w:r>
      <w:r>
        <w:rPr>
          <w:color w:val="0D0D0D"/>
          <w:spacing w:val="-3"/>
        </w:rPr>
        <w:t> </w:t>
      </w:r>
      <w:r>
        <w:rPr>
          <w:color w:val="0D0D0D"/>
        </w:rPr>
        <w:t>all</w:t>
      </w:r>
      <w:r>
        <w:rPr>
          <w:color w:val="0D0D0D"/>
          <w:spacing w:val="-3"/>
        </w:rPr>
        <w:t> </w:t>
      </w:r>
      <w:r>
        <w:rPr>
          <w:color w:val="0D0D0D"/>
        </w:rPr>
        <w:t>the</w:t>
      </w:r>
      <w:r>
        <w:rPr>
          <w:color w:val="0D0D0D"/>
          <w:spacing w:val="-3"/>
        </w:rPr>
        <w:t> </w:t>
      </w:r>
      <w:r>
        <w:rPr>
          <w:color w:val="0D0D0D"/>
        </w:rPr>
        <w:t>stocks</w:t>
      </w:r>
      <w:r>
        <w:rPr>
          <w:color w:val="0D0D0D"/>
          <w:spacing w:val="-3"/>
        </w:rPr>
        <w:t> </w:t>
      </w:r>
      <w:r>
        <w:rPr>
          <w:color w:val="0D0D0D"/>
        </w:rPr>
        <w:t>are</w:t>
      </w:r>
      <w:r>
        <w:rPr>
          <w:color w:val="0D0D0D"/>
          <w:spacing w:val="-4"/>
        </w:rPr>
        <w:t> </w:t>
      </w:r>
      <w:r>
        <w:rPr>
          <w:color w:val="0D0D0D"/>
        </w:rPr>
        <w:t>being</w:t>
      </w:r>
      <w:r>
        <w:rPr>
          <w:color w:val="0D0D0D"/>
          <w:spacing w:val="-3"/>
        </w:rPr>
        <w:t> </w:t>
      </w:r>
      <w:r>
        <w:rPr>
          <w:color w:val="0D0D0D"/>
        </w:rPr>
        <w:t>selected irrespective of their performances in the market and the mean variance optimization is </w:t>
      </w:r>
      <w:r>
        <w:rPr>
          <w:color w:val="0D0D0D"/>
          <w:spacing w:val="-2"/>
        </w:rPr>
        <w:t>applied.</w:t>
      </w:r>
    </w:p>
    <w:p>
      <w:pPr>
        <w:pStyle w:val="BodyText"/>
        <w:rPr>
          <w:sz w:val="20"/>
        </w:rPr>
      </w:pPr>
    </w:p>
    <w:p>
      <w:pPr>
        <w:pStyle w:val="BodyText"/>
        <w:spacing w:before="163"/>
        <w:rPr>
          <w:sz w:val="20"/>
        </w:rPr>
      </w:pPr>
      <w:r>
        <w:rPr>
          <w:sz w:val="20"/>
        </w:rPr>
        <w:drawing>
          <wp:anchor distT="0" distB="0" distL="0" distR="0" allowOverlap="1" layoutInCell="1" locked="0" behindDoc="1" simplePos="0" relativeHeight="487598080">
            <wp:simplePos x="0" y="0"/>
            <wp:positionH relativeFrom="page">
              <wp:posOffset>1663953</wp:posOffset>
            </wp:positionH>
            <wp:positionV relativeFrom="paragraph">
              <wp:posOffset>264944</wp:posOffset>
            </wp:positionV>
            <wp:extent cx="4127305" cy="328650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8" cstate="print"/>
                    <a:stretch>
                      <a:fillRect/>
                    </a:stretch>
                  </pic:blipFill>
                  <pic:spPr>
                    <a:xfrm>
                      <a:off x="0" y="0"/>
                      <a:ext cx="4127305" cy="3286505"/>
                    </a:xfrm>
                    <a:prstGeom prst="rect">
                      <a:avLst/>
                    </a:prstGeom>
                  </pic:spPr>
                </pic:pic>
              </a:graphicData>
            </a:graphic>
          </wp:anchor>
        </w:drawing>
      </w:r>
    </w:p>
    <w:p>
      <w:pPr>
        <w:pStyle w:val="BodyText"/>
        <w:spacing w:before="53" w:after="43"/>
        <w:ind w:left="2155"/>
      </w:pPr>
      <w:r>
        <w:rPr>
          <w:color w:val="0D0D0D"/>
        </w:rPr>
        <w:t>Fig.20.Returns</w:t>
      </w:r>
      <w:r>
        <w:rPr>
          <w:color w:val="0D0D0D"/>
          <w:spacing w:val="-1"/>
        </w:rPr>
        <w:t> </w:t>
      </w:r>
      <w:r>
        <w:rPr>
          <w:color w:val="0D0D0D"/>
        </w:rPr>
        <w:t>of the</w:t>
      </w:r>
      <w:r>
        <w:rPr>
          <w:color w:val="0D0D0D"/>
          <w:spacing w:val="-2"/>
        </w:rPr>
        <w:t> </w:t>
      </w:r>
      <w:r>
        <w:rPr>
          <w:color w:val="0D0D0D"/>
        </w:rPr>
        <w:t>Nifty 50</w:t>
      </w:r>
      <w:r>
        <w:rPr>
          <w:color w:val="0D0D0D"/>
          <w:spacing w:val="-1"/>
        </w:rPr>
        <w:t> </w:t>
      </w:r>
      <w:r>
        <w:rPr>
          <w:color w:val="0D0D0D"/>
        </w:rPr>
        <w:t>companies (2014-</w:t>
      </w:r>
      <w:r>
        <w:rPr>
          <w:color w:val="0D0D0D"/>
          <w:spacing w:val="-4"/>
        </w:rPr>
        <w:t>2023)</w:t>
      </w:r>
    </w:p>
    <w:p>
      <w:pPr>
        <w:pStyle w:val="BodyText"/>
        <w:ind w:left="1063"/>
        <w:rPr>
          <w:sz w:val="20"/>
        </w:rPr>
      </w:pPr>
      <w:r>
        <w:rPr>
          <w:sz w:val="20"/>
        </w:rPr>
        <w:drawing>
          <wp:inline distT="0" distB="0" distL="0" distR="0">
            <wp:extent cx="4845315" cy="3473577"/>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9" cstate="print"/>
                    <a:stretch>
                      <a:fillRect/>
                    </a:stretch>
                  </pic:blipFill>
                  <pic:spPr>
                    <a:xfrm>
                      <a:off x="0" y="0"/>
                      <a:ext cx="4845315" cy="3473577"/>
                    </a:xfrm>
                    <a:prstGeom prst="rect">
                      <a:avLst/>
                    </a:prstGeom>
                  </pic:spPr>
                </pic:pic>
              </a:graphicData>
            </a:graphic>
          </wp:inline>
        </w:drawing>
      </w:r>
      <w:r>
        <w:rPr>
          <w:sz w:val="20"/>
        </w:rPr>
      </w:r>
    </w:p>
    <w:p>
      <w:pPr>
        <w:pStyle w:val="BodyText"/>
        <w:spacing w:before="47"/>
        <w:ind w:left="2155"/>
      </w:pPr>
      <w:r>
        <w:rPr>
          <w:color w:val="0D0D0D"/>
        </w:rPr>
        <w:t>Fig.21.Historical</w:t>
      </w:r>
      <w:r>
        <w:rPr>
          <w:color w:val="0D0D0D"/>
          <w:spacing w:val="-1"/>
        </w:rPr>
        <w:t> </w:t>
      </w:r>
      <w:r>
        <w:rPr>
          <w:color w:val="0D0D0D"/>
        </w:rPr>
        <w:t>stock</w:t>
      </w:r>
      <w:r>
        <w:rPr>
          <w:color w:val="0D0D0D"/>
          <w:spacing w:val="-1"/>
        </w:rPr>
        <w:t> </w:t>
      </w:r>
      <w:r>
        <w:rPr>
          <w:color w:val="0D0D0D"/>
        </w:rPr>
        <w:t>returns</w:t>
      </w:r>
      <w:r>
        <w:rPr>
          <w:color w:val="0D0D0D"/>
          <w:spacing w:val="-1"/>
        </w:rPr>
        <w:t> </w:t>
      </w:r>
      <w:r>
        <w:rPr>
          <w:color w:val="0D0D0D"/>
        </w:rPr>
        <w:t>of</w:t>
      </w:r>
      <w:r>
        <w:rPr>
          <w:color w:val="0D0D0D"/>
          <w:spacing w:val="-2"/>
        </w:rPr>
        <w:t> </w:t>
      </w:r>
      <w:r>
        <w:rPr>
          <w:color w:val="0D0D0D"/>
        </w:rPr>
        <w:t>the Nifty</w:t>
      </w:r>
      <w:r>
        <w:rPr>
          <w:color w:val="0D0D0D"/>
          <w:spacing w:val="-1"/>
        </w:rPr>
        <w:t> </w:t>
      </w:r>
      <w:r>
        <w:rPr>
          <w:color w:val="0D0D0D"/>
        </w:rPr>
        <w:t>50</w:t>
      </w:r>
      <w:r>
        <w:rPr>
          <w:color w:val="0D0D0D"/>
          <w:spacing w:val="2"/>
        </w:rPr>
        <w:t> </w:t>
      </w:r>
      <w:r>
        <w:rPr>
          <w:color w:val="0D0D0D"/>
          <w:spacing w:val="-2"/>
        </w:rPr>
        <w:t>companies</w:t>
      </w:r>
    </w:p>
    <w:p>
      <w:pPr>
        <w:pStyle w:val="BodyText"/>
        <w:spacing w:after="0"/>
        <w:sectPr>
          <w:pgSz w:w="11910" w:h="16840"/>
          <w:pgMar w:top="1360" w:bottom="280" w:left="425" w:right="283"/>
        </w:sectPr>
      </w:pPr>
    </w:p>
    <w:p>
      <w:pPr>
        <w:pStyle w:val="BodyText"/>
        <w:spacing w:before="60"/>
        <w:ind w:left="1015" w:right="1260"/>
      </w:pPr>
      <w:r>
        <w:rPr>
          <w:color w:val="0D0D0D"/>
        </w:rPr>
        <w:t>On</w:t>
      </w:r>
      <w:r>
        <w:rPr>
          <w:color w:val="0D0D0D"/>
          <w:spacing w:val="-3"/>
        </w:rPr>
        <w:t> </w:t>
      </w:r>
      <w:r>
        <w:rPr>
          <w:color w:val="0D0D0D"/>
        </w:rPr>
        <w:t>optimizing</w:t>
      </w:r>
      <w:r>
        <w:rPr>
          <w:color w:val="0D0D0D"/>
          <w:spacing w:val="-3"/>
        </w:rPr>
        <w:t> </w:t>
      </w:r>
      <w:r>
        <w:rPr>
          <w:color w:val="0D0D0D"/>
        </w:rPr>
        <w:t>using</w:t>
      </w:r>
      <w:r>
        <w:rPr>
          <w:color w:val="0D0D0D"/>
          <w:spacing w:val="-3"/>
        </w:rPr>
        <w:t> </w:t>
      </w:r>
      <w:r>
        <w:rPr>
          <w:color w:val="0D0D0D"/>
        </w:rPr>
        <w:t>the</w:t>
      </w:r>
      <w:r>
        <w:rPr>
          <w:color w:val="0D0D0D"/>
          <w:spacing w:val="-6"/>
        </w:rPr>
        <w:t> </w:t>
      </w:r>
      <w:r>
        <w:rPr>
          <w:color w:val="0D0D0D"/>
        </w:rPr>
        <w:t>mean</w:t>
      </w:r>
      <w:r>
        <w:rPr>
          <w:color w:val="0D0D0D"/>
          <w:spacing w:val="-3"/>
        </w:rPr>
        <w:t> </w:t>
      </w:r>
      <w:r>
        <w:rPr>
          <w:color w:val="0D0D0D"/>
        </w:rPr>
        <w:t>variance</w:t>
      </w:r>
      <w:r>
        <w:rPr>
          <w:color w:val="0D0D0D"/>
          <w:spacing w:val="-4"/>
        </w:rPr>
        <w:t> </w:t>
      </w:r>
      <w:r>
        <w:rPr>
          <w:color w:val="0D0D0D"/>
        </w:rPr>
        <w:t>optimization</w:t>
      </w:r>
      <w:r>
        <w:rPr>
          <w:color w:val="0D0D0D"/>
          <w:spacing w:val="-3"/>
        </w:rPr>
        <w:t> </w:t>
      </w:r>
      <w:r>
        <w:rPr>
          <w:color w:val="0D0D0D"/>
        </w:rPr>
        <w:t>method</w:t>
      </w:r>
      <w:r>
        <w:rPr>
          <w:color w:val="0D0D0D"/>
          <w:spacing w:val="-3"/>
        </w:rPr>
        <w:t> </w:t>
      </w:r>
      <w:r>
        <w:rPr>
          <w:color w:val="0D0D0D"/>
        </w:rPr>
        <w:t>the</w:t>
      </w:r>
      <w:r>
        <w:rPr>
          <w:color w:val="0D0D0D"/>
          <w:spacing w:val="-3"/>
        </w:rPr>
        <w:t> </w:t>
      </w:r>
      <w:r>
        <w:rPr>
          <w:color w:val="0D0D0D"/>
        </w:rPr>
        <w:t>cumulative</w:t>
      </w:r>
      <w:r>
        <w:rPr>
          <w:color w:val="0D0D0D"/>
          <w:spacing w:val="-4"/>
        </w:rPr>
        <w:t> </w:t>
      </w:r>
      <w:r>
        <w:rPr>
          <w:color w:val="0D0D0D"/>
        </w:rPr>
        <w:t>returns</w:t>
      </w:r>
      <w:r>
        <w:rPr>
          <w:color w:val="0D0D0D"/>
          <w:spacing w:val="-3"/>
        </w:rPr>
        <w:t> </w:t>
      </w:r>
      <w:r>
        <w:rPr>
          <w:color w:val="0D0D0D"/>
        </w:rPr>
        <w:t>of</w:t>
      </w:r>
      <w:r>
        <w:rPr>
          <w:color w:val="0D0D0D"/>
          <w:spacing w:val="-4"/>
        </w:rPr>
        <w:t> </w:t>
      </w:r>
      <w:r>
        <w:rPr>
          <w:color w:val="0D0D0D"/>
        </w:rPr>
        <w:t>the portfolio was found to be 30.22% for the year 2023.</w:t>
      </w:r>
    </w:p>
    <w:p>
      <w:pPr>
        <w:pStyle w:val="BodyText"/>
        <w:spacing w:before="1"/>
        <w:rPr>
          <w:sz w:val="5"/>
        </w:rPr>
      </w:pPr>
      <w:r>
        <w:rPr>
          <w:sz w:val="5"/>
        </w:rPr>
        <w:drawing>
          <wp:anchor distT="0" distB="0" distL="0" distR="0" allowOverlap="1" layoutInCell="1" locked="0" behindDoc="1" simplePos="0" relativeHeight="487598592">
            <wp:simplePos x="0" y="0"/>
            <wp:positionH relativeFrom="page">
              <wp:posOffset>1388567</wp:posOffset>
            </wp:positionH>
            <wp:positionV relativeFrom="paragraph">
              <wp:posOffset>52667</wp:posOffset>
            </wp:positionV>
            <wp:extent cx="4402913" cy="255117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0" cstate="print"/>
                    <a:stretch>
                      <a:fillRect/>
                    </a:stretch>
                  </pic:blipFill>
                  <pic:spPr>
                    <a:xfrm>
                      <a:off x="0" y="0"/>
                      <a:ext cx="4402913" cy="2551176"/>
                    </a:xfrm>
                    <a:prstGeom prst="rect">
                      <a:avLst/>
                    </a:prstGeom>
                  </pic:spPr>
                </pic:pic>
              </a:graphicData>
            </a:graphic>
          </wp:anchor>
        </w:drawing>
      </w:r>
    </w:p>
    <w:p>
      <w:pPr>
        <w:pStyle w:val="BodyText"/>
        <w:spacing w:before="120"/>
        <w:ind w:left="3536"/>
      </w:pPr>
      <w:r>
        <w:rPr>
          <w:color w:val="0D0D0D"/>
        </w:rPr>
        <w:t>Fig.22.Portfolio</w:t>
      </w:r>
      <w:r>
        <w:rPr>
          <w:color w:val="0D0D0D"/>
          <w:spacing w:val="-2"/>
        </w:rPr>
        <w:t> </w:t>
      </w:r>
      <w:r>
        <w:rPr>
          <w:color w:val="0D0D0D"/>
        </w:rPr>
        <w:t>returns for</w:t>
      </w:r>
      <w:r>
        <w:rPr>
          <w:color w:val="0D0D0D"/>
          <w:spacing w:val="-3"/>
        </w:rPr>
        <w:t> </w:t>
      </w:r>
      <w:r>
        <w:rPr>
          <w:color w:val="0D0D0D"/>
          <w:spacing w:val="-4"/>
        </w:rPr>
        <w:t>2023</w:t>
      </w:r>
    </w:p>
    <w:p>
      <w:pPr>
        <w:pStyle w:val="BodyText"/>
        <w:spacing w:before="147"/>
        <w:rPr>
          <w:sz w:val="20"/>
        </w:rPr>
      </w:pPr>
      <w:r>
        <w:rPr>
          <w:sz w:val="20"/>
        </w:rPr>
        <w:drawing>
          <wp:anchor distT="0" distB="0" distL="0" distR="0" allowOverlap="1" layoutInCell="1" locked="0" behindDoc="1" simplePos="0" relativeHeight="487599104">
            <wp:simplePos x="0" y="0"/>
            <wp:positionH relativeFrom="page">
              <wp:posOffset>1430331</wp:posOffset>
            </wp:positionH>
            <wp:positionV relativeFrom="paragraph">
              <wp:posOffset>254878</wp:posOffset>
            </wp:positionV>
            <wp:extent cx="4352728" cy="349243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1" cstate="print"/>
                    <a:stretch>
                      <a:fillRect/>
                    </a:stretch>
                  </pic:blipFill>
                  <pic:spPr>
                    <a:xfrm>
                      <a:off x="0" y="0"/>
                      <a:ext cx="4352728" cy="3492436"/>
                    </a:xfrm>
                    <a:prstGeom prst="rect">
                      <a:avLst/>
                    </a:prstGeom>
                  </pic:spPr>
                </pic:pic>
              </a:graphicData>
            </a:graphic>
          </wp:anchor>
        </w:drawing>
      </w:r>
    </w:p>
    <w:p>
      <w:pPr>
        <w:pStyle w:val="BodyText"/>
        <w:spacing w:before="85"/>
        <w:ind w:left="2275"/>
      </w:pPr>
      <w:r>
        <w:rPr>
          <w:color w:val="0D0D0D"/>
        </w:rPr>
        <w:t>Fig.23.Efficient</w:t>
      </w:r>
      <w:r>
        <w:rPr>
          <w:color w:val="0D0D0D"/>
          <w:spacing w:val="-4"/>
        </w:rPr>
        <w:t> </w:t>
      </w:r>
      <w:r>
        <w:rPr>
          <w:color w:val="0D0D0D"/>
        </w:rPr>
        <w:t>frontier</w:t>
      </w:r>
      <w:r>
        <w:rPr>
          <w:color w:val="0D0D0D"/>
          <w:spacing w:val="-1"/>
        </w:rPr>
        <w:t> </w:t>
      </w:r>
      <w:r>
        <w:rPr>
          <w:color w:val="0D0D0D"/>
        </w:rPr>
        <w:t>of</w:t>
      </w:r>
      <w:r>
        <w:rPr>
          <w:color w:val="0D0D0D"/>
          <w:spacing w:val="-4"/>
        </w:rPr>
        <w:t> </w:t>
      </w:r>
      <w:r>
        <w:rPr>
          <w:color w:val="0D0D0D"/>
        </w:rPr>
        <w:t>mean</w:t>
      </w:r>
      <w:r>
        <w:rPr>
          <w:color w:val="0D0D0D"/>
          <w:spacing w:val="-1"/>
        </w:rPr>
        <w:t> </w:t>
      </w:r>
      <w:r>
        <w:rPr>
          <w:color w:val="0D0D0D"/>
        </w:rPr>
        <w:t>variance</w:t>
      </w:r>
      <w:r>
        <w:rPr>
          <w:color w:val="0D0D0D"/>
          <w:spacing w:val="-2"/>
        </w:rPr>
        <w:t> optimization</w:t>
      </w:r>
    </w:p>
    <w:p>
      <w:pPr>
        <w:pStyle w:val="BodyText"/>
      </w:pPr>
    </w:p>
    <w:p>
      <w:pPr>
        <w:pStyle w:val="BodyText"/>
        <w:spacing w:before="87"/>
      </w:pPr>
    </w:p>
    <w:p>
      <w:pPr>
        <w:pStyle w:val="BodyText"/>
        <w:ind w:left="1015" w:right="1260"/>
      </w:pPr>
      <w:r>
        <w:rPr>
          <w:color w:val="0D0D0D"/>
        </w:rPr>
        <w:t>It</w:t>
      </w:r>
      <w:r>
        <w:rPr>
          <w:color w:val="0D0D0D"/>
          <w:spacing w:val="-3"/>
        </w:rPr>
        <w:t> </w:t>
      </w:r>
      <w:r>
        <w:rPr>
          <w:color w:val="0D0D0D"/>
        </w:rPr>
        <w:t>was</w:t>
      </w:r>
      <w:r>
        <w:rPr>
          <w:color w:val="0D0D0D"/>
          <w:spacing w:val="-3"/>
        </w:rPr>
        <w:t> </w:t>
      </w:r>
      <w:r>
        <w:rPr>
          <w:color w:val="0D0D0D"/>
        </w:rPr>
        <w:t>also</w:t>
      </w:r>
      <w:r>
        <w:rPr>
          <w:color w:val="0D0D0D"/>
          <w:spacing w:val="-3"/>
        </w:rPr>
        <w:t> </w:t>
      </w:r>
      <w:r>
        <w:rPr>
          <w:color w:val="0D0D0D"/>
        </w:rPr>
        <w:t>noted</w:t>
      </w:r>
      <w:r>
        <w:rPr>
          <w:color w:val="0D0D0D"/>
          <w:spacing w:val="-3"/>
        </w:rPr>
        <w:t> </w:t>
      </w:r>
      <w:r>
        <w:rPr>
          <w:color w:val="0D0D0D"/>
        </w:rPr>
        <w:t>that</w:t>
      </w:r>
      <w:r>
        <w:rPr>
          <w:color w:val="0D0D0D"/>
          <w:spacing w:val="-3"/>
        </w:rPr>
        <w:t> </w:t>
      </w:r>
      <w:r>
        <w:rPr>
          <w:color w:val="0D0D0D"/>
        </w:rPr>
        <w:t>the</w:t>
      </w:r>
      <w:r>
        <w:rPr>
          <w:color w:val="0D0D0D"/>
          <w:spacing w:val="-2"/>
        </w:rPr>
        <w:t> </w:t>
      </w:r>
      <w:r>
        <w:rPr>
          <w:color w:val="0D0D0D"/>
        </w:rPr>
        <w:t>mean</w:t>
      </w:r>
      <w:r>
        <w:rPr>
          <w:color w:val="0D0D0D"/>
          <w:spacing w:val="-3"/>
        </w:rPr>
        <w:t> </w:t>
      </w:r>
      <w:r>
        <w:rPr>
          <w:color w:val="0D0D0D"/>
        </w:rPr>
        <w:t>variance</w:t>
      </w:r>
      <w:r>
        <w:rPr>
          <w:color w:val="0D0D0D"/>
          <w:spacing w:val="-4"/>
        </w:rPr>
        <w:t> </w:t>
      </w:r>
      <w:r>
        <w:rPr>
          <w:color w:val="0D0D0D"/>
        </w:rPr>
        <w:t>optimization</w:t>
      </w:r>
      <w:r>
        <w:rPr>
          <w:color w:val="0D0D0D"/>
          <w:spacing w:val="-3"/>
        </w:rPr>
        <w:t> </w:t>
      </w:r>
      <w:r>
        <w:rPr>
          <w:color w:val="0D0D0D"/>
        </w:rPr>
        <w:t>method</w:t>
      </w:r>
      <w:r>
        <w:rPr>
          <w:color w:val="0D0D0D"/>
          <w:spacing w:val="-3"/>
        </w:rPr>
        <w:t> </w:t>
      </w:r>
      <w:r>
        <w:rPr>
          <w:color w:val="0D0D0D"/>
        </w:rPr>
        <w:t>did</w:t>
      </w:r>
      <w:r>
        <w:rPr>
          <w:color w:val="0D0D0D"/>
          <w:spacing w:val="-3"/>
        </w:rPr>
        <w:t> </w:t>
      </w:r>
      <w:r>
        <w:rPr>
          <w:color w:val="0D0D0D"/>
        </w:rPr>
        <w:t>not</w:t>
      </w:r>
      <w:r>
        <w:rPr>
          <w:color w:val="0D0D0D"/>
          <w:spacing w:val="-3"/>
        </w:rPr>
        <w:t> </w:t>
      </w:r>
      <w:r>
        <w:rPr>
          <w:color w:val="0D0D0D"/>
        </w:rPr>
        <w:t>significantly diversify the portfolio across all the stocks in the universe .</w:t>
      </w:r>
    </w:p>
    <w:p>
      <w:pPr>
        <w:pStyle w:val="BodyText"/>
        <w:spacing w:after="0"/>
        <w:sectPr>
          <w:pgSz w:w="11910" w:h="16840"/>
          <w:pgMar w:top="1360" w:bottom="280" w:left="425" w:right="283"/>
        </w:sectPr>
      </w:pPr>
    </w:p>
    <w:p>
      <w:pPr>
        <w:pStyle w:val="BodyText"/>
        <w:spacing w:before="2"/>
        <w:rPr>
          <w:sz w:val="12"/>
        </w:rPr>
      </w:pPr>
    </w:p>
    <w:tbl>
      <w:tblPr>
        <w:tblW w:w="0" w:type="auto"/>
        <w:jc w:val="left"/>
        <w:tblInd w:w="3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7"/>
        <w:gridCol w:w="1416"/>
      </w:tblGrid>
      <w:tr>
        <w:trPr>
          <w:trHeight w:val="275" w:hRule="atLeast"/>
        </w:trPr>
        <w:tc>
          <w:tcPr>
            <w:tcW w:w="2547" w:type="dxa"/>
          </w:tcPr>
          <w:p>
            <w:pPr>
              <w:pStyle w:val="TableParagraph"/>
              <w:spacing w:line="256" w:lineRule="exact"/>
              <w:rPr>
                <w:sz w:val="24"/>
              </w:rPr>
            </w:pPr>
            <w:r>
              <w:rPr>
                <w:color w:val="0D0D0D"/>
                <w:spacing w:val="-2"/>
                <w:sz w:val="24"/>
              </w:rPr>
              <w:t>STOCKS</w:t>
            </w:r>
          </w:p>
        </w:tc>
        <w:tc>
          <w:tcPr>
            <w:tcW w:w="1416" w:type="dxa"/>
          </w:tcPr>
          <w:p>
            <w:pPr>
              <w:pStyle w:val="TableParagraph"/>
              <w:spacing w:line="256" w:lineRule="exact"/>
              <w:rPr>
                <w:sz w:val="24"/>
              </w:rPr>
            </w:pPr>
            <w:r>
              <w:rPr>
                <w:color w:val="0D0D0D"/>
                <w:spacing w:val="-2"/>
                <w:sz w:val="24"/>
              </w:rPr>
              <w:t>WEIGHTS</w:t>
            </w:r>
          </w:p>
        </w:tc>
      </w:tr>
      <w:tr>
        <w:trPr>
          <w:trHeight w:val="275" w:hRule="atLeast"/>
        </w:trPr>
        <w:tc>
          <w:tcPr>
            <w:tcW w:w="2547" w:type="dxa"/>
          </w:tcPr>
          <w:p>
            <w:pPr>
              <w:pStyle w:val="TableParagraph"/>
              <w:spacing w:line="256" w:lineRule="exact"/>
              <w:rPr>
                <w:sz w:val="24"/>
              </w:rPr>
            </w:pPr>
            <w:r>
              <w:rPr>
                <w:color w:val="0D0D0D"/>
                <w:spacing w:val="-2"/>
                <w:sz w:val="24"/>
              </w:rPr>
              <w:t>BHARTIARTL.NS</w:t>
            </w:r>
          </w:p>
        </w:tc>
        <w:tc>
          <w:tcPr>
            <w:tcW w:w="1416" w:type="dxa"/>
          </w:tcPr>
          <w:p>
            <w:pPr>
              <w:pStyle w:val="TableParagraph"/>
              <w:spacing w:line="256" w:lineRule="exact"/>
              <w:rPr>
                <w:sz w:val="24"/>
              </w:rPr>
            </w:pPr>
            <w:r>
              <w:rPr>
                <w:color w:val="0D0D0D"/>
                <w:spacing w:val="-2"/>
                <w:sz w:val="24"/>
              </w:rPr>
              <w:t>0.01751</w:t>
            </w:r>
          </w:p>
        </w:tc>
      </w:tr>
      <w:tr>
        <w:trPr>
          <w:trHeight w:val="275" w:hRule="atLeast"/>
        </w:trPr>
        <w:tc>
          <w:tcPr>
            <w:tcW w:w="2547" w:type="dxa"/>
          </w:tcPr>
          <w:p>
            <w:pPr>
              <w:pStyle w:val="TableParagraph"/>
              <w:spacing w:line="256" w:lineRule="exact"/>
              <w:rPr>
                <w:sz w:val="24"/>
              </w:rPr>
            </w:pPr>
            <w:r>
              <w:rPr>
                <w:color w:val="0D0D0D"/>
                <w:spacing w:val="-2"/>
                <w:sz w:val="24"/>
              </w:rPr>
              <w:t>DIVISLAB.NS</w:t>
            </w:r>
          </w:p>
        </w:tc>
        <w:tc>
          <w:tcPr>
            <w:tcW w:w="1416" w:type="dxa"/>
          </w:tcPr>
          <w:p>
            <w:pPr>
              <w:pStyle w:val="TableParagraph"/>
              <w:spacing w:line="256" w:lineRule="exact"/>
              <w:rPr>
                <w:sz w:val="24"/>
              </w:rPr>
            </w:pPr>
            <w:r>
              <w:rPr>
                <w:color w:val="0D0D0D"/>
                <w:spacing w:val="-2"/>
                <w:sz w:val="24"/>
              </w:rPr>
              <w:t>0.1456</w:t>
            </w:r>
          </w:p>
        </w:tc>
      </w:tr>
      <w:tr>
        <w:trPr>
          <w:trHeight w:val="278" w:hRule="atLeast"/>
        </w:trPr>
        <w:tc>
          <w:tcPr>
            <w:tcW w:w="2547" w:type="dxa"/>
          </w:tcPr>
          <w:p>
            <w:pPr>
              <w:pStyle w:val="TableParagraph"/>
              <w:spacing w:line="257" w:lineRule="exact" w:before="1"/>
              <w:rPr>
                <w:sz w:val="24"/>
              </w:rPr>
            </w:pPr>
            <w:r>
              <w:rPr>
                <w:color w:val="0D0D0D"/>
                <w:spacing w:val="-2"/>
                <w:sz w:val="24"/>
              </w:rPr>
              <w:t>HCLTECH.NS</w:t>
            </w:r>
          </w:p>
        </w:tc>
        <w:tc>
          <w:tcPr>
            <w:tcW w:w="1416" w:type="dxa"/>
          </w:tcPr>
          <w:p>
            <w:pPr>
              <w:pStyle w:val="TableParagraph"/>
              <w:spacing w:line="257" w:lineRule="exact" w:before="1"/>
              <w:rPr>
                <w:sz w:val="24"/>
              </w:rPr>
            </w:pPr>
            <w:r>
              <w:rPr>
                <w:color w:val="0D0D0D"/>
                <w:spacing w:val="-2"/>
                <w:sz w:val="24"/>
              </w:rPr>
              <w:t>0.02367</w:t>
            </w:r>
          </w:p>
        </w:tc>
      </w:tr>
      <w:tr>
        <w:trPr>
          <w:trHeight w:val="275" w:hRule="atLeast"/>
        </w:trPr>
        <w:tc>
          <w:tcPr>
            <w:tcW w:w="2547" w:type="dxa"/>
          </w:tcPr>
          <w:p>
            <w:pPr>
              <w:pStyle w:val="TableParagraph"/>
              <w:spacing w:line="256" w:lineRule="exact"/>
              <w:rPr>
                <w:sz w:val="24"/>
              </w:rPr>
            </w:pPr>
            <w:r>
              <w:rPr>
                <w:color w:val="0D0D0D"/>
                <w:spacing w:val="-2"/>
                <w:sz w:val="24"/>
              </w:rPr>
              <w:t>INFY.NS</w:t>
            </w:r>
          </w:p>
        </w:tc>
        <w:tc>
          <w:tcPr>
            <w:tcW w:w="1416" w:type="dxa"/>
          </w:tcPr>
          <w:p>
            <w:pPr>
              <w:pStyle w:val="TableParagraph"/>
              <w:spacing w:line="256" w:lineRule="exact"/>
              <w:rPr>
                <w:sz w:val="24"/>
              </w:rPr>
            </w:pPr>
            <w:r>
              <w:rPr>
                <w:color w:val="0D0D0D"/>
                <w:spacing w:val="-2"/>
                <w:sz w:val="24"/>
              </w:rPr>
              <w:t>0.09284</w:t>
            </w:r>
          </w:p>
        </w:tc>
      </w:tr>
      <w:tr>
        <w:trPr>
          <w:trHeight w:val="275" w:hRule="atLeast"/>
        </w:trPr>
        <w:tc>
          <w:tcPr>
            <w:tcW w:w="2547" w:type="dxa"/>
          </w:tcPr>
          <w:p>
            <w:pPr>
              <w:pStyle w:val="TableParagraph"/>
              <w:spacing w:line="256" w:lineRule="exact"/>
              <w:rPr>
                <w:sz w:val="24"/>
              </w:rPr>
            </w:pPr>
            <w:r>
              <w:rPr>
                <w:color w:val="0D0D0D"/>
                <w:spacing w:val="-2"/>
                <w:sz w:val="24"/>
              </w:rPr>
              <w:t>NESTLEIND.NS</w:t>
            </w:r>
          </w:p>
        </w:tc>
        <w:tc>
          <w:tcPr>
            <w:tcW w:w="1416" w:type="dxa"/>
          </w:tcPr>
          <w:p>
            <w:pPr>
              <w:pStyle w:val="TableParagraph"/>
              <w:spacing w:line="256" w:lineRule="exact"/>
              <w:rPr>
                <w:sz w:val="24"/>
              </w:rPr>
            </w:pPr>
            <w:r>
              <w:rPr>
                <w:color w:val="0D0D0D"/>
                <w:spacing w:val="-2"/>
                <w:sz w:val="24"/>
              </w:rPr>
              <w:t>0.30518</w:t>
            </w:r>
          </w:p>
        </w:tc>
      </w:tr>
      <w:tr>
        <w:trPr>
          <w:trHeight w:val="275" w:hRule="atLeast"/>
        </w:trPr>
        <w:tc>
          <w:tcPr>
            <w:tcW w:w="2547" w:type="dxa"/>
          </w:tcPr>
          <w:p>
            <w:pPr>
              <w:pStyle w:val="TableParagraph"/>
              <w:spacing w:line="256" w:lineRule="exact"/>
              <w:rPr>
                <w:sz w:val="24"/>
              </w:rPr>
            </w:pPr>
            <w:r>
              <w:rPr>
                <w:color w:val="0D0D0D"/>
                <w:spacing w:val="-2"/>
                <w:sz w:val="24"/>
              </w:rPr>
              <w:t>NTPC.NS</w:t>
            </w:r>
          </w:p>
        </w:tc>
        <w:tc>
          <w:tcPr>
            <w:tcW w:w="1416" w:type="dxa"/>
          </w:tcPr>
          <w:p>
            <w:pPr>
              <w:pStyle w:val="TableParagraph"/>
              <w:spacing w:line="256" w:lineRule="exact"/>
              <w:rPr>
                <w:sz w:val="24"/>
              </w:rPr>
            </w:pPr>
            <w:r>
              <w:rPr>
                <w:color w:val="0D0D0D"/>
                <w:spacing w:val="-2"/>
                <w:sz w:val="24"/>
              </w:rPr>
              <w:t>0.02308</w:t>
            </w:r>
          </w:p>
        </w:tc>
      </w:tr>
      <w:tr>
        <w:trPr>
          <w:trHeight w:val="275" w:hRule="atLeast"/>
        </w:trPr>
        <w:tc>
          <w:tcPr>
            <w:tcW w:w="2547" w:type="dxa"/>
          </w:tcPr>
          <w:p>
            <w:pPr>
              <w:pStyle w:val="TableParagraph"/>
              <w:spacing w:line="256" w:lineRule="exact"/>
              <w:rPr>
                <w:sz w:val="24"/>
              </w:rPr>
            </w:pPr>
            <w:r>
              <w:rPr>
                <w:color w:val="0D0D0D"/>
                <w:spacing w:val="-2"/>
                <w:sz w:val="24"/>
              </w:rPr>
              <w:t>POWERGRID.NS</w:t>
            </w:r>
          </w:p>
        </w:tc>
        <w:tc>
          <w:tcPr>
            <w:tcW w:w="1416" w:type="dxa"/>
          </w:tcPr>
          <w:p>
            <w:pPr>
              <w:pStyle w:val="TableParagraph"/>
              <w:spacing w:line="256" w:lineRule="exact"/>
              <w:rPr>
                <w:sz w:val="24"/>
              </w:rPr>
            </w:pPr>
            <w:r>
              <w:rPr>
                <w:color w:val="0D0D0D"/>
                <w:spacing w:val="-2"/>
                <w:sz w:val="24"/>
              </w:rPr>
              <w:t>0.089</w:t>
            </w:r>
          </w:p>
        </w:tc>
      </w:tr>
      <w:tr>
        <w:trPr>
          <w:trHeight w:val="275" w:hRule="atLeast"/>
        </w:trPr>
        <w:tc>
          <w:tcPr>
            <w:tcW w:w="2547" w:type="dxa"/>
          </w:tcPr>
          <w:p>
            <w:pPr>
              <w:pStyle w:val="TableParagraph"/>
              <w:spacing w:line="256" w:lineRule="exact"/>
              <w:rPr>
                <w:sz w:val="24"/>
              </w:rPr>
            </w:pPr>
            <w:r>
              <w:rPr>
                <w:color w:val="0D0D0D"/>
                <w:spacing w:val="-2"/>
                <w:sz w:val="24"/>
              </w:rPr>
              <w:t>RELIANCE.NS</w:t>
            </w:r>
          </w:p>
        </w:tc>
        <w:tc>
          <w:tcPr>
            <w:tcW w:w="1416" w:type="dxa"/>
          </w:tcPr>
          <w:p>
            <w:pPr>
              <w:pStyle w:val="TableParagraph"/>
              <w:spacing w:line="256" w:lineRule="exact"/>
              <w:rPr>
                <w:sz w:val="24"/>
              </w:rPr>
            </w:pPr>
            <w:r>
              <w:rPr>
                <w:color w:val="0D0D0D"/>
                <w:spacing w:val="-2"/>
                <w:sz w:val="24"/>
              </w:rPr>
              <w:t>0.01045</w:t>
            </w:r>
          </w:p>
        </w:tc>
      </w:tr>
      <w:tr>
        <w:trPr>
          <w:trHeight w:val="277" w:hRule="atLeast"/>
        </w:trPr>
        <w:tc>
          <w:tcPr>
            <w:tcW w:w="2547" w:type="dxa"/>
          </w:tcPr>
          <w:p>
            <w:pPr>
              <w:pStyle w:val="TableParagraph"/>
              <w:spacing w:line="257" w:lineRule="exact" w:before="1"/>
              <w:rPr>
                <w:sz w:val="24"/>
              </w:rPr>
            </w:pPr>
            <w:r>
              <w:rPr>
                <w:color w:val="0D0D0D"/>
                <w:spacing w:val="-2"/>
                <w:sz w:val="24"/>
              </w:rPr>
              <w:t>TCS.NS</w:t>
            </w:r>
          </w:p>
        </w:tc>
        <w:tc>
          <w:tcPr>
            <w:tcW w:w="1416" w:type="dxa"/>
          </w:tcPr>
          <w:p>
            <w:pPr>
              <w:pStyle w:val="TableParagraph"/>
              <w:spacing w:line="257" w:lineRule="exact" w:before="1"/>
              <w:rPr>
                <w:sz w:val="24"/>
              </w:rPr>
            </w:pPr>
            <w:r>
              <w:rPr>
                <w:color w:val="0D0D0D"/>
                <w:spacing w:val="-2"/>
                <w:sz w:val="24"/>
              </w:rPr>
              <w:t>0.09785</w:t>
            </w:r>
          </w:p>
        </w:tc>
      </w:tr>
      <w:tr>
        <w:trPr>
          <w:trHeight w:val="275" w:hRule="atLeast"/>
        </w:trPr>
        <w:tc>
          <w:tcPr>
            <w:tcW w:w="2547" w:type="dxa"/>
          </w:tcPr>
          <w:p>
            <w:pPr>
              <w:pStyle w:val="TableParagraph"/>
              <w:spacing w:line="256" w:lineRule="exact"/>
              <w:rPr>
                <w:sz w:val="24"/>
              </w:rPr>
            </w:pPr>
            <w:r>
              <w:rPr>
                <w:color w:val="0D0D0D"/>
                <w:spacing w:val="-2"/>
                <w:sz w:val="24"/>
              </w:rPr>
              <w:t>TITAN.NS</w:t>
            </w:r>
          </w:p>
        </w:tc>
        <w:tc>
          <w:tcPr>
            <w:tcW w:w="1416" w:type="dxa"/>
          </w:tcPr>
          <w:p>
            <w:pPr>
              <w:pStyle w:val="TableParagraph"/>
              <w:spacing w:line="256" w:lineRule="exact"/>
              <w:rPr>
                <w:sz w:val="24"/>
              </w:rPr>
            </w:pPr>
            <w:r>
              <w:rPr>
                <w:color w:val="0D0D0D"/>
                <w:spacing w:val="-2"/>
                <w:sz w:val="24"/>
              </w:rPr>
              <w:t>0.19482</w:t>
            </w:r>
          </w:p>
        </w:tc>
      </w:tr>
    </w:tbl>
    <w:p>
      <w:pPr>
        <w:pStyle w:val="BodyText"/>
        <w:spacing w:before="6"/>
      </w:pPr>
    </w:p>
    <w:p>
      <w:pPr>
        <w:pStyle w:val="BodyText"/>
        <w:ind w:left="3055"/>
      </w:pPr>
      <w:r>
        <w:rPr>
          <w:color w:val="0D0D0D"/>
        </w:rPr>
        <w:t>Table</w:t>
      </w:r>
      <w:r>
        <w:rPr>
          <w:color w:val="0D0D0D"/>
          <w:spacing w:val="-1"/>
        </w:rPr>
        <w:t> </w:t>
      </w:r>
      <w:r>
        <w:rPr>
          <w:color w:val="0D0D0D"/>
        </w:rPr>
        <w:t>6 Weights of the</w:t>
      </w:r>
      <w:r>
        <w:rPr>
          <w:color w:val="0D0D0D"/>
          <w:spacing w:val="-1"/>
        </w:rPr>
        <w:t> </w:t>
      </w:r>
      <w:r>
        <w:rPr>
          <w:color w:val="0D0D0D"/>
        </w:rPr>
        <w:t>stocks in the</w:t>
      </w:r>
      <w:r>
        <w:rPr>
          <w:color w:val="0D0D0D"/>
          <w:spacing w:val="-1"/>
        </w:rPr>
        <w:t> </w:t>
      </w:r>
      <w:r>
        <w:rPr>
          <w:color w:val="0D0D0D"/>
          <w:spacing w:val="-2"/>
        </w:rPr>
        <w:t>portfolio</w:t>
      </w:r>
    </w:p>
    <w:p>
      <w:pPr>
        <w:pStyle w:val="BodyText"/>
        <w:spacing w:before="139"/>
        <w:rPr>
          <w:sz w:val="20"/>
        </w:rPr>
      </w:pPr>
      <w:r>
        <w:rPr>
          <w:sz w:val="20"/>
        </w:rPr>
        <w:drawing>
          <wp:anchor distT="0" distB="0" distL="0" distR="0" allowOverlap="1" layoutInCell="1" locked="0" behindDoc="1" simplePos="0" relativeHeight="487599616">
            <wp:simplePos x="0" y="0"/>
            <wp:positionH relativeFrom="page">
              <wp:posOffset>960377</wp:posOffset>
            </wp:positionH>
            <wp:positionV relativeFrom="paragraph">
              <wp:posOffset>249866</wp:posOffset>
            </wp:positionV>
            <wp:extent cx="5719159" cy="3238500"/>
            <wp:effectExtent l="0" t="0" r="0" b="0"/>
            <wp:wrapTopAndBottom/>
            <wp:docPr id="29" name="Image 29" descr="A graph of weight loss  Description automatically generated with medium confidence"/>
            <wp:cNvGraphicFramePr>
              <a:graphicFrameLocks/>
            </wp:cNvGraphicFramePr>
            <a:graphic>
              <a:graphicData uri="http://schemas.openxmlformats.org/drawingml/2006/picture">
                <pic:pic>
                  <pic:nvPicPr>
                    <pic:cNvPr id="29" name="Image 29" descr="A graph of weight loss  Description automatically generated with medium confidence"/>
                    <pic:cNvPicPr/>
                  </pic:nvPicPr>
                  <pic:blipFill>
                    <a:blip r:embed="rId32" cstate="print"/>
                    <a:stretch>
                      <a:fillRect/>
                    </a:stretch>
                  </pic:blipFill>
                  <pic:spPr>
                    <a:xfrm>
                      <a:off x="0" y="0"/>
                      <a:ext cx="5719159" cy="3238500"/>
                    </a:xfrm>
                    <a:prstGeom prst="rect">
                      <a:avLst/>
                    </a:prstGeom>
                  </pic:spPr>
                </pic:pic>
              </a:graphicData>
            </a:graphic>
          </wp:anchor>
        </w:drawing>
      </w:r>
    </w:p>
    <w:p>
      <w:pPr>
        <w:pStyle w:val="BodyText"/>
        <w:spacing w:before="26"/>
      </w:pPr>
    </w:p>
    <w:p>
      <w:pPr>
        <w:pStyle w:val="BodyText"/>
        <w:spacing w:before="1"/>
        <w:ind w:left="2995"/>
      </w:pPr>
      <w:r>
        <w:rPr/>
        <w:t>Fig.24.Bar</w:t>
      </w:r>
      <w:r>
        <w:rPr>
          <w:spacing w:val="-1"/>
        </w:rPr>
        <w:t> </w:t>
      </w:r>
      <w:r>
        <w:rPr/>
        <w:t>plot</w:t>
      </w:r>
      <w:r>
        <w:rPr>
          <w:spacing w:val="-1"/>
        </w:rPr>
        <w:t> </w:t>
      </w:r>
      <w:r>
        <w:rPr/>
        <w:t>of weights</w:t>
      </w:r>
      <w:r>
        <w:rPr>
          <w:spacing w:val="-1"/>
        </w:rPr>
        <w:t> </w:t>
      </w:r>
      <w:r>
        <w:rPr/>
        <w:t>of</w:t>
      </w:r>
      <w:r>
        <w:rPr>
          <w:spacing w:val="1"/>
        </w:rPr>
        <w:t> </w:t>
      </w:r>
      <w:r>
        <w:rPr/>
        <w:t>all</w:t>
      </w:r>
      <w:r>
        <w:rPr>
          <w:spacing w:val="-1"/>
        </w:rPr>
        <w:t> </w:t>
      </w:r>
      <w:r>
        <w:rPr/>
        <w:t>the</w:t>
      </w:r>
      <w:r>
        <w:rPr>
          <w:spacing w:val="-1"/>
        </w:rPr>
        <w:t> </w:t>
      </w:r>
      <w:r>
        <w:rPr/>
        <w:t>stocks in</w:t>
      </w:r>
      <w:r>
        <w:rPr>
          <w:spacing w:val="-1"/>
        </w:rPr>
        <w:t> </w:t>
      </w:r>
      <w:r>
        <w:rPr/>
        <w:t>the </w:t>
      </w:r>
      <w:r>
        <w:rPr>
          <w:spacing w:val="-2"/>
        </w:rPr>
        <w:t>portfolio</w:t>
      </w:r>
    </w:p>
    <w:p>
      <w:pPr>
        <w:pStyle w:val="BodyText"/>
        <w:spacing w:after="0"/>
        <w:sectPr>
          <w:pgSz w:w="11910" w:h="16840"/>
          <w:pgMar w:top="1920" w:bottom="280" w:left="425" w:right="283"/>
        </w:sectPr>
      </w:pPr>
    </w:p>
    <w:p>
      <w:pPr>
        <w:pStyle w:val="BodyText"/>
        <w:ind w:left="2165"/>
        <w:rPr>
          <w:sz w:val="20"/>
        </w:rPr>
      </w:pPr>
      <w:r>
        <w:rPr>
          <w:sz w:val="20"/>
        </w:rPr>
        <w:drawing>
          <wp:inline distT="0" distB="0" distL="0" distR="0">
            <wp:extent cx="3913507" cy="3108674"/>
            <wp:effectExtent l="0" t="0" r="0" b="0"/>
            <wp:docPr id="30" name="Image 30" descr="A pie chart with numbers and symbols  Description automatically generated"/>
            <wp:cNvGraphicFramePr>
              <a:graphicFrameLocks/>
            </wp:cNvGraphicFramePr>
            <a:graphic>
              <a:graphicData uri="http://schemas.openxmlformats.org/drawingml/2006/picture">
                <pic:pic>
                  <pic:nvPicPr>
                    <pic:cNvPr id="30" name="Image 30" descr="A pie chart with numbers and symbols  Description automatically generated"/>
                    <pic:cNvPicPr/>
                  </pic:nvPicPr>
                  <pic:blipFill>
                    <a:blip r:embed="rId33" cstate="print"/>
                    <a:stretch>
                      <a:fillRect/>
                    </a:stretch>
                  </pic:blipFill>
                  <pic:spPr>
                    <a:xfrm>
                      <a:off x="0" y="0"/>
                      <a:ext cx="3913507" cy="3108674"/>
                    </a:xfrm>
                    <a:prstGeom prst="rect">
                      <a:avLst/>
                    </a:prstGeom>
                  </pic:spPr>
                </pic:pic>
              </a:graphicData>
            </a:graphic>
          </wp:inline>
        </w:drawing>
      </w:r>
      <w:r>
        <w:rPr>
          <w:sz w:val="20"/>
        </w:rPr>
      </w:r>
    </w:p>
    <w:p>
      <w:pPr>
        <w:pStyle w:val="BodyText"/>
        <w:spacing w:before="246"/>
        <w:ind w:left="2755"/>
      </w:pPr>
      <w:r>
        <w:rPr/>
        <w:t>Fig.25.Pie</w:t>
      </w:r>
      <w:r>
        <w:rPr>
          <w:spacing w:val="-3"/>
        </w:rPr>
        <w:t> </w:t>
      </w:r>
      <w:r>
        <w:rPr/>
        <w:t>chart</w:t>
      </w:r>
      <w:r>
        <w:rPr>
          <w:spacing w:val="-1"/>
        </w:rPr>
        <w:t> </w:t>
      </w:r>
      <w:r>
        <w:rPr/>
        <w:t>of</w:t>
      </w:r>
      <w:r>
        <w:rPr>
          <w:spacing w:val="-2"/>
        </w:rPr>
        <w:t> </w:t>
      </w:r>
      <w:r>
        <w:rPr/>
        <w:t>all</w:t>
      </w:r>
      <w:r>
        <w:rPr>
          <w:spacing w:val="-1"/>
        </w:rPr>
        <w:t> </w:t>
      </w:r>
      <w:r>
        <w:rPr/>
        <w:t>the</w:t>
      </w:r>
      <w:r>
        <w:rPr>
          <w:spacing w:val="-1"/>
        </w:rPr>
        <w:t> </w:t>
      </w:r>
      <w:r>
        <w:rPr/>
        <w:t>stocks</w:t>
      </w:r>
      <w:r>
        <w:rPr>
          <w:spacing w:val="1"/>
        </w:rPr>
        <w:t> </w:t>
      </w:r>
      <w:r>
        <w:rPr/>
        <w:t>in</w:t>
      </w:r>
      <w:r>
        <w:rPr>
          <w:spacing w:val="-1"/>
        </w:rPr>
        <w:t> </w:t>
      </w:r>
      <w:r>
        <w:rPr/>
        <w:t>the</w:t>
      </w:r>
      <w:r>
        <w:rPr>
          <w:spacing w:val="-1"/>
        </w:rPr>
        <w:t> </w:t>
      </w:r>
      <w:r>
        <w:rPr>
          <w:spacing w:val="-2"/>
        </w:rPr>
        <w:t>portfolio</w:t>
      </w:r>
    </w:p>
    <w:p>
      <w:pPr>
        <w:pStyle w:val="BodyText"/>
      </w:pPr>
    </w:p>
    <w:p>
      <w:pPr>
        <w:pStyle w:val="BodyText"/>
        <w:ind w:left="1015" w:right="1260"/>
      </w:pPr>
      <w:r>
        <w:rPr>
          <w:color w:val="0D0D0D"/>
        </w:rPr>
        <w:t>GARCH</w:t>
      </w:r>
      <w:r>
        <w:rPr>
          <w:color w:val="0D0D0D"/>
          <w:spacing w:val="-4"/>
        </w:rPr>
        <w:t> </w:t>
      </w:r>
      <w:r>
        <w:rPr>
          <w:color w:val="0D0D0D"/>
        </w:rPr>
        <w:t>model</w:t>
      </w:r>
      <w:r>
        <w:rPr>
          <w:color w:val="0D0D0D"/>
          <w:spacing w:val="-3"/>
        </w:rPr>
        <w:t> </w:t>
      </w:r>
      <w:r>
        <w:rPr>
          <w:color w:val="0D0D0D"/>
        </w:rPr>
        <w:t>is</w:t>
      </w:r>
      <w:r>
        <w:rPr>
          <w:color w:val="0D0D0D"/>
          <w:spacing w:val="-3"/>
        </w:rPr>
        <w:t> </w:t>
      </w:r>
      <w:r>
        <w:rPr>
          <w:color w:val="0D0D0D"/>
        </w:rPr>
        <w:t>being</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forecast</w:t>
      </w:r>
      <w:r>
        <w:rPr>
          <w:color w:val="0D0D0D"/>
          <w:spacing w:val="-3"/>
        </w:rPr>
        <w:t> </w:t>
      </w:r>
      <w:r>
        <w:rPr>
          <w:color w:val="0D0D0D"/>
        </w:rPr>
        <w:t>the</w:t>
      </w:r>
      <w:r>
        <w:rPr>
          <w:color w:val="0D0D0D"/>
          <w:spacing w:val="-2"/>
        </w:rPr>
        <w:t> </w:t>
      </w:r>
      <w:r>
        <w:rPr>
          <w:color w:val="0D0D0D"/>
        </w:rPr>
        <w:t>volatility</w:t>
      </w:r>
      <w:r>
        <w:rPr>
          <w:color w:val="0D0D0D"/>
          <w:spacing w:val="-2"/>
        </w:rPr>
        <w:t> </w:t>
      </w:r>
      <w:r>
        <w:rPr>
          <w:color w:val="0D0D0D"/>
        </w:rPr>
        <w:t>of</w:t>
      </w:r>
      <w:r>
        <w:rPr>
          <w:color w:val="0D0D0D"/>
          <w:spacing w:val="-3"/>
        </w:rPr>
        <w:t> </w:t>
      </w:r>
      <w:r>
        <w:rPr>
          <w:color w:val="0D0D0D"/>
        </w:rPr>
        <w:t>the</w:t>
      </w:r>
      <w:r>
        <w:rPr>
          <w:color w:val="0D0D0D"/>
          <w:spacing w:val="-5"/>
        </w:rPr>
        <w:t> </w:t>
      </w:r>
      <w:r>
        <w:rPr>
          <w:color w:val="0D0D0D"/>
        </w:rPr>
        <w:t>new</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volatility</w:t>
      </w:r>
      <w:r>
        <w:rPr>
          <w:color w:val="0D0D0D"/>
          <w:spacing w:val="-3"/>
        </w:rPr>
        <w:t> </w:t>
      </w:r>
      <w:r>
        <w:rPr>
          <w:color w:val="0D0D0D"/>
        </w:rPr>
        <w:t>of Sensex for the year 2023.</w:t>
      </w:r>
    </w:p>
    <w:p>
      <w:pPr>
        <w:pStyle w:val="BodyText"/>
        <w:rPr>
          <w:sz w:val="20"/>
        </w:rPr>
      </w:pPr>
    </w:p>
    <w:p>
      <w:pPr>
        <w:pStyle w:val="BodyText"/>
        <w:spacing w:before="69"/>
        <w:rPr>
          <w:sz w:val="20"/>
        </w:rPr>
      </w:pPr>
      <w:r>
        <w:rPr>
          <w:sz w:val="20"/>
        </w:rPr>
        <w:drawing>
          <wp:anchor distT="0" distB="0" distL="0" distR="0" allowOverlap="1" layoutInCell="1" locked="0" behindDoc="1" simplePos="0" relativeHeight="487600128">
            <wp:simplePos x="0" y="0"/>
            <wp:positionH relativeFrom="page">
              <wp:posOffset>914400</wp:posOffset>
            </wp:positionH>
            <wp:positionV relativeFrom="paragraph">
              <wp:posOffset>205430</wp:posOffset>
            </wp:positionV>
            <wp:extent cx="5650384" cy="1816893"/>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5650384" cy="1816893"/>
                    </a:xfrm>
                    <a:prstGeom prst="rect">
                      <a:avLst/>
                    </a:prstGeom>
                  </pic:spPr>
                </pic:pic>
              </a:graphicData>
            </a:graphic>
          </wp:anchor>
        </w:drawing>
      </w:r>
    </w:p>
    <w:p>
      <w:pPr>
        <w:pStyle w:val="BodyText"/>
        <w:spacing w:before="40"/>
        <w:ind w:left="2395"/>
      </w:pPr>
      <w:r>
        <w:rPr>
          <w:color w:val="0D0D0D"/>
        </w:rPr>
        <w:t>Fig.26</w:t>
      </w:r>
      <w:r>
        <w:rPr>
          <w:color w:val="0D0D0D"/>
          <w:spacing w:val="-1"/>
        </w:rPr>
        <w:t> </w:t>
      </w:r>
      <w:r>
        <w:rPr>
          <w:color w:val="0D0D0D"/>
        </w:rPr>
        <w:t>Forcasted</w:t>
      </w:r>
      <w:r>
        <w:rPr>
          <w:color w:val="0D0D0D"/>
          <w:spacing w:val="-1"/>
        </w:rPr>
        <w:t> </w:t>
      </w:r>
      <w:r>
        <w:rPr>
          <w:color w:val="0D0D0D"/>
        </w:rPr>
        <w:t>volatility</w:t>
      </w:r>
      <w:r>
        <w:rPr>
          <w:color w:val="0D0D0D"/>
          <w:spacing w:val="-1"/>
        </w:rPr>
        <w:t> </w:t>
      </w:r>
      <w:r>
        <w:rPr>
          <w:color w:val="0D0D0D"/>
        </w:rPr>
        <w:t>of</w:t>
      </w:r>
      <w:r>
        <w:rPr>
          <w:color w:val="0D0D0D"/>
          <w:spacing w:val="-1"/>
        </w:rPr>
        <w:t> </w:t>
      </w:r>
      <w:r>
        <w:rPr>
          <w:color w:val="0D0D0D"/>
        </w:rPr>
        <w:t>portfolio</w:t>
      </w:r>
      <w:r>
        <w:rPr>
          <w:color w:val="0D0D0D"/>
          <w:spacing w:val="-1"/>
        </w:rPr>
        <w:t> </w:t>
      </w:r>
      <w:r>
        <w:rPr>
          <w:color w:val="0D0D0D"/>
        </w:rPr>
        <w:t>&amp;</w:t>
      </w:r>
      <w:r>
        <w:rPr>
          <w:color w:val="0D0D0D"/>
          <w:spacing w:val="-1"/>
        </w:rPr>
        <w:t> </w:t>
      </w:r>
      <w:r>
        <w:rPr>
          <w:color w:val="0D0D0D"/>
        </w:rPr>
        <w:t>Sensex</w:t>
      </w:r>
      <w:r>
        <w:rPr>
          <w:color w:val="0D0D0D"/>
          <w:spacing w:val="-1"/>
        </w:rPr>
        <w:t> </w:t>
      </w:r>
      <w:r>
        <w:rPr>
          <w:color w:val="0D0D0D"/>
        </w:rPr>
        <w:t>for</w:t>
      </w:r>
      <w:r>
        <w:rPr>
          <w:color w:val="0D0D0D"/>
          <w:spacing w:val="-2"/>
        </w:rPr>
        <w:t> </w:t>
      </w:r>
      <w:r>
        <w:rPr>
          <w:color w:val="0D0D0D"/>
          <w:spacing w:val="-4"/>
        </w:rPr>
        <w:t>2023</w:t>
      </w:r>
    </w:p>
    <w:p>
      <w:pPr>
        <w:pStyle w:val="BodyText"/>
        <w:rPr>
          <w:sz w:val="20"/>
        </w:rPr>
      </w:pPr>
    </w:p>
    <w:p>
      <w:pPr>
        <w:pStyle w:val="BodyText"/>
        <w:spacing w:before="179"/>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2976"/>
      </w:tblGrid>
      <w:tr>
        <w:trPr>
          <w:trHeight w:val="276"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0.000041</w:t>
            </w:r>
          </w:p>
        </w:tc>
      </w:tr>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0.000041</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4"/>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0.000004</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0.000006</w:t>
            </w:r>
          </w:p>
        </w:tc>
      </w:tr>
      <w:tr>
        <w:trPr>
          <w:trHeight w:val="277" w:hRule="atLeast"/>
        </w:trPr>
        <w:tc>
          <w:tcPr>
            <w:tcW w:w="5384" w:type="dxa"/>
          </w:tcPr>
          <w:p>
            <w:pPr>
              <w:pStyle w:val="TableParagraph"/>
              <w:spacing w:line="257" w:lineRule="exact" w:before="1"/>
              <w:rPr>
                <w:sz w:val="24"/>
              </w:rPr>
            </w:pPr>
            <w:r>
              <w:rPr>
                <w:color w:val="0D0D0D"/>
                <w:sz w:val="24"/>
              </w:rPr>
              <w:t>Ratio</w:t>
            </w:r>
            <w:r>
              <w:rPr>
                <w:color w:val="0D0D0D"/>
                <w:spacing w:val="-2"/>
                <w:sz w:val="24"/>
              </w:rPr>
              <w:t> </w:t>
            </w:r>
            <w:r>
              <w:rPr>
                <w:color w:val="0D0D0D"/>
                <w:sz w:val="24"/>
              </w:rPr>
              <w:t>of</w:t>
            </w:r>
            <w:r>
              <w:rPr>
                <w:color w:val="0D0D0D"/>
                <w:spacing w:val="-1"/>
                <w:sz w:val="24"/>
              </w:rPr>
              <w:t> </w:t>
            </w:r>
            <w:r>
              <w:rPr>
                <w:color w:val="0D0D0D"/>
                <w:sz w:val="24"/>
              </w:rPr>
              <w:t>portfolio</w:t>
            </w:r>
            <w:r>
              <w:rPr>
                <w:color w:val="0D0D0D"/>
                <w:spacing w:val="-1"/>
                <w:sz w:val="24"/>
              </w:rPr>
              <w:t> </w:t>
            </w:r>
            <w:r>
              <w:rPr>
                <w:color w:val="0D0D0D"/>
                <w:sz w:val="24"/>
              </w:rPr>
              <w:t>volatility</w:t>
            </w:r>
            <w:r>
              <w:rPr>
                <w:color w:val="0D0D0D"/>
                <w:spacing w:val="-2"/>
                <w:sz w:val="24"/>
              </w:rPr>
              <w:t> </w:t>
            </w:r>
            <w:r>
              <w:rPr>
                <w:color w:val="0D0D0D"/>
                <w:sz w:val="24"/>
              </w:rPr>
              <w:t>and</w:t>
            </w:r>
            <w:r>
              <w:rPr>
                <w:color w:val="0D0D0D"/>
                <w:spacing w:val="-1"/>
                <w:sz w:val="24"/>
              </w:rPr>
              <w:t> </w:t>
            </w:r>
            <w:r>
              <w:rPr>
                <w:color w:val="0D0D0D"/>
                <w:sz w:val="24"/>
              </w:rPr>
              <w:t>sensex</w:t>
            </w:r>
            <w:r>
              <w:rPr>
                <w:color w:val="0D0D0D"/>
                <w:spacing w:val="-1"/>
                <w:sz w:val="24"/>
              </w:rPr>
              <w:t> </w:t>
            </w:r>
            <w:r>
              <w:rPr>
                <w:color w:val="0D0D0D"/>
                <w:spacing w:val="-2"/>
                <w:sz w:val="24"/>
              </w:rPr>
              <w:t>volatility</w:t>
            </w:r>
          </w:p>
        </w:tc>
        <w:tc>
          <w:tcPr>
            <w:tcW w:w="2976" w:type="dxa"/>
          </w:tcPr>
          <w:p>
            <w:pPr>
              <w:pStyle w:val="TableParagraph"/>
              <w:spacing w:line="257" w:lineRule="exact" w:before="1"/>
              <w:rPr>
                <w:sz w:val="24"/>
              </w:rPr>
            </w:pPr>
            <w:r>
              <w:rPr>
                <w:color w:val="0D0D0D"/>
                <w:spacing w:val="-2"/>
                <w:sz w:val="24"/>
              </w:rPr>
              <w:t>1.002458</w:t>
            </w:r>
          </w:p>
        </w:tc>
      </w:tr>
    </w:tbl>
    <w:p>
      <w:pPr>
        <w:pStyle w:val="BodyText"/>
        <w:spacing w:before="44"/>
      </w:pPr>
    </w:p>
    <w:p>
      <w:pPr>
        <w:pStyle w:val="BodyText"/>
        <w:spacing w:before="1"/>
        <w:ind w:left="2815"/>
      </w:pPr>
      <w:r>
        <w:rPr>
          <w:color w:val="0D0D0D"/>
        </w:rPr>
        <w:t>Table 7</w:t>
      </w:r>
      <w:r>
        <w:rPr>
          <w:color w:val="0D0D0D"/>
          <w:spacing w:val="-1"/>
        </w:rPr>
        <w:t> </w:t>
      </w:r>
      <w:r>
        <w:rPr>
          <w:color w:val="0D0D0D"/>
        </w:rPr>
        <w:t>Results</w:t>
      </w:r>
      <w:r>
        <w:rPr>
          <w:color w:val="0D0D0D"/>
          <w:spacing w:val="-1"/>
        </w:rPr>
        <w:t> </w:t>
      </w:r>
      <w:r>
        <w:rPr>
          <w:color w:val="0D0D0D"/>
        </w:rPr>
        <w:t>from GARCH</w:t>
      </w:r>
      <w:r>
        <w:rPr>
          <w:color w:val="0D0D0D"/>
          <w:spacing w:val="-1"/>
        </w:rPr>
        <w:t> </w:t>
      </w:r>
      <w:r>
        <w:rPr>
          <w:color w:val="0D0D0D"/>
          <w:spacing w:val="-2"/>
        </w:rPr>
        <w:t>model</w:t>
      </w:r>
    </w:p>
    <w:p>
      <w:pPr>
        <w:pStyle w:val="BodyText"/>
        <w:spacing w:after="0"/>
        <w:sectPr>
          <w:pgSz w:w="11910" w:h="16840"/>
          <w:pgMar w:top="1480" w:bottom="280" w:left="425" w:right="283"/>
        </w:sectPr>
      </w:pPr>
    </w:p>
    <w:p>
      <w:pPr>
        <w:spacing w:before="60"/>
        <w:ind w:left="1015" w:right="0" w:firstLine="0"/>
        <w:jc w:val="left"/>
        <w:rPr>
          <w:b/>
          <w:sz w:val="24"/>
        </w:rPr>
      </w:pPr>
      <w:r>
        <w:rPr>
          <w:b/>
          <w:color w:val="0D0D0D"/>
          <w:sz w:val="24"/>
          <w:u w:val="single" w:color="0D0D0D"/>
        </w:rPr>
        <w:t>Agglomerative</w:t>
      </w:r>
      <w:r>
        <w:rPr>
          <w:b/>
          <w:color w:val="0D0D0D"/>
          <w:spacing w:val="-6"/>
          <w:sz w:val="24"/>
          <w:u w:val="single" w:color="0D0D0D"/>
        </w:rPr>
        <w:t> </w:t>
      </w:r>
      <w:r>
        <w:rPr>
          <w:b/>
          <w:color w:val="0D0D0D"/>
          <w:sz w:val="24"/>
          <w:u w:val="single" w:color="0D0D0D"/>
        </w:rPr>
        <w:t>Hierarchical</w:t>
      </w:r>
      <w:r>
        <w:rPr>
          <w:b/>
          <w:color w:val="0D0D0D"/>
          <w:spacing w:val="-1"/>
          <w:sz w:val="24"/>
          <w:u w:val="single" w:color="0D0D0D"/>
        </w:rPr>
        <w:t> </w:t>
      </w:r>
      <w:r>
        <w:rPr>
          <w:b/>
          <w:color w:val="0D0D0D"/>
          <w:sz w:val="24"/>
          <w:u w:val="single" w:color="0D0D0D"/>
        </w:rPr>
        <w:t>Clustering</w:t>
      </w:r>
      <w:r>
        <w:rPr>
          <w:b/>
          <w:color w:val="0D0D0D"/>
          <w:spacing w:val="-1"/>
          <w:sz w:val="24"/>
          <w:u w:val="single" w:color="0D0D0D"/>
        </w:rPr>
        <w:t> </w:t>
      </w:r>
      <w:r>
        <w:rPr>
          <w:b/>
          <w:color w:val="0D0D0D"/>
          <w:sz w:val="24"/>
          <w:u w:val="single" w:color="0D0D0D"/>
        </w:rPr>
        <w:t>&amp;</w:t>
      </w:r>
      <w:r>
        <w:rPr>
          <w:b/>
          <w:color w:val="0D0D0D"/>
          <w:spacing w:val="-2"/>
          <w:sz w:val="24"/>
          <w:u w:val="single" w:color="0D0D0D"/>
        </w:rPr>
        <w:t> </w:t>
      </w:r>
      <w:r>
        <w:rPr>
          <w:b/>
          <w:color w:val="0D0D0D"/>
          <w:sz w:val="24"/>
          <w:u w:val="single" w:color="0D0D0D"/>
        </w:rPr>
        <w:t>Hierarchical</w:t>
      </w:r>
      <w:r>
        <w:rPr>
          <w:b/>
          <w:color w:val="0D0D0D"/>
          <w:spacing w:val="-2"/>
          <w:sz w:val="24"/>
          <w:u w:val="single" w:color="0D0D0D"/>
        </w:rPr>
        <w:t> </w:t>
      </w:r>
      <w:r>
        <w:rPr>
          <w:b/>
          <w:color w:val="0D0D0D"/>
          <w:sz w:val="24"/>
          <w:u w:val="single" w:color="0D0D0D"/>
        </w:rPr>
        <w:t>Risk</w:t>
      </w:r>
      <w:r>
        <w:rPr>
          <w:b/>
          <w:color w:val="0D0D0D"/>
          <w:spacing w:val="-1"/>
          <w:sz w:val="24"/>
          <w:u w:val="single" w:color="0D0D0D"/>
        </w:rPr>
        <w:t> </w:t>
      </w:r>
      <w:r>
        <w:rPr>
          <w:b/>
          <w:color w:val="0D0D0D"/>
          <w:sz w:val="24"/>
          <w:u w:val="single" w:color="0D0D0D"/>
        </w:rPr>
        <w:t>Parity</w:t>
      </w:r>
      <w:r>
        <w:rPr>
          <w:b/>
          <w:color w:val="0D0D0D"/>
          <w:spacing w:val="2"/>
          <w:sz w:val="24"/>
          <w:u w:val="single" w:color="0D0D0D"/>
        </w:rPr>
        <w:t> </w:t>
      </w:r>
      <w:r>
        <w:rPr>
          <w:b/>
          <w:color w:val="0D0D0D"/>
          <w:sz w:val="24"/>
          <w:u w:val="single" w:color="0D0D0D"/>
        </w:rPr>
        <w:t>Asset</w:t>
      </w:r>
      <w:r>
        <w:rPr>
          <w:b/>
          <w:color w:val="0D0D0D"/>
          <w:spacing w:val="-1"/>
          <w:sz w:val="24"/>
          <w:u w:val="single" w:color="0D0D0D"/>
        </w:rPr>
        <w:t> </w:t>
      </w:r>
      <w:r>
        <w:rPr>
          <w:b/>
          <w:color w:val="0D0D0D"/>
          <w:spacing w:val="-2"/>
          <w:sz w:val="24"/>
          <w:u w:val="single" w:color="0D0D0D"/>
        </w:rPr>
        <w:t>Allocation</w:t>
      </w:r>
    </w:p>
    <w:p>
      <w:pPr>
        <w:pStyle w:val="BodyText"/>
        <w:spacing w:before="44"/>
        <w:rPr>
          <w:b/>
        </w:rPr>
      </w:pPr>
    </w:p>
    <w:p>
      <w:pPr>
        <w:pStyle w:val="BodyText"/>
        <w:ind w:left="1015" w:right="1260"/>
      </w:pPr>
      <w:r>
        <w:rPr>
          <w:color w:val="0D0D0D"/>
        </w:rPr>
        <w:t>The stocks of the Nifty 50 companies are clustered using Agglomerative Hierarchical clustering</w:t>
      </w:r>
      <w:r>
        <w:rPr>
          <w:color w:val="0D0D0D"/>
          <w:spacing w:val="-3"/>
        </w:rPr>
        <w:t> </w:t>
      </w:r>
      <w:r>
        <w:rPr>
          <w:color w:val="0D0D0D"/>
        </w:rPr>
        <w:t>model</w:t>
      </w:r>
      <w:r>
        <w:rPr>
          <w:color w:val="0D0D0D"/>
          <w:spacing w:val="-3"/>
        </w:rPr>
        <w:t> </w:t>
      </w:r>
      <w:r>
        <w:rPr>
          <w:color w:val="0D0D0D"/>
        </w:rPr>
        <w:t>.</w:t>
      </w:r>
      <w:r>
        <w:rPr>
          <w:color w:val="0D0D0D"/>
          <w:spacing w:val="-3"/>
        </w:rPr>
        <w:t> </w:t>
      </w:r>
      <w:r>
        <w:rPr>
          <w:color w:val="0D0D0D"/>
        </w:rPr>
        <w:t>To</w:t>
      </w:r>
      <w:r>
        <w:rPr>
          <w:color w:val="0D0D0D"/>
          <w:spacing w:val="-3"/>
        </w:rPr>
        <w:t> </w:t>
      </w:r>
      <w:r>
        <w:rPr>
          <w:color w:val="0D0D0D"/>
        </w:rPr>
        <w:t>do</w:t>
      </w:r>
      <w:r>
        <w:rPr>
          <w:color w:val="0D0D0D"/>
          <w:spacing w:val="-3"/>
        </w:rPr>
        <w:t> </w:t>
      </w:r>
      <w:r>
        <w:rPr>
          <w:color w:val="0D0D0D"/>
        </w:rPr>
        <w:t>so</w:t>
      </w:r>
      <w:r>
        <w:rPr>
          <w:color w:val="0D0D0D"/>
          <w:spacing w:val="-3"/>
        </w:rPr>
        <w:t> </w:t>
      </w:r>
      <w:r>
        <w:rPr>
          <w:color w:val="0D0D0D"/>
        </w:rPr>
        <w:t>the</w:t>
      </w:r>
      <w:r>
        <w:rPr>
          <w:color w:val="0D0D0D"/>
          <w:spacing w:val="-3"/>
        </w:rPr>
        <w:t> </w:t>
      </w:r>
      <w:r>
        <w:rPr>
          <w:color w:val="0D0D0D"/>
        </w:rPr>
        <w:t>covariance</w:t>
      </w:r>
      <w:r>
        <w:rPr>
          <w:color w:val="0D0D0D"/>
          <w:spacing w:val="-4"/>
        </w:rPr>
        <w:t> </w:t>
      </w:r>
      <w:r>
        <w:rPr>
          <w:color w:val="0D0D0D"/>
        </w:rPr>
        <w:t>matrix</w:t>
      </w:r>
      <w:r>
        <w:rPr>
          <w:color w:val="0D0D0D"/>
          <w:spacing w:val="-1"/>
        </w:rPr>
        <w:t> </w:t>
      </w:r>
      <w:r>
        <w:rPr>
          <w:color w:val="0D0D0D"/>
        </w:rPr>
        <w:t>is</w:t>
      </w:r>
      <w:r>
        <w:rPr>
          <w:color w:val="0D0D0D"/>
          <w:spacing w:val="-3"/>
        </w:rPr>
        <w:t> </w:t>
      </w:r>
      <w:r>
        <w:rPr>
          <w:color w:val="0D0D0D"/>
        </w:rPr>
        <w:t>calculated</w:t>
      </w:r>
      <w:r>
        <w:rPr>
          <w:color w:val="0D0D0D"/>
          <w:spacing w:val="-3"/>
        </w:rPr>
        <w:t> </w:t>
      </w:r>
      <w:r>
        <w:rPr>
          <w:color w:val="0D0D0D"/>
        </w:rPr>
        <w:t>based</w:t>
      </w:r>
      <w:r>
        <w:rPr>
          <w:color w:val="0D0D0D"/>
          <w:spacing w:val="-3"/>
        </w:rPr>
        <w:t> </w:t>
      </w:r>
      <w:r>
        <w:rPr>
          <w:color w:val="0D0D0D"/>
        </w:rPr>
        <w:t>on</w:t>
      </w:r>
      <w:r>
        <w:rPr>
          <w:color w:val="0D0D0D"/>
          <w:spacing w:val="-3"/>
        </w:rPr>
        <w:t> </w:t>
      </w:r>
      <w:r>
        <w:rPr>
          <w:color w:val="0D0D0D"/>
        </w:rPr>
        <w:t>the</w:t>
      </w:r>
      <w:r>
        <w:rPr>
          <w:color w:val="0D0D0D"/>
          <w:spacing w:val="-2"/>
        </w:rPr>
        <w:t> </w:t>
      </w:r>
      <w:r>
        <w:rPr>
          <w:color w:val="0D0D0D"/>
        </w:rPr>
        <w:t>change</w:t>
      </w:r>
      <w:r>
        <w:rPr>
          <w:color w:val="0D0D0D"/>
          <w:spacing w:val="-4"/>
        </w:rPr>
        <w:t> </w:t>
      </w:r>
      <w:r>
        <w:rPr>
          <w:color w:val="0D0D0D"/>
        </w:rPr>
        <w:t>in</w:t>
      </w:r>
      <w:r>
        <w:rPr>
          <w:color w:val="0D0D0D"/>
          <w:spacing w:val="-3"/>
        </w:rPr>
        <w:t> </w:t>
      </w:r>
      <w:r>
        <w:rPr>
          <w:color w:val="0D0D0D"/>
        </w:rPr>
        <w:t>stock prices and hierarchical clustering is performed using Ward’s method on the correlation Matrix and the dendogram and Heat map are used to visualize the relation between all the Nifty 50 companies on the basis of their price movements.</w:t>
      </w:r>
    </w:p>
    <w:p>
      <w:pPr>
        <w:pStyle w:val="BodyText"/>
        <w:spacing w:before="144"/>
        <w:rPr>
          <w:sz w:val="20"/>
        </w:rPr>
      </w:pPr>
      <w:r>
        <w:rPr>
          <w:sz w:val="20"/>
        </w:rPr>
        <w:drawing>
          <wp:anchor distT="0" distB="0" distL="0" distR="0" allowOverlap="1" layoutInCell="1" locked="0" behindDoc="1" simplePos="0" relativeHeight="487600640">
            <wp:simplePos x="0" y="0"/>
            <wp:positionH relativeFrom="page">
              <wp:posOffset>1548541</wp:posOffset>
            </wp:positionH>
            <wp:positionV relativeFrom="paragraph">
              <wp:posOffset>253049</wp:posOffset>
            </wp:positionV>
            <wp:extent cx="4031968" cy="3363087"/>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4031968" cy="3363087"/>
                    </a:xfrm>
                    <a:prstGeom prst="rect">
                      <a:avLst/>
                    </a:prstGeom>
                  </pic:spPr>
                </pic:pic>
              </a:graphicData>
            </a:graphic>
          </wp:anchor>
        </w:drawing>
      </w:r>
    </w:p>
    <w:p>
      <w:pPr>
        <w:pStyle w:val="BodyText"/>
        <w:spacing w:before="126"/>
        <w:ind w:left="2155"/>
      </w:pPr>
      <w:r>
        <w:rPr>
          <w:color w:val="0D0D0D"/>
        </w:rPr>
        <w:t>Fig.27</w:t>
      </w:r>
      <w:r>
        <w:rPr>
          <w:color w:val="0D0D0D"/>
          <w:spacing w:val="-1"/>
        </w:rPr>
        <w:t> </w:t>
      </w:r>
      <w:r>
        <w:rPr>
          <w:color w:val="0D0D0D"/>
        </w:rPr>
        <w:t>Hierarchical</w:t>
      </w:r>
      <w:r>
        <w:rPr>
          <w:color w:val="0D0D0D"/>
          <w:spacing w:val="-1"/>
        </w:rPr>
        <w:t> </w:t>
      </w:r>
      <w:r>
        <w:rPr>
          <w:color w:val="0D0D0D"/>
        </w:rPr>
        <w:t>clustering</w:t>
      </w:r>
      <w:r>
        <w:rPr>
          <w:color w:val="0D0D0D"/>
          <w:spacing w:val="-1"/>
        </w:rPr>
        <w:t> </w:t>
      </w:r>
      <w:r>
        <w:rPr>
          <w:color w:val="0D0D0D"/>
        </w:rPr>
        <w:t>dendogram</w:t>
      </w:r>
      <w:r>
        <w:rPr>
          <w:color w:val="0D0D0D"/>
          <w:spacing w:val="-1"/>
        </w:rPr>
        <w:t> </w:t>
      </w:r>
      <w:r>
        <w:rPr>
          <w:color w:val="0D0D0D"/>
        </w:rPr>
        <w:t>of</w:t>
      </w:r>
      <w:r>
        <w:rPr>
          <w:color w:val="0D0D0D"/>
          <w:spacing w:val="-1"/>
        </w:rPr>
        <w:t> </w:t>
      </w:r>
      <w:r>
        <w:rPr>
          <w:color w:val="0D0D0D"/>
        </w:rPr>
        <w:t>Nifty</w:t>
      </w:r>
      <w:r>
        <w:rPr>
          <w:color w:val="0D0D0D"/>
          <w:spacing w:val="-1"/>
        </w:rPr>
        <w:t> </w:t>
      </w:r>
      <w:r>
        <w:rPr>
          <w:color w:val="0D0D0D"/>
        </w:rPr>
        <w:t>50</w:t>
      </w:r>
      <w:r>
        <w:rPr>
          <w:color w:val="0D0D0D"/>
          <w:spacing w:val="-1"/>
        </w:rPr>
        <w:t> </w:t>
      </w:r>
      <w:r>
        <w:rPr>
          <w:color w:val="0D0D0D"/>
          <w:spacing w:val="-2"/>
        </w:rPr>
        <w:t>companies</w:t>
      </w:r>
    </w:p>
    <w:p>
      <w:pPr>
        <w:pStyle w:val="BodyText"/>
        <w:spacing w:before="65"/>
        <w:rPr>
          <w:sz w:val="20"/>
        </w:rPr>
      </w:pPr>
      <w:r>
        <w:rPr>
          <w:sz w:val="20"/>
        </w:rPr>
        <w:drawing>
          <wp:anchor distT="0" distB="0" distL="0" distR="0" allowOverlap="1" layoutInCell="1" locked="0" behindDoc="1" simplePos="0" relativeHeight="487601152">
            <wp:simplePos x="0" y="0"/>
            <wp:positionH relativeFrom="page">
              <wp:posOffset>2235985</wp:posOffset>
            </wp:positionH>
            <wp:positionV relativeFrom="paragraph">
              <wp:posOffset>202912</wp:posOffset>
            </wp:positionV>
            <wp:extent cx="2791847" cy="2592324"/>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2791847" cy="2592324"/>
                    </a:xfrm>
                    <a:prstGeom prst="rect">
                      <a:avLst/>
                    </a:prstGeom>
                  </pic:spPr>
                </pic:pic>
              </a:graphicData>
            </a:graphic>
          </wp:anchor>
        </w:drawing>
      </w:r>
    </w:p>
    <w:p>
      <w:pPr>
        <w:pStyle w:val="BodyText"/>
        <w:spacing w:before="58"/>
        <w:ind w:left="817" w:right="1131"/>
        <w:jc w:val="center"/>
      </w:pPr>
      <w:r>
        <w:rPr>
          <w:color w:val="0D0D0D"/>
        </w:rPr>
        <w:t>Fig.27.Heat</w:t>
      </w:r>
      <w:r>
        <w:rPr>
          <w:color w:val="0D0D0D"/>
          <w:spacing w:val="-1"/>
        </w:rPr>
        <w:t> </w:t>
      </w:r>
      <w:r>
        <w:rPr>
          <w:color w:val="0D0D0D"/>
        </w:rPr>
        <w:t>map of</w:t>
      </w:r>
      <w:r>
        <w:rPr>
          <w:color w:val="0D0D0D"/>
          <w:spacing w:val="-1"/>
        </w:rPr>
        <w:t> </w:t>
      </w:r>
      <w:r>
        <w:rPr>
          <w:color w:val="0D0D0D"/>
        </w:rPr>
        <w:t>the</w:t>
      </w:r>
      <w:r>
        <w:rPr>
          <w:color w:val="0D0D0D"/>
          <w:spacing w:val="-2"/>
        </w:rPr>
        <w:t> </w:t>
      </w:r>
      <w:r>
        <w:rPr>
          <w:color w:val="0D0D0D"/>
        </w:rPr>
        <w:t>Nifty</w:t>
      </w:r>
      <w:r>
        <w:rPr>
          <w:color w:val="0D0D0D"/>
          <w:spacing w:val="-1"/>
        </w:rPr>
        <w:t> </w:t>
      </w:r>
      <w:r>
        <w:rPr>
          <w:color w:val="0D0D0D"/>
        </w:rPr>
        <w:t>50 </w:t>
      </w:r>
      <w:r>
        <w:rPr>
          <w:color w:val="0D0D0D"/>
          <w:spacing w:val="-2"/>
        </w:rPr>
        <w:t>companies</w:t>
      </w:r>
    </w:p>
    <w:p>
      <w:pPr>
        <w:pStyle w:val="BodyText"/>
        <w:spacing w:after="0"/>
        <w:jc w:val="center"/>
        <w:sectPr>
          <w:pgSz w:w="11910" w:h="16840"/>
          <w:pgMar w:top="1360" w:bottom="280" w:left="425" w:right="283"/>
        </w:sectPr>
      </w:pPr>
    </w:p>
    <w:p>
      <w:pPr>
        <w:pStyle w:val="BodyText"/>
        <w:ind w:left="1058"/>
        <w:rPr>
          <w:sz w:val="20"/>
        </w:rPr>
      </w:pPr>
      <w:r>
        <w:rPr>
          <w:sz w:val="20"/>
        </w:rPr>
        <w:drawing>
          <wp:inline distT="0" distB="0" distL="0" distR="0">
            <wp:extent cx="4111606" cy="2866644"/>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4111606" cy="2866644"/>
                    </a:xfrm>
                    <a:prstGeom prst="rect">
                      <a:avLst/>
                    </a:prstGeom>
                  </pic:spPr>
                </pic:pic>
              </a:graphicData>
            </a:graphic>
          </wp:inline>
        </w:drawing>
      </w:r>
      <w:r>
        <w:rPr>
          <w:sz w:val="20"/>
        </w:rPr>
      </w:r>
    </w:p>
    <w:p>
      <w:pPr>
        <w:pStyle w:val="BodyText"/>
        <w:spacing w:before="48"/>
        <w:ind w:left="630" w:right="1131"/>
        <w:jc w:val="center"/>
        <w:rPr>
          <w:rFonts w:ascii="Segoe UI"/>
        </w:rPr>
      </w:pPr>
      <w:r>
        <w:rPr>
          <w:color w:val="0D0D0D"/>
        </w:rPr>
        <w:t>Fig.28</w:t>
      </w:r>
      <w:r>
        <w:rPr>
          <w:color w:val="0D0D0D"/>
          <w:spacing w:val="-1"/>
        </w:rPr>
        <w:t> </w:t>
      </w:r>
      <w:r>
        <w:rPr>
          <w:color w:val="0D0D0D"/>
        </w:rPr>
        <w:t>Cluster map of</w:t>
      </w:r>
      <w:r>
        <w:rPr>
          <w:color w:val="0D0D0D"/>
          <w:spacing w:val="-1"/>
        </w:rPr>
        <w:t> </w:t>
      </w:r>
      <w:r>
        <w:rPr>
          <w:color w:val="0D0D0D"/>
        </w:rPr>
        <w:t>the</w:t>
      </w:r>
      <w:r>
        <w:rPr>
          <w:color w:val="0D0D0D"/>
          <w:spacing w:val="-2"/>
        </w:rPr>
        <w:t> </w:t>
      </w:r>
      <w:r>
        <w:rPr>
          <w:color w:val="0D0D0D"/>
        </w:rPr>
        <w:t>Nifty 50 </w:t>
      </w:r>
      <w:r>
        <w:rPr>
          <w:color w:val="0D0D0D"/>
          <w:spacing w:val="-2"/>
        </w:rPr>
        <w:t>companies</w:t>
      </w:r>
      <w:r>
        <w:rPr>
          <w:rFonts w:ascii="Segoe UI"/>
          <w:color w:val="0D0D0D"/>
          <w:spacing w:val="-2"/>
        </w:rPr>
        <w:t>.</w:t>
      </w:r>
    </w:p>
    <w:p>
      <w:pPr>
        <w:pStyle w:val="BodyText"/>
        <w:spacing w:before="318"/>
        <w:ind w:left="1015" w:right="1174"/>
      </w:pPr>
      <w:r>
        <w:rPr>
          <w:color w:val="0D0D0D"/>
        </w:rPr>
        <w:t>Gap statistics helps in determining optimal number of cluster by identifying the point where the</w:t>
      </w:r>
      <w:r>
        <w:rPr>
          <w:color w:val="0D0D0D"/>
          <w:spacing w:val="-3"/>
        </w:rPr>
        <w:t> </w:t>
      </w:r>
      <w:r>
        <w:rPr>
          <w:color w:val="0D0D0D"/>
        </w:rPr>
        <w:t>gap</w:t>
      </w:r>
      <w:r>
        <w:rPr>
          <w:color w:val="0D0D0D"/>
          <w:spacing w:val="-3"/>
        </w:rPr>
        <w:t> </w:t>
      </w:r>
      <w:r>
        <w:rPr>
          <w:color w:val="0D0D0D"/>
        </w:rPr>
        <w:t>value</w:t>
      </w:r>
      <w:r>
        <w:rPr>
          <w:color w:val="0D0D0D"/>
          <w:spacing w:val="-3"/>
        </w:rPr>
        <w:t> </w:t>
      </w:r>
      <w:r>
        <w:rPr>
          <w:color w:val="0D0D0D"/>
        </w:rPr>
        <w:t>starts</w:t>
      </w:r>
      <w:r>
        <w:rPr>
          <w:color w:val="0D0D0D"/>
          <w:spacing w:val="-3"/>
        </w:rPr>
        <w:t> </w:t>
      </w:r>
      <w:r>
        <w:rPr>
          <w:color w:val="0D0D0D"/>
        </w:rPr>
        <w:t>to</w:t>
      </w:r>
      <w:r>
        <w:rPr>
          <w:color w:val="0D0D0D"/>
          <w:spacing w:val="-3"/>
        </w:rPr>
        <w:t> </w:t>
      </w:r>
      <w:r>
        <w:rPr>
          <w:color w:val="0D0D0D"/>
        </w:rPr>
        <w:t>decrease</w:t>
      </w:r>
      <w:r>
        <w:rPr>
          <w:color w:val="0D0D0D"/>
          <w:spacing w:val="-4"/>
        </w:rPr>
        <w:t> </w:t>
      </w:r>
      <w:r>
        <w:rPr>
          <w:color w:val="0D0D0D"/>
        </w:rPr>
        <w:t>after</w:t>
      </w:r>
      <w:r>
        <w:rPr>
          <w:color w:val="0D0D0D"/>
          <w:spacing w:val="-3"/>
        </w:rPr>
        <w:t> </w:t>
      </w:r>
      <w:r>
        <w:rPr>
          <w:color w:val="0D0D0D"/>
        </w:rPr>
        <w:t>reaching</w:t>
      </w:r>
      <w:r>
        <w:rPr>
          <w:color w:val="0D0D0D"/>
          <w:spacing w:val="-1"/>
        </w:rPr>
        <w:t> </w:t>
      </w:r>
      <w:r>
        <w:rPr>
          <w:color w:val="0D0D0D"/>
        </w:rPr>
        <w:t>a</w:t>
      </w:r>
      <w:r>
        <w:rPr>
          <w:color w:val="0D0D0D"/>
          <w:spacing w:val="-4"/>
        </w:rPr>
        <w:t> </w:t>
      </w:r>
      <w:r>
        <w:rPr>
          <w:color w:val="0D0D0D"/>
        </w:rPr>
        <w:t>maximum .The</w:t>
      </w:r>
      <w:r>
        <w:rPr>
          <w:color w:val="0D0D0D"/>
          <w:spacing w:val="-4"/>
        </w:rPr>
        <w:t> </w:t>
      </w:r>
      <w:r>
        <w:rPr>
          <w:color w:val="0D0D0D"/>
        </w:rPr>
        <w:t>gap</w:t>
      </w:r>
      <w:r>
        <w:rPr>
          <w:color w:val="0D0D0D"/>
          <w:spacing w:val="-3"/>
        </w:rPr>
        <w:t> </w:t>
      </w:r>
      <w:r>
        <w:rPr>
          <w:color w:val="0D0D0D"/>
        </w:rPr>
        <w:t>statistics</w:t>
      </w:r>
      <w:r>
        <w:rPr>
          <w:color w:val="0D0D0D"/>
          <w:spacing w:val="-2"/>
        </w:rPr>
        <w:t> </w:t>
      </w:r>
      <w:r>
        <w:rPr>
          <w:color w:val="0D0D0D"/>
        </w:rPr>
        <w:t>for</w:t>
      </w:r>
      <w:r>
        <w:rPr>
          <w:color w:val="0D0D0D"/>
          <w:spacing w:val="-5"/>
        </w:rPr>
        <w:t> </w:t>
      </w:r>
      <w:r>
        <w:rPr>
          <w:color w:val="0D0D0D"/>
        </w:rPr>
        <w:t>each</w:t>
      </w:r>
      <w:r>
        <w:rPr>
          <w:color w:val="0D0D0D"/>
          <w:spacing w:val="-3"/>
        </w:rPr>
        <w:t> </w:t>
      </w:r>
      <w:r>
        <w:rPr>
          <w:color w:val="0D0D0D"/>
        </w:rPr>
        <w:t>number of clusters is calculated as the difference between the log of the average sum of square distance for the reference data set and the log of sum of square distance of the actual data set</w:t>
      </w:r>
    </w:p>
    <w:p>
      <w:pPr>
        <w:pStyle w:val="BodyText"/>
        <w:spacing w:before="1"/>
        <w:ind w:left="1015"/>
      </w:pPr>
      <w:r>
        <w:rPr>
          <w:color w:val="0D0D0D"/>
        </w:rPr>
        <w:t>.This</w:t>
      </w:r>
      <w:r>
        <w:rPr>
          <w:color w:val="0D0D0D"/>
          <w:spacing w:val="-3"/>
        </w:rPr>
        <w:t> </w:t>
      </w:r>
      <w:r>
        <w:rPr>
          <w:color w:val="0D0D0D"/>
        </w:rPr>
        <w:t>helps</w:t>
      </w:r>
      <w:r>
        <w:rPr>
          <w:color w:val="0D0D0D"/>
          <w:spacing w:val="-1"/>
        </w:rPr>
        <w:t> </w:t>
      </w:r>
      <w:r>
        <w:rPr>
          <w:color w:val="0D0D0D"/>
        </w:rPr>
        <w:t>identifying optimal number</w:t>
      </w:r>
      <w:r>
        <w:rPr>
          <w:color w:val="0D0D0D"/>
          <w:spacing w:val="-2"/>
        </w:rPr>
        <w:t> </w:t>
      </w:r>
      <w:r>
        <w:rPr>
          <w:color w:val="0D0D0D"/>
        </w:rPr>
        <w:t>of</w:t>
      </w:r>
      <w:r>
        <w:rPr>
          <w:color w:val="0D0D0D"/>
          <w:spacing w:val="-1"/>
        </w:rPr>
        <w:t> </w:t>
      </w:r>
      <w:r>
        <w:rPr>
          <w:color w:val="0D0D0D"/>
        </w:rPr>
        <w:t>clusters to</w:t>
      </w:r>
      <w:r>
        <w:rPr>
          <w:color w:val="0D0D0D"/>
          <w:spacing w:val="-1"/>
        </w:rPr>
        <w:t> </w:t>
      </w:r>
      <w:r>
        <w:rPr>
          <w:color w:val="0D0D0D"/>
        </w:rPr>
        <w:t>be</w:t>
      </w:r>
      <w:r>
        <w:rPr>
          <w:color w:val="0D0D0D"/>
          <w:spacing w:val="-1"/>
        </w:rPr>
        <w:t> </w:t>
      </w:r>
      <w:r>
        <w:rPr>
          <w:color w:val="0D0D0D"/>
        </w:rPr>
        <w:t>considered</w:t>
      </w:r>
      <w:r>
        <w:rPr>
          <w:color w:val="0D0D0D"/>
          <w:spacing w:val="1"/>
        </w:rPr>
        <w:t> </w:t>
      </w:r>
      <w:r>
        <w:rPr>
          <w:color w:val="0D0D0D"/>
        </w:rPr>
        <w:t>which</w:t>
      </w:r>
      <w:r>
        <w:rPr>
          <w:color w:val="0D0D0D"/>
          <w:spacing w:val="2"/>
        </w:rPr>
        <w:t> </w:t>
      </w:r>
      <w:r>
        <w:rPr>
          <w:color w:val="0D0D0D"/>
        </w:rPr>
        <w:t>is</w:t>
      </w:r>
      <w:r>
        <w:rPr>
          <w:color w:val="0D0D0D"/>
          <w:spacing w:val="-1"/>
        </w:rPr>
        <w:t> </w:t>
      </w:r>
      <w:r>
        <w:rPr>
          <w:color w:val="0D0D0D"/>
        </w:rPr>
        <w:t>10 </w:t>
      </w:r>
      <w:r>
        <w:rPr>
          <w:color w:val="0D0D0D"/>
          <w:spacing w:val="-2"/>
        </w:rPr>
        <w:t>here.</w:t>
      </w:r>
    </w:p>
    <w:p>
      <w:pPr>
        <w:pStyle w:val="BodyText"/>
        <w:spacing w:before="150"/>
        <w:rPr>
          <w:sz w:val="20"/>
        </w:rPr>
      </w:pPr>
      <w:r>
        <w:rPr>
          <w:sz w:val="20"/>
        </w:rPr>
        <w:drawing>
          <wp:anchor distT="0" distB="0" distL="0" distR="0" allowOverlap="1" layoutInCell="1" locked="0" behindDoc="1" simplePos="0" relativeHeight="487601664">
            <wp:simplePos x="0" y="0"/>
            <wp:positionH relativeFrom="page">
              <wp:posOffset>1845852</wp:posOffset>
            </wp:positionH>
            <wp:positionV relativeFrom="paragraph">
              <wp:posOffset>256746</wp:posOffset>
            </wp:positionV>
            <wp:extent cx="3350030" cy="2350865"/>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38" cstate="print"/>
                    <a:stretch>
                      <a:fillRect/>
                    </a:stretch>
                  </pic:blipFill>
                  <pic:spPr>
                    <a:xfrm>
                      <a:off x="0" y="0"/>
                      <a:ext cx="3350030" cy="2350865"/>
                    </a:xfrm>
                    <a:prstGeom prst="rect">
                      <a:avLst/>
                    </a:prstGeom>
                  </pic:spPr>
                </pic:pic>
              </a:graphicData>
            </a:graphic>
          </wp:anchor>
        </w:drawing>
      </w:r>
    </w:p>
    <w:p>
      <w:pPr>
        <w:pStyle w:val="BodyText"/>
        <w:spacing w:before="135"/>
      </w:pPr>
    </w:p>
    <w:p>
      <w:pPr>
        <w:pStyle w:val="BodyText"/>
        <w:ind w:left="2875"/>
      </w:pPr>
      <w:r>
        <w:rPr>
          <w:color w:val="0D0D0D"/>
        </w:rPr>
        <w:t>Fig.29.Gap</w:t>
      </w:r>
      <w:r>
        <w:rPr>
          <w:color w:val="0D0D0D"/>
          <w:spacing w:val="-1"/>
        </w:rPr>
        <w:t> </w:t>
      </w:r>
      <w:r>
        <w:rPr>
          <w:color w:val="0D0D0D"/>
        </w:rPr>
        <w:t>statistics</w:t>
      </w:r>
      <w:r>
        <w:rPr>
          <w:color w:val="0D0D0D"/>
          <w:spacing w:val="-2"/>
        </w:rPr>
        <w:t> </w:t>
      </w:r>
      <w:r>
        <w:rPr>
          <w:color w:val="0D0D0D"/>
        </w:rPr>
        <w:t>versus</w:t>
      </w:r>
      <w:r>
        <w:rPr>
          <w:color w:val="0D0D0D"/>
          <w:spacing w:val="-1"/>
        </w:rPr>
        <w:t> </w:t>
      </w:r>
      <w:r>
        <w:rPr>
          <w:color w:val="0D0D0D"/>
        </w:rPr>
        <w:t>number</w:t>
      </w:r>
      <w:r>
        <w:rPr>
          <w:color w:val="0D0D0D"/>
          <w:spacing w:val="-2"/>
        </w:rPr>
        <w:t> </w:t>
      </w:r>
      <w:r>
        <w:rPr>
          <w:color w:val="0D0D0D"/>
        </w:rPr>
        <w:t>of</w:t>
      </w:r>
      <w:r>
        <w:rPr>
          <w:color w:val="0D0D0D"/>
          <w:spacing w:val="-1"/>
        </w:rPr>
        <w:t> </w:t>
      </w:r>
      <w:r>
        <w:rPr>
          <w:color w:val="0D0D0D"/>
          <w:spacing w:val="-2"/>
        </w:rPr>
        <w:t>clusters</w:t>
      </w:r>
    </w:p>
    <w:p>
      <w:pPr>
        <w:pStyle w:val="BodyText"/>
      </w:pPr>
    </w:p>
    <w:p>
      <w:pPr>
        <w:pStyle w:val="BodyText"/>
        <w:ind w:left="1015" w:right="1260"/>
      </w:pPr>
      <w:r>
        <w:rPr/>
        <w:t>Cluster</w:t>
      </w:r>
      <w:r>
        <w:rPr>
          <w:spacing w:val="-5"/>
        </w:rPr>
        <w:t> </w:t>
      </w:r>
      <w:r>
        <w:rPr/>
        <w:t>1:</w:t>
      </w:r>
      <w:r>
        <w:rPr>
          <w:spacing w:val="40"/>
        </w:rPr>
        <w:t> </w:t>
      </w:r>
      <w:r>
        <w:rPr/>
        <w:t>BAJAJ-AUTO.NS,</w:t>
      </w:r>
      <w:r>
        <w:rPr>
          <w:spacing w:val="-5"/>
        </w:rPr>
        <w:t> </w:t>
      </w:r>
      <w:r>
        <w:rPr/>
        <w:t>EICHERMOT.NS,</w:t>
      </w:r>
      <w:r>
        <w:rPr>
          <w:spacing w:val="-5"/>
        </w:rPr>
        <w:t> </w:t>
      </w:r>
      <w:r>
        <w:rPr/>
        <w:t>GRASIM.NS,</w:t>
      </w:r>
      <w:r>
        <w:rPr>
          <w:spacing w:val="-5"/>
        </w:rPr>
        <w:t> </w:t>
      </w:r>
      <w:r>
        <w:rPr/>
        <w:t>M&amp;M.NS,</w:t>
      </w:r>
      <w:r>
        <w:rPr>
          <w:spacing w:val="-5"/>
        </w:rPr>
        <w:t> </w:t>
      </w:r>
      <w:r>
        <w:rPr/>
        <w:t>MARUTI.NS, SHREECEM.NS, TATAMOTORS.NS, ULTRACEMCO.NS</w:t>
      </w:r>
    </w:p>
    <w:p>
      <w:pPr>
        <w:pStyle w:val="BodyText"/>
        <w:ind w:left="1015" w:right="1260"/>
      </w:pPr>
      <w:r>
        <w:rPr/>
        <w:t>Cluster</w:t>
      </w:r>
      <w:r>
        <w:rPr>
          <w:spacing w:val="-8"/>
        </w:rPr>
        <w:t> </w:t>
      </w:r>
      <w:r>
        <w:rPr/>
        <w:t>2:</w:t>
      </w:r>
      <w:r>
        <w:rPr>
          <w:spacing w:val="-8"/>
        </w:rPr>
        <w:t> </w:t>
      </w:r>
      <w:r>
        <w:rPr/>
        <w:t>ADANIPORTS.NS,</w:t>
      </w:r>
      <w:r>
        <w:rPr>
          <w:spacing w:val="-8"/>
        </w:rPr>
        <w:t> </w:t>
      </w:r>
      <w:r>
        <w:rPr/>
        <w:t>ASIANPAINT.NS,</w:t>
      </w:r>
      <w:r>
        <w:rPr>
          <w:spacing w:val="-8"/>
        </w:rPr>
        <w:t> </w:t>
      </w:r>
      <w:r>
        <w:rPr/>
        <w:t>BHARTIARTL.NS,</w:t>
      </w:r>
      <w:r>
        <w:rPr>
          <w:spacing w:val="-6"/>
        </w:rPr>
        <w:t> </w:t>
      </w:r>
      <w:r>
        <w:rPr/>
        <w:t>ITC.NS, RELIANCE.NS, SBILIFE.NS, TITAN.NS, UPL.NS</w:t>
      </w:r>
    </w:p>
    <w:p>
      <w:pPr>
        <w:pStyle w:val="BodyText"/>
        <w:ind w:left="1015" w:right="1174"/>
      </w:pPr>
      <w:r>
        <w:rPr/>
        <w:t>Cluster</w:t>
      </w:r>
      <w:r>
        <w:rPr>
          <w:spacing w:val="-5"/>
        </w:rPr>
        <w:t> </w:t>
      </w:r>
      <w:r>
        <w:rPr/>
        <w:t>3:</w:t>
      </w:r>
      <w:r>
        <w:rPr>
          <w:spacing w:val="-5"/>
        </w:rPr>
        <w:t> </w:t>
      </w:r>
      <w:r>
        <w:rPr/>
        <w:t>BPCL.NS,</w:t>
      </w:r>
      <w:r>
        <w:rPr>
          <w:spacing w:val="-7"/>
        </w:rPr>
        <w:t> </w:t>
      </w:r>
      <w:r>
        <w:rPr/>
        <w:t>COALINDIA.NS,</w:t>
      </w:r>
      <w:r>
        <w:rPr>
          <w:spacing w:val="-5"/>
        </w:rPr>
        <w:t> </w:t>
      </w:r>
      <w:r>
        <w:rPr/>
        <w:t>GAIL.NS,</w:t>
      </w:r>
      <w:r>
        <w:rPr>
          <w:spacing w:val="-5"/>
        </w:rPr>
        <w:t> </w:t>
      </w:r>
      <w:r>
        <w:rPr/>
        <w:t>IOC.NS,</w:t>
      </w:r>
      <w:r>
        <w:rPr>
          <w:spacing w:val="-5"/>
        </w:rPr>
        <w:t> </w:t>
      </w:r>
      <w:r>
        <w:rPr/>
        <w:t>NTPC.NS,</w:t>
      </w:r>
      <w:r>
        <w:rPr>
          <w:spacing w:val="-5"/>
        </w:rPr>
        <w:t> </w:t>
      </w:r>
      <w:r>
        <w:rPr/>
        <w:t>ONGC.NS,</w:t>
      </w:r>
      <w:r>
        <w:rPr>
          <w:spacing w:val="-5"/>
        </w:rPr>
        <w:t> </w:t>
      </w:r>
      <w:r>
        <w:rPr/>
        <w:t>POWER </w:t>
      </w:r>
      <w:r>
        <w:rPr>
          <w:spacing w:val="-2"/>
        </w:rPr>
        <w:t>GRID.NS</w:t>
      </w:r>
    </w:p>
    <w:p>
      <w:pPr>
        <w:pStyle w:val="BodyText"/>
        <w:ind w:left="1015" w:right="2202"/>
      </w:pPr>
      <w:r>
        <w:rPr/>
        <w:t>Cluster</w:t>
      </w:r>
      <w:r>
        <w:rPr>
          <w:spacing w:val="-8"/>
        </w:rPr>
        <w:t> </w:t>
      </w:r>
      <w:r>
        <w:rPr/>
        <w:t>4:</w:t>
      </w:r>
      <w:r>
        <w:rPr>
          <w:spacing w:val="-8"/>
        </w:rPr>
        <w:t> </w:t>
      </w:r>
      <w:r>
        <w:rPr/>
        <w:t>CIPLA.NS,</w:t>
      </w:r>
      <w:r>
        <w:rPr>
          <w:spacing w:val="-8"/>
        </w:rPr>
        <w:t> </w:t>
      </w:r>
      <w:r>
        <w:rPr/>
        <w:t>DIVISLAB.NS,</w:t>
      </w:r>
      <w:r>
        <w:rPr>
          <w:spacing w:val="-8"/>
        </w:rPr>
        <w:t> </w:t>
      </w:r>
      <w:r>
        <w:rPr/>
        <w:t>'DRREDDY.NS,</w:t>
      </w:r>
      <w:r>
        <w:rPr>
          <w:spacing w:val="-8"/>
        </w:rPr>
        <w:t> </w:t>
      </w:r>
      <w:r>
        <w:rPr/>
        <w:t>SUNPHARMA.NS Cluster 5: AXISBANK.NS, ICICIBANK.NS, LT.NS, SBIN.NS</w:t>
      </w:r>
    </w:p>
    <w:p>
      <w:pPr>
        <w:pStyle w:val="BodyText"/>
        <w:spacing w:after="0"/>
        <w:sectPr>
          <w:pgSz w:w="11910" w:h="16840"/>
          <w:pgMar w:top="1460" w:bottom="280" w:left="425" w:right="283"/>
        </w:sectPr>
      </w:pPr>
    </w:p>
    <w:p>
      <w:pPr>
        <w:pStyle w:val="BodyText"/>
        <w:spacing w:before="60"/>
        <w:ind w:left="1015" w:right="1260"/>
      </w:pPr>
      <w:r>
        <w:rPr/>
        <w:t>Cluster</w:t>
      </w:r>
      <w:r>
        <w:rPr>
          <w:spacing w:val="-7"/>
        </w:rPr>
        <w:t> </w:t>
      </w:r>
      <w:r>
        <w:rPr/>
        <w:t>6:</w:t>
      </w:r>
      <w:r>
        <w:rPr>
          <w:spacing w:val="-7"/>
        </w:rPr>
        <w:t> </w:t>
      </w:r>
      <w:r>
        <w:rPr/>
        <w:t>BAJAJFINSV.NS,</w:t>
      </w:r>
      <w:r>
        <w:rPr>
          <w:spacing w:val="-7"/>
        </w:rPr>
        <w:t> </w:t>
      </w:r>
      <w:r>
        <w:rPr/>
        <w:t>BAJFINANCE.NS,</w:t>
      </w:r>
      <w:r>
        <w:rPr>
          <w:spacing w:val="-6"/>
        </w:rPr>
        <w:t> </w:t>
      </w:r>
      <w:r>
        <w:rPr/>
        <w:t>HDFCBANK.NS,</w:t>
      </w:r>
      <w:r>
        <w:rPr>
          <w:spacing w:val="-6"/>
        </w:rPr>
        <w:t> </w:t>
      </w:r>
      <w:r>
        <w:rPr/>
        <w:t>INDUSINDBK.NS, </w:t>
      </w:r>
      <w:r>
        <w:rPr>
          <w:spacing w:val="-2"/>
        </w:rPr>
        <w:t>KOTAKBANK.NS</w:t>
      </w:r>
    </w:p>
    <w:p>
      <w:pPr>
        <w:pStyle w:val="BodyText"/>
        <w:spacing w:before="1"/>
        <w:ind w:left="1015" w:right="3067"/>
      </w:pPr>
      <w:r>
        <w:rPr/>
        <w:t>Cluster</w:t>
      </w:r>
      <w:r>
        <w:rPr>
          <w:spacing w:val="-10"/>
        </w:rPr>
        <w:t> </w:t>
      </w:r>
      <w:r>
        <w:rPr/>
        <w:t>7:</w:t>
      </w:r>
      <w:r>
        <w:rPr>
          <w:spacing w:val="-10"/>
        </w:rPr>
        <w:t> </w:t>
      </w:r>
      <w:r>
        <w:rPr/>
        <w:t>BRITANNIA.NS,</w:t>
      </w:r>
      <w:r>
        <w:rPr>
          <w:spacing w:val="-10"/>
        </w:rPr>
        <w:t> </w:t>
      </w:r>
      <w:r>
        <w:rPr/>
        <w:t>HINDUNILVR.NS,</w:t>
      </w:r>
      <w:r>
        <w:rPr>
          <w:spacing w:val="-10"/>
        </w:rPr>
        <w:t> </w:t>
      </w:r>
      <w:r>
        <w:rPr/>
        <w:t>NESTLEIND.NS Cluster 8: HINDALCO.NS, JSWSTEEL.NS, TATASTEEL.NS</w:t>
      </w:r>
    </w:p>
    <w:p>
      <w:pPr>
        <w:pStyle w:val="BodyText"/>
        <w:ind w:left="1015"/>
      </w:pPr>
      <w:r>
        <w:rPr/>
        <w:t>Cluster</w:t>
      </w:r>
      <w:r>
        <w:rPr>
          <w:spacing w:val="-4"/>
        </w:rPr>
        <w:t> </w:t>
      </w:r>
      <w:r>
        <w:rPr/>
        <w:t>9:</w:t>
      </w:r>
      <w:r>
        <w:rPr>
          <w:spacing w:val="-2"/>
        </w:rPr>
        <w:t> </w:t>
      </w:r>
      <w:r>
        <w:rPr/>
        <w:t>HCLTECH.NS,INFY.NS,</w:t>
      </w:r>
      <w:r>
        <w:rPr>
          <w:spacing w:val="-2"/>
        </w:rPr>
        <w:t> </w:t>
      </w:r>
      <w:r>
        <w:rPr/>
        <w:t>TCS.NS,</w:t>
      </w:r>
      <w:r>
        <w:rPr>
          <w:spacing w:val="-2"/>
        </w:rPr>
        <w:t> </w:t>
      </w:r>
      <w:r>
        <w:rPr/>
        <w:t>TECHM.NS,</w:t>
      </w:r>
      <w:r>
        <w:rPr>
          <w:spacing w:val="-1"/>
        </w:rPr>
        <w:t> </w:t>
      </w:r>
      <w:r>
        <w:rPr>
          <w:spacing w:val="-2"/>
        </w:rPr>
        <w:t>WIPRO.NS</w:t>
      </w:r>
    </w:p>
    <w:p>
      <w:pPr>
        <w:pStyle w:val="BodyText"/>
        <w:ind w:left="1015"/>
      </w:pPr>
      <w:r>
        <w:rPr/>
        <w:t>Cluster</w:t>
      </w:r>
      <w:r>
        <w:rPr>
          <w:spacing w:val="-1"/>
        </w:rPr>
        <w:t> </w:t>
      </w:r>
      <w:r>
        <w:rPr/>
        <w:t>10: </w:t>
      </w:r>
      <w:r>
        <w:rPr>
          <w:spacing w:val="-2"/>
        </w:rPr>
        <w:t>HDFC.NS</w:t>
      </w:r>
    </w:p>
    <w:p>
      <w:pPr>
        <w:pStyle w:val="BodyText"/>
        <w:spacing w:before="46"/>
        <w:rPr>
          <w:sz w:val="20"/>
        </w:rPr>
      </w:pPr>
    </w:p>
    <w:tbl>
      <w:tblPr>
        <w:tblW w:w="0" w:type="auto"/>
        <w:jc w:val="left"/>
        <w:tblInd w:w="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1826"/>
        <w:gridCol w:w="1186"/>
      </w:tblGrid>
      <w:tr>
        <w:trPr>
          <w:trHeight w:val="476" w:hRule="atLeast"/>
        </w:trPr>
        <w:tc>
          <w:tcPr>
            <w:tcW w:w="493" w:type="dxa"/>
          </w:tcPr>
          <w:p>
            <w:pPr>
              <w:pStyle w:val="TableParagraph"/>
              <w:spacing w:line="240" w:lineRule="auto" w:before="1"/>
              <w:ind w:left="50"/>
              <w:rPr>
                <w:rFonts w:ascii="Courier New"/>
                <w:sz w:val="21"/>
              </w:rPr>
            </w:pPr>
            <w:r>
              <w:rPr>
                <w:rFonts w:ascii="Courier New"/>
                <w:spacing w:val="-5"/>
                <w:sz w:val="21"/>
              </w:rPr>
              <w:t>HRP</w:t>
            </w:r>
          </w:p>
        </w:tc>
        <w:tc>
          <w:tcPr>
            <w:tcW w:w="1826" w:type="dxa"/>
          </w:tcPr>
          <w:p>
            <w:pPr>
              <w:pStyle w:val="TableParagraph"/>
              <w:spacing w:line="238" w:lineRule="exact" w:before="1"/>
              <w:ind w:left="62"/>
              <w:rPr>
                <w:rFonts w:ascii="Courier New"/>
                <w:sz w:val="21"/>
              </w:rPr>
            </w:pPr>
            <w:r>
              <w:rPr>
                <w:rFonts w:ascii="Courier New"/>
                <w:spacing w:val="-2"/>
                <w:sz w:val="21"/>
              </w:rPr>
              <w:t>Weights:</w:t>
            </w:r>
          </w:p>
          <w:p>
            <w:pPr>
              <w:pStyle w:val="TableParagraph"/>
              <w:ind w:left="944"/>
              <w:rPr>
                <w:rFonts w:ascii="Courier New"/>
                <w:sz w:val="21"/>
              </w:rPr>
            </w:pPr>
            <w:r>
              <w:rPr>
                <w:rFonts w:ascii="Courier New"/>
                <w:spacing w:val="-2"/>
                <w:sz w:val="21"/>
              </w:rPr>
              <w:t>Ticker</w:t>
            </w:r>
          </w:p>
        </w:tc>
        <w:tc>
          <w:tcPr>
            <w:tcW w:w="1186" w:type="dxa"/>
          </w:tcPr>
          <w:p>
            <w:pPr>
              <w:pStyle w:val="TableParagraph"/>
              <w:spacing w:before="238"/>
              <w:ind w:left="0" w:right="48"/>
              <w:jc w:val="right"/>
              <w:rPr>
                <w:rFonts w:ascii="Courier New"/>
                <w:sz w:val="21"/>
              </w:rPr>
            </w:pPr>
            <w:r>
              <w:rPr>
                <w:rFonts w:ascii="Courier New"/>
                <w:spacing w:val="-2"/>
                <w:sz w:val="21"/>
              </w:rPr>
              <w:t>Weight</w:t>
            </w:r>
          </w:p>
        </w:tc>
      </w:tr>
      <w:tr>
        <w:trPr>
          <w:trHeight w:val="237" w:hRule="atLeast"/>
        </w:trPr>
        <w:tc>
          <w:tcPr>
            <w:tcW w:w="493" w:type="dxa"/>
          </w:tcPr>
          <w:p>
            <w:pPr>
              <w:pStyle w:val="TableParagraph"/>
              <w:ind w:left="50"/>
              <w:rPr>
                <w:rFonts w:ascii="Courier New"/>
                <w:sz w:val="21"/>
              </w:rPr>
            </w:pPr>
            <w:r>
              <w:rPr>
                <w:rFonts w:ascii="Courier New"/>
                <w:spacing w:val="-10"/>
                <w:sz w:val="21"/>
              </w:rPr>
              <w:t>0</w:t>
            </w:r>
          </w:p>
        </w:tc>
        <w:tc>
          <w:tcPr>
            <w:tcW w:w="1826" w:type="dxa"/>
          </w:tcPr>
          <w:p>
            <w:pPr>
              <w:pStyle w:val="TableParagraph"/>
              <w:ind w:left="0" w:right="122"/>
              <w:jc w:val="right"/>
              <w:rPr>
                <w:rFonts w:ascii="Courier New"/>
                <w:sz w:val="21"/>
              </w:rPr>
            </w:pPr>
            <w:r>
              <w:rPr>
                <w:rFonts w:ascii="Courier New"/>
                <w:spacing w:val="-2"/>
                <w:sz w:val="21"/>
              </w:rPr>
              <w:t>ADANIPORTS.NS</w:t>
            </w:r>
          </w:p>
        </w:tc>
        <w:tc>
          <w:tcPr>
            <w:tcW w:w="1186" w:type="dxa"/>
          </w:tcPr>
          <w:p>
            <w:pPr>
              <w:pStyle w:val="TableParagraph"/>
              <w:ind w:left="0" w:right="48"/>
              <w:jc w:val="right"/>
              <w:rPr>
                <w:rFonts w:ascii="Courier New"/>
                <w:sz w:val="21"/>
              </w:rPr>
            </w:pPr>
            <w:r>
              <w:rPr>
                <w:rFonts w:ascii="Courier New"/>
                <w:spacing w:val="-2"/>
                <w:sz w:val="21"/>
              </w:rPr>
              <w:t>0.013454</w:t>
            </w:r>
          </w:p>
        </w:tc>
      </w:tr>
      <w:tr>
        <w:trPr>
          <w:trHeight w:val="237" w:hRule="atLeast"/>
        </w:trPr>
        <w:tc>
          <w:tcPr>
            <w:tcW w:w="493" w:type="dxa"/>
          </w:tcPr>
          <w:p>
            <w:pPr>
              <w:pStyle w:val="TableParagraph"/>
              <w:ind w:left="50"/>
              <w:rPr>
                <w:rFonts w:ascii="Courier New"/>
                <w:sz w:val="21"/>
              </w:rPr>
            </w:pPr>
            <w:r>
              <w:rPr>
                <w:rFonts w:ascii="Courier New"/>
                <w:spacing w:val="-10"/>
                <w:sz w:val="21"/>
              </w:rPr>
              <w:t>1</w:t>
            </w:r>
          </w:p>
        </w:tc>
        <w:tc>
          <w:tcPr>
            <w:tcW w:w="1826" w:type="dxa"/>
          </w:tcPr>
          <w:p>
            <w:pPr>
              <w:pStyle w:val="TableParagraph"/>
              <w:ind w:left="0" w:right="122"/>
              <w:jc w:val="right"/>
              <w:rPr>
                <w:rFonts w:ascii="Courier New"/>
                <w:sz w:val="21"/>
              </w:rPr>
            </w:pPr>
            <w:r>
              <w:rPr>
                <w:rFonts w:ascii="Courier New"/>
                <w:spacing w:val="-2"/>
                <w:sz w:val="21"/>
              </w:rPr>
              <w:t>ASIANPAINT.NS</w:t>
            </w:r>
          </w:p>
        </w:tc>
        <w:tc>
          <w:tcPr>
            <w:tcW w:w="1186" w:type="dxa"/>
          </w:tcPr>
          <w:p>
            <w:pPr>
              <w:pStyle w:val="TableParagraph"/>
              <w:ind w:left="0" w:right="48"/>
              <w:jc w:val="right"/>
              <w:rPr>
                <w:rFonts w:ascii="Courier New"/>
                <w:sz w:val="21"/>
              </w:rPr>
            </w:pPr>
            <w:r>
              <w:rPr>
                <w:rFonts w:ascii="Courier New"/>
                <w:spacing w:val="-2"/>
                <w:sz w:val="21"/>
              </w:rPr>
              <w:t>0.006020</w:t>
            </w:r>
          </w:p>
        </w:tc>
      </w:tr>
      <w:tr>
        <w:trPr>
          <w:trHeight w:val="238" w:hRule="atLeast"/>
        </w:trPr>
        <w:tc>
          <w:tcPr>
            <w:tcW w:w="493" w:type="dxa"/>
          </w:tcPr>
          <w:p>
            <w:pPr>
              <w:pStyle w:val="TableParagraph"/>
              <w:spacing w:line="219" w:lineRule="exact"/>
              <w:ind w:left="50"/>
              <w:rPr>
                <w:rFonts w:ascii="Courier New"/>
                <w:sz w:val="21"/>
              </w:rPr>
            </w:pPr>
            <w:r>
              <w:rPr>
                <w:rFonts w:ascii="Courier New"/>
                <w:spacing w:val="-10"/>
                <w:sz w:val="21"/>
              </w:rPr>
              <w:t>2</w:t>
            </w:r>
          </w:p>
        </w:tc>
        <w:tc>
          <w:tcPr>
            <w:tcW w:w="1826" w:type="dxa"/>
          </w:tcPr>
          <w:p>
            <w:pPr>
              <w:pStyle w:val="TableParagraph"/>
              <w:spacing w:line="219" w:lineRule="exact"/>
              <w:ind w:left="0" w:right="122"/>
              <w:jc w:val="right"/>
              <w:rPr>
                <w:rFonts w:ascii="Courier New"/>
                <w:sz w:val="21"/>
              </w:rPr>
            </w:pPr>
            <w:r>
              <w:rPr>
                <w:rFonts w:ascii="Courier New"/>
                <w:spacing w:val="-2"/>
                <w:sz w:val="21"/>
              </w:rPr>
              <w:t>AXISBANK.NS</w:t>
            </w:r>
          </w:p>
        </w:tc>
        <w:tc>
          <w:tcPr>
            <w:tcW w:w="1186" w:type="dxa"/>
          </w:tcPr>
          <w:p>
            <w:pPr>
              <w:pStyle w:val="TableParagraph"/>
              <w:spacing w:line="219" w:lineRule="exact"/>
              <w:ind w:left="0" w:right="48"/>
              <w:jc w:val="right"/>
              <w:rPr>
                <w:rFonts w:ascii="Courier New"/>
                <w:sz w:val="21"/>
              </w:rPr>
            </w:pPr>
            <w:r>
              <w:rPr>
                <w:rFonts w:ascii="Courier New"/>
                <w:spacing w:val="-2"/>
                <w:sz w:val="21"/>
              </w:rPr>
              <w:t>0.049415</w:t>
            </w:r>
          </w:p>
        </w:tc>
      </w:tr>
      <w:tr>
        <w:trPr>
          <w:trHeight w:val="238" w:hRule="atLeast"/>
        </w:trPr>
        <w:tc>
          <w:tcPr>
            <w:tcW w:w="493" w:type="dxa"/>
          </w:tcPr>
          <w:p>
            <w:pPr>
              <w:pStyle w:val="TableParagraph"/>
              <w:spacing w:before="1"/>
              <w:ind w:left="50"/>
              <w:rPr>
                <w:rFonts w:ascii="Courier New"/>
                <w:sz w:val="21"/>
              </w:rPr>
            </w:pPr>
            <w:r>
              <w:rPr>
                <w:rFonts w:ascii="Courier New"/>
                <w:spacing w:val="-10"/>
                <w:sz w:val="21"/>
              </w:rPr>
              <w:t>3</w:t>
            </w:r>
          </w:p>
        </w:tc>
        <w:tc>
          <w:tcPr>
            <w:tcW w:w="1826" w:type="dxa"/>
          </w:tcPr>
          <w:p>
            <w:pPr>
              <w:pStyle w:val="TableParagraph"/>
              <w:spacing w:before="1"/>
              <w:ind w:left="0" w:right="122"/>
              <w:jc w:val="right"/>
              <w:rPr>
                <w:rFonts w:ascii="Courier New"/>
                <w:sz w:val="21"/>
              </w:rPr>
            </w:pPr>
            <w:r>
              <w:rPr>
                <w:rFonts w:ascii="Courier New"/>
                <w:spacing w:val="-2"/>
                <w:sz w:val="21"/>
              </w:rPr>
              <w:t>BAJAJ-AUTO.NS</w:t>
            </w:r>
          </w:p>
        </w:tc>
        <w:tc>
          <w:tcPr>
            <w:tcW w:w="1186" w:type="dxa"/>
          </w:tcPr>
          <w:p>
            <w:pPr>
              <w:pStyle w:val="TableParagraph"/>
              <w:spacing w:before="1"/>
              <w:ind w:left="0" w:right="48"/>
              <w:jc w:val="right"/>
              <w:rPr>
                <w:rFonts w:ascii="Courier New"/>
                <w:sz w:val="21"/>
              </w:rPr>
            </w:pPr>
            <w:r>
              <w:rPr>
                <w:rFonts w:ascii="Courier New"/>
                <w:spacing w:val="-2"/>
                <w:sz w:val="21"/>
              </w:rPr>
              <w:t>0.005383</w:t>
            </w:r>
          </w:p>
        </w:tc>
      </w:tr>
      <w:tr>
        <w:trPr>
          <w:trHeight w:val="237" w:hRule="atLeast"/>
        </w:trPr>
        <w:tc>
          <w:tcPr>
            <w:tcW w:w="493" w:type="dxa"/>
          </w:tcPr>
          <w:p>
            <w:pPr>
              <w:pStyle w:val="TableParagraph"/>
              <w:ind w:left="50"/>
              <w:rPr>
                <w:rFonts w:ascii="Courier New"/>
                <w:sz w:val="21"/>
              </w:rPr>
            </w:pPr>
            <w:r>
              <w:rPr>
                <w:rFonts w:ascii="Courier New"/>
                <w:spacing w:val="-10"/>
                <w:sz w:val="21"/>
              </w:rPr>
              <w:t>4</w:t>
            </w:r>
          </w:p>
        </w:tc>
        <w:tc>
          <w:tcPr>
            <w:tcW w:w="1826" w:type="dxa"/>
          </w:tcPr>
          <w:p>
            <w:pPr>
              <w:pStyle w:val="TableParagraph"/>
              <w:ind w:left="0" w:right="122"/>
              <w:jc w:val="right"/>
              <w:rPr>
                <w:rFonts w:ascii="Courier New"/>
                <w:sz w:val="21"/>
              </w:rPr>
            </w:pPr>
            <w:r>
              <w:rPr>
                <w:rFonts w:ascii="Courier New"/>
                <w:spacing w:val="-2"/>
                <w:sz w:val="21"/>
              </w:rPr>
              <w:t>BAJAJFINSV.NS</w:t>
            </w:r>
          </w:p>
        </w:tc>
        <w:tc>
          <w:tcPr>
            <w:tcW w:w="1186" w:type="dxa"/>
          </w:tcPr>
          <w:p>
            <w:pPr>
              <w:pStyle w:val="TableParagraph"/>
              <w:ind w:left="0" w:right="48"/>
              <w:jc w:val="right"/>
              <w:rPr>
                <w:rFonts w:ascii="Courier New"/>
                <w:sz w:val="21"/>
              </w:rPr>
            </w:pPr>
            <w:r>
              <w:rPr>
                <w:rFonts w:ascii="Courier New"/>
                <w:spacing w:val="-2"/>
                <w:sz w:val="21"/>
              </w:rPr>
              <w:t>0.009785</w:t>
            </w:r>
          </w:p>
        </w:tc>
      </w:tr>
      <w:tr>
        <w:trPr>
          <w:trHeight w:val="237" w:hRule="atLeast"/>
        </w:trPr>
        <w:tc>
          <w:tcPr>
            <w:tcW w:w="493" w:type="dxa"/>
          </w:tcPr>
          <w:p>
            <w:pPr>
              <w:pStyle w:val="TableParagraph"/>
              <w:spacing w:line="218" w:lineRule="exact"/>
              <w:ind w:left="50"/>
              <w:rPr>
                <w:rFonts w:ascii="Courier New"/>
                <w:sz w:val="21"/>
              </w:rPr>
            </w:pPr>
            <w:r>
              <w:rPr>
                <w:rFonts w:ascii="Courier New"/>
                <w:spacing w:val="-10"/>
                <w:sz w:val="21"/>
              </w:rPr>
              <w:t>5</w:t>
            </w:r>
          </w:p>
        </w:tc>
        <w:tc>
          <w:tcPr>
            <w:tcW w:w="1826" w:type="dxa"/>
          </w:tcPr>
          <w:p>
            <w:pPr>
              <w:pStyle w:val="TableParagraph"/>
              <w:spacing w:line="218" w:lineRule="exact"/>
              <w:ind w:left="0" w:right="122"/>
              <w:jc w:val="right"/>
              <w:rPr>
                <w:rFonts w:ascii="Courier New"/>
                <w:sz w:val="21"/>
              </w:rPr>
            </w:pPr>
            <w:r>
              <w:rPr>
                <w:rFonts w:ascii="Courier New"/>
                <w:spacing w:val="-2"/>
                <w:sz w:val="21"/>
              </w:rPr>
              <w:t>BAJFINANCE.NS</w:t>
            </w:r>
          </w:p>
        </w:tc>
        <w:tc>
          <w:tcPr>
            <w:tcW w:w="1186" w:type="dxa"/>
          </w:tcPr>
          <w:p>
            <w:pPr>
              <w:pStyle w:val="TableParagraph"/>
              <w:spacing w:line="218" w:lineRule="exact"/>
              <w:ind w:left="0" w:right="48"/>
              <w:jc w:val="right"/>
              <w:rPr>
                <w:rFonts w:ascii="Courier New"/>
                <w:sz w:val="21"/>
              </w:rPr>
            </w:pPr>
            <w:r>
              <w:rPr>
                <w:rFonts w:ascii="Courier New"/>
                <w:spacing w:val="-2"/>
                <w:sz w:val="21"/>
              </w:rPr>
              <w:t>0.050904</w:t>
            </w:r>
          </w:p>
        </w:tc>
      </w:tr>
      <w:tr>
        <w:trPr>
          <w:trHeight w:val="237" w:hRule="atLeast"/>
        </w:trPr>
        <w:tc>
          <w:tcPr>
            <w:tcW w:w="493" w:type="dxa"/>
          </w:tcPr>
          <w:p>
            <w:pPr>
              <w:pStyle w:val="TableParagraph"/>
              <w:ind w:left="50"/>
              <w:rPr>
                <w:rFonts w:ascii="Courier New"/>
                <w:sz w:val="21"/>
              </w:rPr>
            </w:pPr>
            <w:r>
              <w:rPr>
                <w:rFonts w:ascii="Courier New"/>
                <w:spacing w:val="-10"/>
                <w:sz w:val="21"/>
              </w:rPr>
              <w:t>6</w:t>
            </w:r>
          </w:p>
        </w:tc>
        <w:tc>
          <w:tcPr>
            <w:tcW w:w="1826" w:type="dxa"/>
          </w:tcPr>
          <w:p>
            <w:pPr>
              <w:pStyle w:val="TableParagraph"/>
              <w:ind w:left="0" w:right="122"/>
              <w:jc w:val="right"/>
              <w:rPr>
                <w:rFonts w:ascii="Courier New"/>
                <w:sz w:val="21"/>
              </w:rPr>
            </w:pPr>
            <w:r>
              <w:rPr>
                <w:rFonts w:ascii="Courier New"/>
                <w:spacing w:val="-2"/>
                <w:sz w:val="21"/>
              </w:rPr>
              <w:t>BHARTIARTL.NS</w:t>
            </w:r>
          </w:p>
        </w:tc>
        <w:tc>
          <w:tcPr>
            <w:tcW w:w="1186" w:type="dxa"/>
          </w:tcPr>
          <w:p>
            <w:pPr>
              <w:pStyle w:val="TableParagraph"/>
              <w:ind w:left="0" w:right="48"/>
              <w:jc w:val="right"/>
              <w:rPr>
                <w:rFonts w:ascii="Courier New"/>
                <w:sz w:val="21"/>
              </w:rPr>
            </w:pPr>
            <w:r>
              <w:rPr>
                <w:rFonts w:ascii="Courier New"/>
                <w:spacing w:val="-2"/>
                <w:sz w:val="21"/>
              </w:rPr>
              <w:t>0.011752</w:t>
            </w:r>
          </w:p>
        </w:tc>
      </w:tr>
      <w:tr>
        <w:trPr>
          <w:trHeight w:val="237" w:hRule="atLeast"/>
        </w:trPr>
        <w:tc>
          <w:tcPr>
            <w:tcW w:w="493" w:type="dxa"/>
          </w:tcPr>
          <w:p>
            <w:pPr>
              <w:pStyle w:val="TableParagraph"/>
              <w:ind w:left="50"/>
              <w:rPr>
                <w:rFonts w:ascii="Courier New"/>
                <w:sz w:val="21"/>
              </w:rPr>
            </w:pPr>
            <w:r>
              <w:rPr>
                <w:rFonts w:ascii="Courier New"/>
                <w:spacing w:val="-10"/>
                <w:sz w:val="21"/>
              </w:rPr>
              <w:t>7</w:t>
            </w:r>
          </w:p>
        </w:tc>
        <w:tc>
          <w:tcPr>
            <w:tcW w:w="1826" w:type="dxa"/>
          </w:tcPr>
          <w:p>
            <w:pPr>
              <w:pStyle w:val="TableParagraph"/>
              <w:ind w:left="0" w:right="122"/>
              <w:jc w:val="right"/>
              <w:rPr>
                <w:rFonts w:ascii="Courier New"/>
                <w:sz w:val="21"/>
              </w:rPr>
            </w:pPr>
            <w:r>
              <w:rPr>
                <w:rFonts w:ascii="Courier New"/>
                <w:spacing w:val="-2"/>
                <w:sz w:val="21"/>
              </w:rPr>
              <w:t>BPCL.NS</w:t>
            </w:r>
          </w:p>
        </w:tc>
        <w:tc>
          <w:tcPr>
            <w:tcW w:w="1186" w:type="dxa"/>
          </w:tcPr>
          <w:p>
            <w:pPr>
              <w:pStyle w:val="TableParagraph"/>
              <w:ind w:left="0" w:right="48"/>
              <w:jc w:val="right"/>
              <w:rPr>
                <w:rFonts w:ascii="Courier New"/>
                <w:sz w:val="21"/>
              </w:rPr>
            </w:pPr>
            <w:r>
              <w:rPr>
                <w:rFonts w:ascii="Courier New"/>
                <w:spacing w:val="-2"/>
                <w:sz w:val="21"/>
              </w:rPr>
              <w:t>0.014854</w:t>
            </w:r>
          </w:p>
        </w:tc>
      </w:tr>
      <w:tr>
        <w:trPr>
          <w:trHeight w:val="237" w:hRule="atLeast"/>
        </w:trPr>
        <w:tc>
          <w:tcPr>
            <w:tcW w:w="493" w:type="dxa"/>
          </w:tcPr>
          <w:p>
            <w:pPr>
              <w:pStyle w:val="TableParagraph"/>
              <w:ind w:left="50"/>
              <w:rPr>
                <w:rFonts w:ascii="Courier New"/>
                <w:sz w:val="21"/>
              </w:rPr>
            </w:pPr>
            <w:r>
              <w:rPr>
                <w:rFonts w:ascii="Courier New"/>
                <w:spacing w:val="-10"/>
                <w:sz w:val="21"/>
              </w:rPr>
              <w:t>8</w:t>
            </w:r>
          </w:p>
        </w:tc>
        <w:tc>
          <w:tcPr>
            <w:tcW w:w="1826" w:type="dxa"/>
          </w:tcPr>
          <w:p>
            <w:pPr>
              <w:pStyle w:val="TableParagraph"/>
              <w:ind w:left="0" w:right="122"/>
              <w:jc w:val="right"/>
              <w:rPr>
                <w:rFonts w:ascii="Courier New"/>
                <w:sz w:val="21"/>
              </w:rPr>
            </w:pPr>
            <w:r>
              <w:rPr>
                <w:rFonts w:ascii="Courier New"/>
                <w:spacing w:val="-2"/>
                <w:sz w:val="21"/>
              </w:rPr>
              <w:t>BRITANNIA.NS</w:t>
            </w:r>
          </w:p>
        </w:tc>
        <w:tc>
          <w:tcPr>
            <w:tcW w:w="1186" w:type="dxa"/>
          </w:tcPr>
          <w:p>
            <w:pPr>
              <w:pStyle w:val="TableParagraph"/>
              <w:ind w:left="0" w:right="48"/>
              <w:jc w:val="right"/>
              <w:rPr>
                <w:rFonts w:ascii="Courier New"/>
                <w:sz w:val="21"/>
              </w:rPr>
            </w:pPr>
            <w:r>
              <w:rPr>
                <w:rFonts w:ascii="Courier New"/>
                <w:spacing w:val="-2"/>
                <w:sz w:val="21"/>
              </w:rPr>
              <w:t>0.033917</w:t>
            </w:r>
          </w:p>
        </w:tc>
      </w:tr>
      <w:tr>
        <w:trPr>
          <w:trHeight w:val="237" w:hRule="atLeast"/>
        </w:trPr>
        <w:tc>
          <w:tcPr>
            <w:tcW w:w="493" w:type="dxa"/>
          </w:tcPr>
          <w:p>
            <w:pPr>
              <w:pStyle w:val="TableParagraph"/>
              <w:ind w:left="50"/>
              <w:rPr>
                <w:rFonts w:ascii="Courier New"/>
                <w:sz w:val="21"/>
              </w:rPr>
            </w:pPr>
            <w:r>
              <w:rPr>
                <w:rFonts w:ascii="Courier New"/>
                <w:spacing w:val="-10"/>
                <w:sz w:val="21"/>
              </w:rPr>
              <w:t>9</w:t>
            </w:r>
          </w:p>
        </w:tc>
        <w:tc>
          <w:tcPr>
            <w:tcW w:w="1826" w:type="dxa"/>
          </w:tcPr>
          <w:p>
            <w:pPr>
              <w:pStyle w:val="TableParagraph"/>
              <w:ind w:left="0" w:right="122"/>
              <w:jc w:val="right"/>
              <w:rPr>
                <w:rFonts w:ascii="Courier New"/>
                <w:sz w:val="21"/>
              </w:rPr>
            </w:pPr>
            <w:r>
              <w:rPr>
                <w:rFonts w:ascii="Courier New"/>
                <w:spacing w:val="-2"/>
                <w:sz w:val="21"/>
              </w:rPr>
              <w:t>CIPLA.NS</w:t>
            </w:r>
          </w:p>
        </w:tc>
        <w:tc>
          <w:tcPr>
            <w:tcW w:w="1186" w:type="dxa"/>
          </w:tcPr>
          <w:p>
            <w:pPr>
              <w:pStyle w:val="TableParagraph"/>
              <w:ind w:left="0" w:right="48"/>
              <w:jc w:val="right"/>
              <w:rPr>
                <w:rFonts w:ascii="Courier New"/>
                <w:sz w:val="21"/>
              </w:rPr>
            </w:pPr>
            <w:r>
              <w:rPr>
                <w:rFonts w:ascii="Courier New"/>
                <w:spacing w:val="-2"/>
                <w:sz w:val="21"/>
              </w:rPr>
              <w:t>0.007529</w:t>
            </w:r>
          </w:p>
        </w:tc>
      </w:tr>
      <w:tr>
        <w:trPr>
          <w:trHeight w:val="238" w:hRule="atLeast"/>
        </w:trPr>
        <w:tc>
          <w:tcPr>
            <w:tcW w:w="493" w:type="dxa"/>
          </w:tcPr>
          <w:p>
            <w:pPr>
              <w:pStyle w:val="TableParagraph"/>
              <w:spacing w:line="219" w:lineRule="exact"/>
              <w:ind w:left="50"/>
              <w:rPr>
                <w:rFonts w:ascii="Courier New"/>
                <w:sz w:val="21"/>
              </w:rPr>
            </w:pPr>
            <w:r>
              <w:rPr>
                <w:rFonts w:ascii="Courier New"/>
                <w:spacing w:val="-5"/>
                <w:sz w:val="21"/>
              </w:rPr>
              <w:t>10</w:t>
            </w:r>
          </w:p>
        </w:tc>
        <w:tc>
          <w:tcPr>
            <w:tcW w:w="1826" w:type="dxa"/>
          </w:tcPr>
          <w:p>
            <w:pPr>
              <w:pStyle w:val="TableParagraph"/>
              <w:spacing w:line="219" w:lineRule="exact"/>
              <w:ind w:left="0" w:right="122"/>
              <w:jc w:val="right"/>
              <w:rPr>
                <w:rFonts w:ascii="Courier New"/>
                <w:sz w:val="21"/>
              </w:rPr>
            </w:pPr>
            <w:r>
              <w:rPr>
                <w:rFonts w:ascii="Courier New"/>
                <w:spacing w:val="-2"/>
                <w:sz w:val="21"/>
              </w:rPr>
              <w:t>COALINDIA.NS</w:t>
            </w:r>
          </w:p>
        </w:tc>
        <w:tc>
          <w:tcPr>
            <w:tcW w:w="1186" w:type="dxa"/>
          </w:tcPr>
          <w:p>
            <w:pPr>
              <w:pStyle w:val="TableParagraph"/>
              <w:spacing w:line="219" w:lineRule="exact"/>
              <w:ind w:left="0" w:right="48"/>
              <w:jc w:val="right"/>
              <w:rPr>
                <w:rFonts w:ascii="Courier New"/>
                <w:sz w:val="21"/>
              </w:rPr>
            </w:pPr>
            <w:r>
              <w:rPr>
                <w:rFonts w:ascii="Courier New"/>
                <w:spacing w:val="-2"/>
                <w:sz w:val="21"/>
              </w:rPr>
              <w:t>0.009270</w:t>
            </w:r>
          </w:p>
        </w:tc>
      </w:tr>
      <w:tr>
        <w:trPr>
          <w:trHeight w:val="238" w:hRule="atLeast"/>
        </w:trPr>
        <w:tc>
          <w:tcPr>
            <w:tcW w:w="493" w:type="dxa"/>
          </w:tcPr>
          <w:p>
            <w:pPr>
              <w:pStyle w:val="TableParagraph"/>
              <w:spacing w:before="1"/>
              <w:ind w:left="50"/>
              <w:rPr>
                <w:rFonts w:ascii="Courier New"/>
                <w:sz w:val="21"/>
              </w:rPr>
            </w:pPr>
            <w:r>
              <w:rPr>
                <w:rFonts w:ascii="Courier New"/>
                <w:spacing w:val="-5"/>
                <w:sz w:val="21"/>
              </w:rPr>
              <w:t>11</w:t>
            </w:r>
          </w:p>
        </w:tc>
        <w:tc>
          <w:tcPr>
            <w:tcW w:w="1826" w:type="dxa"/>
          </w:tcPr>
          <w:p>
            <w:pPr>
              <w:pStyle w:val="TableParagraph"/>
              <w:spacing w:before="1"/>
              <w:ind w:left="0" w:right="122"/>
              <w:jc w:val="right"/>
              <w:rPr>
                <w:rFonts w:ascii="Courier New"/>
                <w:sz w:val="21"/>
              </w:rPr>
            </w:pPr>
            <w:r>
              <w:rPr>
                <w:rFonts w:ascii="Courier New"/>
                <w:spacing w:val="-2"/>
                <w:sz w:val="21"/>
              </w:rPr>
              <w:t>DIVISLAB.NS</w:t>
            </w:r>
          </w:p>
        </w:tc>
        <w:tc>
          <w:tcPr>
            <w:tcW w:w="1186" w:type="dxa"/>
          </w:tcPr>
          <w:p>
            <w:pPr>
              <w:pStyle w:val="TableParagraph"/>
              <w:spacing w:before="1"/>
              <w:ind w:left="0" w:right="48"/>
              <w:jc w:val="right"/>
              <w:rPr>
                <w:rFonts w:ascii="Courier New"/>
                <w:sz w:val="21"/>
              </w:rPr>
            </w:pPr>
            <w:r>
              <w:rPr>
                <w:rFonts w:ascii="Courier New"/>
                <w:spacing w:val="-2"/>
                <w:sz w:val="21"/>
              </w:rPr>
              <w:t>0.042703</w:t>
            </w:r>
          </w:p>
        </w:tc>
      </w:tr>
      <w:tr>
        <w:trPr>
          <w:trHeight w:val="237" w:hRule="atLeast"/>
        </w:trPr>
        <w:tc>
          <w:tcPr>
            <w:tcW w:w="493" w:type="dxa"/>
          </w:tcPr>
          <w:p>
            <w:pPr>
              <w:pStyle w:val="TableParagraph"/>
              <w:ind w:left="50"/>
              <w:rPr>
                <w:rFonts w:ascii="Courier New"/>
                <w:sz w:val="21"/>
              </w:rPr>
            </w:pPr>
            <w:r>
              <w:rPr>
                <w:rFonts w:ascii="Courier New"/>
                <w:spacing w:val="-5"/>
                <w:sz w:val="21"/>
              </w:rPr>
              <w:t>12</w:t>
            </w:r>
          </w:p>
        </w:tc>
        <w:tc>
          <w:tcPr>
            <w:tcW w:w="1826" w:type="dxa"/>
          </w:tcPr>
          <w:p>
            <w:pPr>
              <w:pStyle w:val="TableParagraph"/>
              <w:ind w:left="0" w:right="122"/>
              <w:jc w:val="right"/>
              <w:rPr>
                <w:rFonts w:ascii="Courier New"/>
                <w:sz w:val="21"/>
              </w:rPr>
            </w:pPr>
            <w:r>
              <w:rPr>
                <w:rFonts w:ascii="Courier New"/>
                <w:spacing w:val="-2"/>
                <w:sz w:val="21"/>
              </w:rPr>
              <w:t>DRREDDY.NS</w:t>
            </w:r>
          </w:p>
        </w:tc>
        <w:tc>
          <w:tcPr>
            <w:tcW w:w="1186" w:type="dxa"/>
          </w:tcPr>
          <w:p>
            <w:pPr>
              <w:pStyle w:val="TableParagraph"/>
              <w:ind w:left="0" w:right="48"/>
              <w:jc w:val="right"/>
              <w:rPr>
                <w:rFonts w:ascii="Courier New"/>
                <w:sz w:val="21"/>
              </w:rPr>
            </w:pPr>
            <w:r>
              <w:rPr>
                <w:rFonts w:ascii="Courier New"/>
                <w:spacing w:val="-2"/>
                <w:sz w:val="21"/>
              </w:rPr>
              <w:t>0.007547</w:t>
            </w:r>
          </w:p>
        </w:tc>
      </w:tr>
      <w:tr>
        <w:trPr>
          <w:trHeight w:val="237" w:hRule="atLeast"/>
        </w:trPr>
        <w:tc>
          <w:tcPr>
            <w:tcW w:w="493" w:type="dxa"/>
          </w:tcPr>
          <w:p>
            <w:pPr>
              <w:pStyle w:val="TableParagraph"/>
              <w:ind w:left="50"/>
              <w:rPr>
                <w:rFonts w:ascii="Courier New"/>
                <w:sz w:val="21"/>
              </w:rPr>
            </w:pPr>
            <w:r>
              <w:rPr>
                <w:rFonts w:ascii="Courier New"/>
                <w:spacing w:val="-5"/>
                <w:sz w:val="21"/>
              </w:rPr>
              <w:t>13</w:t>
            </w:r>
          </w:p>
        </w:tc>
        <w:tc>
          <w:tcPr>
            <w:tcW w:w="1826" w:type="dxa"/>
          </w:tcPr>
          <w:p>
            <w:pPr>
              <w:pStyle w:val="TableParagraph"/>
              <w:ind w:left="0" w:right="122"/>
              <w:jc w:val="right"/>
              <w:rPr>
                <w:rFonts w:ascii="Courier New"/>
                <w:sz w:val="21"/>
              </w:rPr>
            </w:pPr>
            <w:r>
              <w:rPr>
                <w:rFonts w:ascii="Courier New"/>
                <w:spacing w:val="-2"/>
                <w:sz w:val="21"/>
              </w:rPr>
              <w:t>EICHERMOT.NS</w:t>
            </w:r>
          </w:p>
        </w:tc>
        <w:tc>
          <w:tcPr>
            <w:tcW w:w="1186" w:type="dxa"/>
          </w:tcPr>
          <w:p>
            <w:pPr>
              <w:pStyle w:val="TableParagraph"/>
              <w:ind w:left="0" w:right="48"/>
              <w:jc w:val="right"/>
              <w:rPr>
                <w:rFonts w:ascii="Courier New"/>
                <w:sz w:val="21"/>
              </w:rPr>
            </w:pPr>
            <w:r>
              <w:rPr>
                <w:rFonts w:ascii="Courier New"/>
                <w:spacing w:val="-2"/>
                <w:sz w:val="21"/>
              </w:rPr>
              <w:t>0.010826</w:t>
            </w:r>
          </w:p>
        </w:tc>
      </w:tr>
      <w:tr>
        <w:trPr>
          <w:trHeight w:val="237" w:hRule="atLeast"/>
        </w:trPr>
        <w:tc>
          <w:tcPr>
            <w:tcW w:w="493" w:type="dxa"/>
          </w:tcPr>
          <w:p>
            <w:pPr>
              <w:pStyle w:val="TableParagraph"/>
              <w:ind w:left="50"/>
              <w:rPr>
                <w:rFonts w:ascii="Courier New"/>
                <w:sz w:val="21"/>
              </w:rPr>
            </w:pPr>
            <w:r>
              <w:rPr>
                <w:rFonts w:ascii="Courier New"/>
                <w:spacing w:val="-5"/>
                <w:sz w:val="21"/>
              </w:rPr>
              <w:t>14</w:t>
            </w:r>
          </w:p>
        </w:tc>
        <w:tc>
          <w:tcPr>
            <w:tcW w:w="1826" w:type="dxa"/>
          </w:tcPr>
          <w:p>
            <w:pPr>
              <w:pStyle w:val="TableParagraph"/>
              <w:ind w:left="0" w:right="122"/>
              <w:jc w:val="right"/>
              <w:rPr>
                <w:rFonts w:ascii="Courier New"/>
                <w:sz w:val="21"/>
              </w:rPr>
            </w:pPr>
            <w:r>
              <w:rPr>
                <w:rFonts w:ascii="Courier New"/>
                <w:spacing w:val="-2"/>
                <w:sz w:val="21"/>
              </w:rPr>
              <w:t>GAIL.NS</w:t>
            </w:r>
          </w:p>
        </w:tc>
        <w:tc>
          <w:tcPr>
            <w:tcW w:w="1186" w:type="dxa"/>
          </w:tcPr>
          <w:p>
            <w:pPr>
              <w:pStyle w:val="TableParagraph"/>
              <w:ind w:left="0" w:right="48"/>
              <w:jc w:val="right"/>
              <w:rPr>
                <w:rFonts w:ascii="Courier New"/>
                <w:sz w:val="21"/>
              </w:rPr>
            </w:pPr>
            <w:r>
              <w:rPr>
                <w:rFonts w:ascii="Courier New"/>
                <w:spacing w:val="-2"/>
                <w:sz w:val="21"/>
              </w:rPr>
              <w:t>0.043539</w:t>
            </w:r>
          </w:p>
        </w:tc>
      </w:tr>
      <w:tr>
        <w:trPr>
          <w:trHeight w:val="237" w:hRule="atLeast"/>
        </w:trPr>
        <w:tc>
          <w:tcPr>
            <w:tcW w:w="493" w:type="dxa"/>
          </w:tcPr>
          <w:p>
            <w:pPr>
              <w:pStyle w:val="TableParagraph"/>
              <w:ind w:left="50"/>
              <w:rPr>
                <w:rFonts w:ascii="Courier New"/>
                <w:sz w:val="21"/>
              </w:rPr>
            </w:pPr>
            <w:r>
              <w:rPr>
                <w:rFonts w:ascii="Courier New"/>
                <w:spacing w:val="-5"/>
                <w:sz w:val="21"/>
              </w:rPr>
              <w:t>15</w:t>
            </w:r>
          </w:p>
        </w:tc>
        <w:tc>
          <w:tcPr>
            <w:tcW w:w="1826" w:type="dxa"/>
          </w:tcPr>
          <w:p>
            <w:pPr>
              <w:pStyle w:val="TableParagraph"/>
              <w:ind w:left="0" w:right="122"/>
              <w:jc w:val="right"/>
              <w:rPr>
                <w:rFonts w:ascii="Courier New"/>
                <w:sz w:val="21"/>
              </w:rPr>
            </w:pPr>
            <w:r>
              <w:rPr>
                <w:rFonts w:ascii="Courier New"/>
                <w:spacing w:val="-2"/>
                <w:sz w:val="21"/>
              </w:rPr>
              <w:t>GRASIM.NS</w:t>
            </w:r>
          </w:p>
        </w:tc>
        <w:tc>
          <w:tcPr>
            <w:tcW w:w="1186" w:type="dxa"/>
          </w:tcPr>
          <w:p>
            <w:pPr>
              <w:pStyle w:val="TableParagraph"/>
              <w:ind w:left="0" w:right="47"/>
              <w:jc w:val="right"/>
              <w:rPr>
                <w:rFonts w:ascii="Courier New"/>
                <w:sz w:val="21"/>
              </w:rPr>
            </w:pPr>
            <w:r>
              <w:rPr>
                <w:rFonts w:ascii="Courier New"/>
                <w:spacing w:val="-2"/>
                <w:sz w:val="21"/>
              </w:rPr>
              <w:t>0.010609</w:t>
            </w:r>
          </w:p>
        </w:tc>
      </w:tr>
      <w:tr>
        <w:trPr>
          <w:trHeight w:val="237" w:hRule="atLeast"/>
        </w:trPr>
        <w:tc>
          <w:tcPr>
            <w:tcW w:w="493" w:type="dxa"/>
          </w:tcPr>
          <w:p>
            <w:pPr>
              <w:pStyle w:val="TableParagraph"/>
              <w:ind w:left="50"/>
              <w:rPr>
                <w:rFonts w:ascii="Courier New"/>
                <w:sz w:val="21"/>
              </w:rPr>
            </w:pPr>
            <w:r>
              <w:rPr>
                <w:rFonts w:ascii="Courier New"/>
                <w:spacing w:val="-5"/>
                <w:sz w:val="21"/>
              </w:rPr>
              <w:t>16</w:t>
            </w:r>
          </w:p>
        </w:tc>
        <w:tc>
          <w:tcPr>
            <w:tcW w:w="1826" w:type="dxa"/>
          </w:tcPr>
          <w:p>
            <w:pPr>
              <w:pStyle w:val="TableParagraph"/>
              <w:ind w:left="0" w:right="122"/>
              <w:jc w:val="right"/>
              <w:rPr>
                <w:rFonts w:ascii="Courier New"/>
                <w:sz w:val="21"/>
              </w:rPr>
            </w:pPr>
            <w:r>
              <w:rPr>
                <w:rFonts w:ascii="Courier New"/>
                <w:spacing w:val="-2"/>
                <w:sz w:val="21"/>
              </w:rPr>
              <w:t>HCLTECH.NS</w:t>
            </w:r>
          </w:p>
        </w:tc>
        <w:tc>
          <w:tcPr>
            <w:tcW w:w="1186" w:type="dxa"/>
          </w:tcPr>
          <w:p>
            <w:pPr>
              <w:pStyle w:val="TableParagraph"/>
              <w:ind w:left="0" w:right="48"/>
              <w:jc w:val="right"/>
              <w:rPr>
                <w:rFonts w:ascii="Courier New"/>
                <w:sz w:val="21"/>
              </w:rPr>
            </w:pPr>
            <w:r>
              <w:rPr>
                <w:rFonts w:ascii="Courier New"/>
                <w:spacing w:val="-2"/>
                <w:sz w:val="21"/>
              </w:rPr>
              <w:t>0.009203</w:t>
            </w:r>
          </w:p>
        </w:tc>
      </w:tr>
      <w:tr>
        <w:trPr>
          <w:trHeight w:val="237" w:hRule="atLeast"/>
        </w:trPr>
        <w:tc>
          <w:tcPr>
            <w:tcW w:w="493" w:type="dxa"/>
          </w:tcPr>
          <w:p>
            <w:pPr>
              <w:pStyle w:val="TableParagraph"/>
              <w:ind w:left="50"/>
              <w:rPr>
                <w:rFonts w:ascii="Courier New"/>
                <w:sz w:val="21"/>
              </w:rPr>
            </w:pPr>
            <w:r>
              <w:rPr>
                <w:rFonts w:ascii="Courier New"/>
                <w:spacing w:val="-5"/>
                <w:sz w:val="21"/>
              </w:rPr>
              <w:t>17</w:t>
            </w:r>
          </w:p>
        </w:tc>
        <w:tc>
          <w:tcPr>
            <w:tcW w:w="1826" w:type="dxa"/>
          </w:tcPr>
          <w:p>
            <w:pPr>
              <w:pStyle w:val="TableParagraph"/>
              <w:ind w:left="0" w:right="122"/>
              <w:jc w:val="right"/>
              <w:rPr>
                <w:rFonts w:ascii="Courier New"/>
                <w:sz w:val="21"/>
              </w:rPr>
            </w:pPr>
            <w:r>
              <w:rPr>
                <w:rFonts w:ascii="Courier New"/>
                <w:spacing w:val="-2"/>
                <w:sz w:val="21"/>
              </w:rPr>
              <w:t>HDFC.NS</w:t>
            </w:r>
          </w:p>
        </w:tc>
        <w:tc>
          <w:tcPr>
            <w:tcW w:w="1186" w:type="dxa"/>
          </w:tcPr>
          <w:p>
            <w:pPr>
              <w:pStyle w:val="TableParagraph"/>
              <w:ind w:left="0" w:right="48"/>
              <w:jc w:val="right"/>
              <w:rPr>
                <w:rFonts w:ascii="Courier New"/>
                <w:sz w:val="21"/>
              </w:rPr>
            </w:pPr>
            <w:r>
              <w:rPr>
                <w:rFonts w:ascii="Courier New"/>
                <w:spacing w:val="-2"/>
                <w:sz w:val="21"/>
              </w:rPr>
              <w:t>0.025055</w:t>
            </w:r>
          </w:p>
        </w:tc>
      </w:tr>
      <w:tr>
        <w:trPr>
          <w:trHeight w:val="237" w:hRule="atLeast"/>
        </w:trPr>
        <w:tc>
          <w:tcPr>
            <w:tcW w:w="493" w:type="dxa"/>
          </w:tcPr>
          <w:p>
            <w:pPr>
              <w:pStyle w:val="TableParagraph"/>
              <w:ind w:left="50"/>
              <w:rPr>
                <w:rFonts w:ascii="Courier New"/>
                <w:sz w:val="21"/>
              </w:rPr>
            </w:pPr>
            <w:r>
              <w:rPr>
                <w:rFonts w:ascii="Courier New"/>
                <w:spacing w:val="-5"/>
                <w:sz w:val="21"/>
              </w:rPr>
              <w:t>18</w:t>
            </w:r>
          </w:p>
        </w:tc>
        <w:tc>
          <w:tcPr>
            <w:tcW w:w="1826" w:type="dxa"/>
          </w:tcPr>
          <w:p>
            <w:pPr>
              <w:pStyle w:val="TableParagraph"/>
              <w:ind w:left="0" w:right="122"/>
              <w:jc w:val="right"/>
              <w:rPr>
                <w:rFonts w:ascii="Courier New"/>
                <w:sz w:val="21"/>
              </w:rPr>
            </w:pPr>
            <w:r>
              <w:rPr>
                <w:rFonts w:ascii="Courier New"/>
                <w:spacing w:val="-2"/>
                <w:sz w:val="21"/>
              </w:rPr>
              <w:t>HDFCBANK.NS</w:t>
            </w:r>
          </w:p>
        </w:tc>
        <w:tc>
          <w:tcPr>
            <w:tcW w:w="1186" w:type="dxa"/>
          </w:tcPr>
          <w:p>
            <w:pPr>
              <w:pStyle w:val="TableParagraph"/>
              <w:ind w:left="0" w:right="48"/>
              <w:jc w:val="right"/>
              <w:rPr>
                <w:rFonts w:ascii="Courier New"/>
                <w:sz w:val="21"/>
              </w:rPr>
            </w:pPr>
            <w:r>
              <w:rPr>
                <w:rFonts w:ascii="Courier New"/>
                <w:spacing w:val="-2"/>
                <w:sz w:val="21"/>
              </w:rPr>
              <w:t>0.060915</w:t>
            </w:r>
          </w:p>
        </w:tc>
      </w:tr>
      <w:tr>
        <w:trPr>
          <w:trHeight w:val="238" w:hRule="atLeast"/>
        </w:trPr>
        <w:tc>
          <w:tcPr>
            <w:tcW w:w="493" w:type="dxa"/>
          </w:tcPr>
          <w:p>
            <w:pPr>
              <w:pStyle w:val="TableParagraph"/>
              <w:spacing w:line="219" w:lineRule="exact"/>
              <w:ind w:left="50"/>
              <w:rPr>
                <w:rFonts w:ascii="Courier New"/>
                <w:sz w:val="21"/>
              </w:rPr>
            </w:pPr>
            <w:r>
              <w:rPr>
                <w:rFonts w:ascii="Courier New"/>
                <w:spacing w:val="-5"/>
                <w:sz w:val="21"/>
              </w:rPr>
              <w:t>19</w:t>
            </w:r>
          </w:p>
        </w:tc>
        <w:tc>
          <w:tcPr>
            <w:tcW w:w="1826" w:type="dxa"/>
          </w:tcPr>
          <w:p>
            <w:pPr>
              <w:pStyle w:val="TableParagraph"/>
              <w:spacing w:line="219" w:lineRule="exact"/>
              <w:ind w:left="0" w:right="122"/>
              <w:jc w:val="right"/>
              <w:rPr>
                <w:rFonts w:ascii="Courier New"/>
                <w:sz w:val="21"/>
              </w:rPr>
            </w:pPr>
            <w:r>
              <w:rPr>
                <w:rFonts w:ascii="Courier New"/>
                <w:spacing w:val="-2"/>
                <w:sz w:val="21"/>
              </w:rPr>
              <w:t>HINDALCO.NS</w:t>
            </w:r>
          </w:p>
        </w:tc>
        <w:tc>
          <w:tcPr>
            <w:tcW w:w="1186" w:type="dxa"/>
          </w:tcPr>
          <w:p>
            <w:pPr>
              <w:pStyle w:val="TableParagraph"/>
              <w:spacing w:line="219" w:lineRule="exact"/>
              <w:ind w:left="0" w:right="48"/>
              <w:jc w:val="right"/>
              <w:rPr>
                <w:rFonts w:ascii="Courier New"/>
                <w:sz w:val="21"/>
              </w:rPr>
            </w:pPr>
            <w:r>
              <w:rPr>
                <w:rFonts w:ascii="Courier New"/>
                <w:spacing w:val="-2"/>
                <w:sz w:val="21"/>
              </w:rPr>
              <w:t>0.019181</w:t>
            </w:r>
          </w:p>
        </w:tc>
      </w:tr>
      <w:tr>
        <w:trPr>
          <w:trHeight w:val="239" w:hRule="atLeast"/>
        </w:trPr>
        <w:tc>
          <w:tcPr>
            <w:tcW w:w="493" w:type="dxa"/>
          </w:tcPr>
          <w:p>
            <w:pPr>
              <w:pStyle w:val="TableParagraph"/>
              <w:spacing w:line="218" w:lineRule="exact" w:before="1"/>
              <w:ind w:left="50"/>
              <w:rPr>
                <w:rFonts w:ascii="Courier New"/>
                <w:sz w:val="21"/>
              </w:rPr>
            </w:pPr>
            <w:r>
              <w:rPr>
                <w:rFonts w:ascii="Courier New"/>
                <w:spacing w:val="-5"/>
                <w:sz w:val="21"/>
              </w:rPr>
              <w:t>20</w:t>
            </w:r>
          </w:p>
        </w:tc>
        <w:tc>
          <w:tcPr>
            <w:tcW w:w="1826" w:type="dxa"/>
          </w:tcPr>
          <w:p>
            <w:pPr>
              <w:pStyle w:val="TableParagraph"/>
              <w:spacing w:line="218" w:lineRule="exact" w:before="1"/>
              <w:ind w:left="0" w:right="122"/>
              <w:jc w:val="right"/>
              <w:rPr>
                <w:rFonts w:ascii="Courier New"/>
                <w:sz w:val="21"/>
              </w:rPr>
            </w:pPr>
            <w:r>
              <w:rPr>
                <w:rFonts w:ascii="Courier New"/>
                <w:spacing w:val="-2"/>
                <w:sz w:val="21"/>
              </w:rPr>
              <w:t>HINDUNILVR.NS</w:t>
            </w:r>
          </w:p>
        </w:tc>
        <w:tc>
          <w:tcPr>
            <w:tcW w:w="1186" w:type="dxa"/>
          </w:tcPr>
          <w:p>
            <w:pPr>
              <w:pStyle w:val="TableParagraph"/>
              <w:spacing w:line="218" w:lineRule="exact" w:before="1"/>
              <w:ind w:left="0" w:right="48"/>
              <w:jc w:val="right"/>
              <w:rPr>
                <w:rFonts w:ascii="Courier New"/>
                <w:sz w:val="21"/>
              </w:rPr>
            </w:pPr>
            <w:r>
              <w:rPr>
                <w:rFonts w:ascii="Courier New"/>
                <w:spacing w:val="-2"/>
                <w:sz w:val="21"/>
              </w:rPr>
              <w:t>0.012469</w:t>
            </w:r>
          </w:p>
        </w:tc>
      </w:tr>
      <w:tr>
        <w:trPr>
          <w:trHeight w:val="237" w:hRule="atLeast"/>
        </w:trPr>
        <w:tc>
          <w:tcPr>
            <w:tcW w:w="493" w:type="dxa"/>
          </w:tcPr>
          <w:p>
            <w:pPr>
              <w:pStyle w:val="TableParagraph"/>
              <w:ind w:left="50"/>
              <w:rPr>
                <w:rFonts w:ascii="Courier New"/>
                <w:sz w:val="21"/>
              </w:rPr>
            </w:pPr>
            <w:r>
              <w:rPr>
                <w:rFonts w:ascii="Courier New"/>
                <w:spacing w:val="-5"/>
                <w:sz w:val="21"/>
              </w:rPr>
              <w:t>21</w:t>
            </w:r>
          </w:p>
        </w:tc>
        <w:tc>
          <w:tcPr>
            <w:tcW w:w="1826" w:type="dxa"/>
          </w:tcPr>
          <w:p>
            <w:pPr>
              <w:pStyle w:val="TableParagraph"/>
              <w:ind w:left="0" w:right="122"/>
              <w:jc w:val="right"/>
              <w:rPr>
                <w:rFonts w:ascii="Courier New"/>
                <w:sz w:val="21"/>
              </w:rPr>
            </w:pPr>
            <w:r>
              <w:rPr>
                <w:rFonts w:ascii="Courier New"/>
                <w:spacing w:val="-2"/>
                <w:sz w:val="21"/>
              </w:rPr>
              <w:t>ICICIBANK.NS</w:t>
            </w:r>
          </w:p>
        </w:tc>
        <w:tc>
          <w:tcPr>
            <w:tcW w:w="1186" w:type="dxa"/>
          </w:tcPr>
          <w:p>
            <w:pPr>
              <w:pStyle w:val="TableParagraph"/>
              <w:ind w:left="0" w:right="48"/>
              <w:jc w:val="right"/>
              <w:rPr>
                <w:rFonts w:ascii="Courier New"/>
                <w:sz w:val="21"/>
              </w:rPr>
            </w:pPr>
            <w:r>
              <w:rPr>
                <w:rFonts w:ascii="Courier New"/>
                <w:spacing w:val="-2"/>
                <w:sz w:val="21"/>
              </w:rPr>
              <w:t>0.019481</w:t>
            </w:r>
          </w:p>
        </w:tc>
      </w:tr>
      <w:tr>
        <w:trPr>
          <w:trHeight w:val="237" w:hRule="atLeast"/>
        </w:trPr>
        <w:tc>
          <w:tcPr>
            <w:tcW w:w="493" w:type="dxa"/>
          </w:tcPr>
          <w:p>
            <w:pPr>
              <w:pStyle w:val="TableParagraph"/>
              <w:ind w:left="50"/>
              <w:rPr>
                <w:rFonts w:ascii="Courier New"/>
                <w:sz w:val="21"/>
              </w:rPr>
            </w:pPr>
            <w:r>
              <w:rPr>
                <w:rFonts w:ascii="Courier New"/>
                <w:spacing w:val="-5"/>
                <w:sz w:val="21"/>
              </w:rPr>
              <w:t>22</w:t>
            </w:r>
          </w:p>
        </w:tc>
        <w:tc>
          <w:tcPr>
            <w:tcW w:w="1826" w:type="dxa"/>
          </w:tcPr>
          <w:p>
            <w:pPr>
              <w:pStyle w:val="TableParagraph"/>
              <w:ind w:left="0" w:right="122"/>
              <w:jc w:val="right"/>
              <w:rPr>
                <w:rFonts w:ascii="Courier New"/>
                <w:sz w:val="21"/>
              </w:rPr>
            </w:pPr>
            <w:r>
              <w:rPr>
                <w:rFonts w:ascii="Courier New"/>
                <w:spacing w:val="-2"/>
                <w:sz w:val="21"/>
              </w:rPr>
              <w:t>INDUSINDBK.NS</w:t>
            </w:r>
          </w:p>
        </w:tc>
        <w:tc>
          <w:tcPr>
            <w:tcW w:w="1186" w:type="dxa"/>
          </w:tcPr>
          <w:p>
            <w:pPr>
              <w:pStyle w:val="TableParagraph"/>
              <w:ind w:left="0" w:right="48"/>
              <w:jc w:val="right"/>
              <w:rPr>
                <w:rFonts w:ascii="Courier New"/>
                <w:sz w:val="21"/>
              </w:rPr>
            </w:pPr>
            <w:r>
              <w:rPr>
                <w:rFonts w:ascii="Courier New"/>
                <w:spacing w:val="-2"/>
                <w:sz w:val="21"/>
              </w:rPr>
              <w:t>0.036662</w:t>
            </w:r>
          </w:p>
        </w:tc>
      </w:tr>
      <w:tr>
        <w:trPr>
          <w:trHeight w:val="237" w:hRule="atLeast"/>
        </w:trPr>
        <w:tc>
          <w:tcPr>
            <w:tcW w:w="493" w:type="dxa"/>
          </w:tcPr>
          <w:p>
            <w:pPr>
              <w:pStyle w:val="TableParagraph"/>
              <w:ind w:left="50"/>
              <w:rPr>
                <w:rFonts w:ascii="Courier New"/>
                <w:sz w:val="21"/>
              </w:rPr>
            </w:pPr>
            <w:r>
              <w:rPr>
                <w:rFonts w:ascii="Courier New"/>
                <w:spacing w:val="-5"/>
                <w:sz w:val="21"/>
              </w:rPr>
              <w:t>23</w:t>
            </w:r>
          </w:p>
        </w:tc>
        <w:tc>
          <w:tcPr>
            <w:tcW w:w="1826" w:type="dxa"/>
          </w:tcPr>
          <w:p>
            <w:pPr>
              <w:pStyle w:val="TableParagraph"/>
              <w:ind w:left="0" w:right="122"/>
              <w:jc w:val="right"/>
              <w:rPr>
                <w:rFonts w:ascii="Courier New"/>
                <w:sz w:val="21"/>
              </w:rPr>
            </w:pPr>
            <w:r>
              <w:rPr>
                <w:rFonts w:ascii="Courier New"/>
                <w:spacing w:val="-2"/>
                <w:sz w:val="21"/>
              </w:rPr>
              <w:t>INFY.NS</w:t>
            </w:r>
          </w:p>
        </w:tc>
        <w:tc>
          <w:tcPr>
            <w:tcW w:w="1186" w:type="dxa"/>
          </w:tcPr>
          <w:p>
            <w:pPr>
              <w:pStyle w:val="TableParagraph"/>
              <w:ind w:left="0" w:right="48"/>
              <w:jc w:val="right"/>
              <w:rPr>
                <w:rFonts w:ascii="Courier New"/>
                <w:sz w:val="21"/>
              </w:rPr>
            </w:pPr>
            <w:r>
              <w:rPr>
                <w:rFonts w:ascii="Courier New"/>
                <w:spacing w:val="-2"/>
                <w:sz w:val="21"/>
              </w:rPr>
              <w:t>0.008592</w:t>
            </w:r>
          </w:p>
        </w:tc>
      </w:tr>
      <w:tr>
        <w:trPr>
          <w:trHeight w:val="237" w:hRule="atLeast"/>
        </w:trPr>
        <w:tc>
          <w:tcPr>
            <w:tcW w:w="493" w:type="dxa"/>
          </w:tcPr>
          <w:p>
            <w:pPr>
              <w:pStyle w:val="TableParagraph"/>
              <w:ind w:left="50"/>
              <w:rPr>
                <w:rFonts w:ascii="Courier New"/>
                <w:sz w:val="21"/>
              </w:rPr>
            </w:pPr>
            <w:r>
              <w:rPr>
                <w:rFonts w:ascii="Courier New"/>
                <w:spacing w:val="-5"/>
                <w:sz w:val="21"/>
              </w:rPr>
              <w:t>24</w:t>
            </w:r>
          </w:p>
        </w:tc>
        <w:tc>
          <w:tcPr>
            <w:tcW w:w="1826" w:type="dxa"/>
          </w:tcPr>
          <w:p>
            <w:pPr>
              <w:pStyle w:val="TableParagraph"/>
              <w:ind w:left="0" w:right="122"/>
              <w:jc w:val="right"/>
              <w:rPr>
                <w:rFonts w:ascii="Courier New"/>
                <w:sz w:val="21"/>
              </w:rPr>
            </w:pPr>
            <w:r>
              <w:rPr>
                <w:rFonts w:ascii="Courier New"/>
                <w:spacing w:val="-2"/>
                <w:sz w:val="21"/>
              </w:rPr>
              <w:t>IOC.NS</w:t>
            </w:r>
          </w:p>
        </w:tc>
        <w:tc>
          <w:tcPr>
            <w:tcW w:w="1186" w:type="dxa"/>
          </w:tcPr>
          <w:p>
            <w:pPr>
              <w:pStyle w:val="TableParagraph"/>
              <w:ind w:left="0" w:right="48"/>
              <w:jc w:val="right"/>
              <w:rPr>
                <w:rFonts w:ascii="Courier New"/>
                <w:sz w:val="21"/>
              </w:rPr>
            </w:pPr>
            <w:r>
              <w:rPr>
                <w:rFonts w:ascii="Courier New"/>
                <w:spacing w:val="-2"/>
                <w:sz w:val="21"/>
              </w:rPr>
              <w:t>0.005840</w:t>
            </w:r>
          </w:p>
        </w:tc>
      </w:tr>
      <w:tr>
        <w:trPr>
          <w:trHeight w:val="237" w:hRule="atLeast"/>
        </w:trPr>
        <w:tc>
          <w:tcPr>
            <w:tcW w:w="493" w:type="dxa"/>
          </w:tcPr>
          <w:p>
            <w:pPr>
              <w:pStyle w:val="TableParagraph"/>
              <w:ind w:left="50"/>
              <w:rPr>
                <w:rFonts w:ascii="Courier New"/>
                <w:sz w:val="21"/>
              </w:rPr>
            </w:pPr>
            <w:r>
              <w:rPr>
                <w:rFonts w:ascii="Courier New"/>
                <w:spacing w:val="-5"/>
                <w:sz w:val="21"/>
              </w:rPr>
              <w:t>25</w:t>
            </w:r>
          </w:p>
        </w:tc>
        <w:tc>
          <w:tcPr>
            <w:tcW w:w="1826" w:type="dxa"/>
          </w:tcPr>
          <w:p>
            <w:pPr>
              <w:pStyle w:val="TableParagraph"/>
              <w:ind w:left="0" w:right="122"/>
              <w:jc w:val="right"/>
              <w:rPr>
                <w:rFonts w:ascii="Courier New"/>
                <w:sz w:val="21"/>
              </w:rPr>
            </w:pPr>
            <w:r>
              <w:rPr>
                <w:rFonts w:ascii="Courier New"/>
                <w:spacing w:val="-2"/>
                <w:sz w:val="21"/>
              </w:rPr>
              <w:t>ITC.NS</w:t>
            </w:r>
          </w:p>
        </w:tc>
        <w:tc>
          <w:tcPr>
            <w:tcW w:w="1186" w:type="dxa"/>
          </w:tcPr>
          <w:p>
            <w:pPr>
              <w:pStyle w:val="TableParagraph"/>
              <w:ind w:left="0" w:right="48"/>
              <w:jc w:val="right"/>
              <w:rPr>
                <w:rFonts w:ascii="Courier New"/>
                <w:sz w:val="21"/>
              </w:rPr>
            </w:pPr>
            <w:r>
              <w:rPr>
                <w:rFonts w:ascii="Courier New"/>
                <w:spacing w:val="-2"/>
                <w:sz w:val="21"/>
              </w:rPr>
              <w:t>0.045753</w:t>
            </w:r>
          </w:p>
        </w:tc>
      </w:tr>
      <w:tr>
        <w:trPr>
          <w:trHeight w:val="237" w:hRule="atLeast"/>
        </w:trPr>
        <w:tc>
          <w:tcPr>
            <w:tcW w:w="493" w:type="dxa"/>
          </w:tcPr>
          <w:p>
            <w:pPr>
              <w:pStyle w:val="TableParagraph"/>
              <w:ind w:left="50"/>
              <w:rPr>
                <w:rFonts w:ascii="Courier New"/>
                <w:sz w:val="21"/>
              </w:rPr>
            </w:pPr>
            <w:r>
              <w:rPr>
                <w:rFonts w:ascii="Courier New"/>
                <w:spacing w:val="-5"/>
                <w:sz w:val="21"/>
              </w:rPr>
              <w:t>26</w:t>
            </w:r>
          </w:p>
        </w:tc>
        <w:tc>
          <w:tcPr>
            <w:tcW w:w="1826" w:type="dxa"/>
          </w:tcPr>
          <w:p>
            <w:pPr>
              <w:pStyle w:val="TableParagraph"/>
              <w:ind w:left="0" w:right="122"/>
              <w:jc w:val="right"/>
              <w:rPr>
                <w:rFonts w:ascii="Courier New"/>
                <w:sz w:val="21"/>
              </w:rPr>
            </w:pPr>
            <w:r>
              <w:rPr>
                <w:rFonts w:ascii="Courier New"/>
                <w:spacing w:val="-2"/>
                <w:sz w:val="21"/>
              </w:rPr>
              <w:t>JSWSTEEL.NS</w:t>
            </w:r>
          </w:p>
        </w:tc>
        <w:tc>
          <w:tcPr>
            <w:tcW w:w="1186" w:type="dxa"/>
          </w:tcPr>
          <w:p>
            <w:pPr>
              <w:pStyle w:val="TableParagraph"/>
              <w:ind w:left="0" w:right="48"/>
              <w:jc w:val="right"/>
              <w:rPr>
                <w:rFonts w:ascii="Courier New"/>
                <w:sz w:val="21"/>
              </w:rPr>
            </w:pPr>
            <w:r>
              <w:rPr>
                <w:rFonts w:ascii="Courier New"/>
                <w:spacing w:val="-2"/>
                <w:sz w:val="21"/>
              </w:rPr>
              <w:t>0.007549</w:t>
            </w:r>
          </w:p>
        </w:tc>
      </w:tr>
      <w:tr>
        <w:trPr>
          <w:trHeight w:val="238" w:hRule="atLeast"/>
        </w:trPr>
        <w:tc>
          <w:tcPr>
            <w:tcW w:w="493" w:type="dxa"/>
          </w:tcPr>
          <w:p>
            <w:pPr>
              <w:pStyle w:val="TableParagraph"/>
              <w:spacing w:line="219" w:lineRule="exact"/>
              <w:ind w:left="50"/>
              <w:rPr>
                <w:rFonts w:ascii="Courier New"/>
                <w:sz w:val="21"/>
              </w:rPr>
            </w:pPr>
            <w:r>
              <w:rPr>
                <w:rFonts w:ascii="Courier New"/>
                <w:spacing w:val="-5"/>
                <w:sz w:val="21"/>
              </w:rPr>
              <w:t>27</w:t>
            </w:r>
          </w:p>
        </w:tc>
        <w:tc>
          <w:tcPr>
            <w:tcW w:w="1826" w:type="dxa"/>
          </w:tcPr>
          <w:p>
            <w:pPr>
              <w:pStyle w:val="TableParagraph"/>
              <w:spacing w:line="219" w:lineRule="exact"/>
              <w:ind w:left="0" w:right="122"/>
              <w:jc w:val="right"/>
              <w:rPr>
                <w:rFonts w:ascii="Courier New"/>
                <w:sz w:val="21"/>
              </w:rPr>
            </w:pPr>
            <w:r>
              <w:rPr>
                <w:rFonts w:ascii="Courier New"/>
                <w:spacing w:val="-2"/>
                <w:sz w:val="21"/>
              </w:rPr>
              <w:t>KOTAKBANK.NS</w:t>
            </w:r>
          </w:p>
        </w:tc>
        <w:tc>
          <w:tcPr>
            <w:tcW w:w="1186" w:type="dxa"/>
          </w:tcPr>
          <w:p>
            <w:pPr>
              <w:pStyle w:val="TableParagraph"/>
              <w:spacing w:line="219" w:lineRule="exact"/>
              <w:ind w:left="0" w:right="48"/>
              <w:jc w:val="right"/>
              <w:rPr>
                <w:rFonts w:ascii="Courier New"/>
                <w:sz w:val="21"/>
              </w:rPr>
            </w:pPr>
            <w:r>
              <w:rPr>
                <w:rFonts w:ascii="Courier New"/>
                <w:spacing w:val="-2"/>
                <w:sz w:val="21"/>
              </w:rPr>
              <w:t>0.007730</w:t>
            </w:r>
          </w:p>
        </w:tc>
      </w:tr>
      <w:tr>
        <w:trPr>
          <w:trHeight w:val="238" w:hRule="atLeast"/>
        </w:trPr>
        <w:tc>
          <w:tcPr>
            <w:tcW w:w="493" w:type="dxa"/>
          </w:tcPr>
          <w:p>
            <w:pPr>
              <w:pStyle w:val="TableParagraph"/>
              <w:spacing w:before="1"/>
              <w:ind w:left="50"/>
              <w:rPr>
                <w:rFonts w:ascii="Courier New"/>
                <w:sz w:val="21"/>
              </w:rPr>
            </w:pPr>
            <w:r>
              <w:rPr>
                <w:rFonts w:ascii="Courier New"/>
                <w:spacing w:val="-5"/>
                <w:sz w:val="21"/>
              </w:rPr>
              <w:t>28</w:t>
            </w:r>
          </w:p>
        </w:tc>
        <w:tc>
          <w:tcPr>
            <w:tcW w:w="1826" w:type="dxa"/>
          </w:tcPr>
          <w:p>
            <w:pPr>
              <w:pStyle w:val="TableParagraph"/>
              <w:spacing w:before="1"/>
              <w:ind w:left="0" w:right="122"/>
              <w:jc w:val="right"/>
              <w:rPr>
                <w:rFonts w:ascii="Courier New"/>
                <w:sz w:val="21"/>
              </w:rPr>
            </w:pPr>
            <w:r>
              <w:rPr>
                <w:rFonts w:ascii="Courier New"/>
                <w:spacing w:val="-4"/>
                <w:sz w:val="21"/>
              </w:rPr>
              <w:t>LT.NS</w:t>
            </w:r>
          </w:p>
        </w:tc>
        <w:tc>
          <w:tcPr>
            <w:tcW w:w="1186" w:type="dxa"/>
          </w:tcPr>
          <w:p>
            <w:pPr>
              <w:pStyle w:val="TableParagraph"/>
              <w:spacing w:before="1"/>
              <w:ind w:left="0" w:right="48"/>
              <w:jc w:val="right"/>
              <w:rPr>
                <w:rFonts w:ascii="Courier New"/>
                <w:sz w:val="21"/>
              </w:rPr>
            </w:pPr>
            <w:r>
              <w:rPr>
                <w:rFonts w:ascii="Courier New"/>
                <w:spacing w:val="-2"/>
                <w:sz w:val="21"/>
              </w:rPr>
              <w:t>0.038150</w:t>
            </w:r>
          </w:p>
        </w:tc>
      </w:tr>
      <w:tr>
        <w:trPr>
          <w:trHeight w:val="237" w:hRule="atLeast"/>
        </w:trPr>
        <w:tc>
          <w:tcPr>
            <w:tcW w:w="493" w:type="dxa"/>
          </w:tcPr>
          <w:p>
            <w:pPr>
              <w:pStyle w:val="TableParagraph"/>
              <w:ind w:left="50"/>
              <w:rPr>
                <w:rFonts w:ascii="Courier New"/>
                <w:sz w:val="21"/>
              </w:rPr>
            </w:pPr>
            <w:r>
              <w:rPr>
                <w:rFonts w:ascii="Courier New"/>
                <w:spacing w:val="-5"/>
                <w:sz w:val="21"/>
              </w:rPr>
              <w:t>29</w:t>
            </w:r>
          </w:p>
        </w:tc>
        <w:tc>
          <w:tcPr>
            <w:tcW w:w="1826" w:type="dxa"/>
          </w:tcPr>
          <w:p>
            <w:pPr>
              <w:pStyle w:val="TableParagraph"/>
              <w:ind w:left="0" w:right="122"/>
              <w:jc w:val="right"/>
              <w:rPr>
                <w:rFonts w:ascii="Courier New"/>
                <w:sz w:val="21"/>
              </w:rPr>
            </w:pPr>
            <w:r>
              <w:rPr>
                <w:rFonts w:ascii="Courier New"/>
                <w:spacing w:val="-2"/>
                <w:sz w:val="21"/>
              </w:rPr>
              <w:t>M&amp;M.NS</w:t>
            </w:r>
          </w:p>
        </w:tc>
        <w:tc>
          <w:tcPr>
            <w:tcW w:w="1186" w:type="dxa"/>
          </w:tcPr>
          <w:p>
            <w:pPr>
              <w:pStyle w:val="TableParagraph"/>
              <w:ind w:left="0" w:right="48"/>
              <w:jc w:val="right"/>
              <w:rPr>
                <w:rFonts w:ascii="Courier New"/>
                <w:sz w:val="21"/>
              </w:rPr>
            </w:pPr>
            <w:r>
              <w:rPr>
                <w:rFonts w:ascii="Courier New"/>
                <w:spacing w:val="-2"/>
                <w:sz w:val="21"/>
              </w:rPr>
              <w:t>0.008617</w:t>
            </w:r>
          </w:p>
        </w:tc>
      </w:tr>
      <w:tr>
        <w:trPr>
          <w:trHeight w:val="237" w:hRule="atLeast"/>
        </w:trPr>
        <w:tc>
          <w:tcPr>
            <w:tcW w:w="493" w:type="dxa"/>
          </w:tcPr>
          <w:p>
            <w:pPr>
              <w:pStyle w:val="TableParagraph"/>
              <w:ind w:left="50"/>
              <w:rPr>
                <w:rFonts w:ascii="Courier New"/>
                <w:sz w:val="21"/>
              </w:rPr>
            </w:pPr>
            <w:r>
              <w:rPr>
                <w:rFonts w:ascii="Courier New"/>
                <w:spacing w:val="-5"/>
                <w:sz w:val="21"/>
              </w:rPr>
              <w:t>30</w:t>
            </w:r>
          </w:p>
        </w:tc>
        <w:tc>
          <w:tcPr>
            <w:tcW w:w="1826" w:type="dxa"/>
          </w:tcPr>
          <w:p>
            <w:pPr>
              <w:pStyle w:val="TableParagraph"/>
              <w:ind w:left="0" w:right="122"/>
              <w:jc w:val="right"/>
              <w:rPr>
                <w:rFonts w:ascii="Courier New"/>
                <w:sz w:val="21"/>
              </w:rPr>
            </w:pPr>
            <w:r>
              <w:rPr>
                <w:rFonts w:ascii="Courier New"/>
                <w:spacing w:val="-2"/>
                <w:sz w:val="21"/>
              </w:rPr>
              <w:t>MARUTI.NS</w:t>
            </w:r>
          </w:p>
        </w:tc>
        <w:tc>
          <w:tcPr>
            <w:tcW w:w="1186" w:type="dxa"/>
          </w:tcPr>
          <w:p>
            <w:pPr>
              <w:pStyle w:val="TableParagraph"/>
              <w:ind w:left="0" w:right="48"/>
              <w:jc w:val="right"/>
              <w:rPr>
                <w:rFonts w:ascii="Courier New"/>
                <w:sz w:val="21"/>
              </w:rPr>
            </w:pPr>
            <w:r>
              <w:rPr>
                <w:rFonts w:ascii="Courier New"/>
                <w:spacing w:val="-2"/>
                <w:sz w:val="21"/>
              </w:rPr>
              <w:t>0.005969</w:t>
            </w:r>
          </w:p>
        </w:tc>
      </w:tr>
      <w:tr>
        <w:trPr>
          <w:trHeight w:val="237" w:hRule="atLeast"/>
        </w:trPr>
        <w:tc>
          <w:tcPr>
            <w:tcW w:w="493" w:type="dxa"/>
          </w:tcPr>
          <w:p>
            <w:pPr>
              <w:pStyle w:val="TableParagraph"/>
              <w:ind w:left="50"/>
              <w:rPr>
                <w:rFonts w:ascii="Courier New"/>
                <w:sz w:val="21"/>
              </w:rPr>
            </w:pPr>
            <w:r>
              <w:rPr>
                <w:rFonts w:ascii="Courier New"/>
                <w:spacing w:val="-5"/>
                <w:sz w:val="21"/>
              </w:rPr>
              <w:t>31</w:t>
            </w:r>
          </w:p>
        </w:tc>
        <w:tc>
          <w:tcPr>
            <w:tcW w:w="1826" w:type="dxa"/>
          </w:tcPr>
          <w:p>
            <w:pPr>
              <w:pStyle w:val="TableParagraph"/>
              <w:ind w:left="0" w:right="122"/>
              <w:jc w:val="right"/>
              <w:rPr>
                <w:rFonts w:ascii="Courier New"/>
                <w:sz w:val="21"/>
              </w:rPr>
            </w:pPr>
            <w:r>
              <w:rPr>
                <w:rFonts w:ascii="Courier New"/>
                <w:spacing w:val="-2"/>
                <w:sz w:val="21"/>
              </w:rPr>
              <w:t>NESTLEIND.NS</w:t>
            </w:r>
          </w:p>
        </w:tc>
        <w:tc>
          <w:tcPr>
            <w:tcW w:w="1186" w:type="dxa"/>
          </w:tcPr>
          <w:p>
            <w:pPr>
              <w:pStyle w:val="TableParagraph"/>
              <w:ind w:left="0" w:right="48"/>
              <w:jc w:val="right"/>
              <w:rPr>
                <w:rFonts w:ascii="Courier New"/>
                <w:sz w:val="21"/>
              </w:rPr>
            </w:pPr>
            <w:r>
              <w:rPr>
                <w:rFonts w:ascii="Courier New"/>
                <w:spacing w:val="-2"/>
                <w:sz w:val="21"/>
              </w:rPr>
              <w:t>0.031367</w:t>
            </w:r>
          </w:p>
        </w:tc>
      </w:tr>
      <w:tr>
        <w:trPr>
          <w:trHeight w:val="237" w:hRule="atLeast"/>
        </w:trPr>
        <w:tc>
          <w:tcPr>
            <w:tcW w:w="493" w:type="dxa"/>
          </w:tcPr>
          <w:p>
            <w:pPr>
              <w:pStyle w:val="TableParagraph"/>
              <w:ind w:left="50"/>
              <w:rPr>
                <w:rFonts w:ascii="Courier New"/>
                <w:sz w:val="21"/>
              </w:rPr>
            </w:pPr>
            <w:r>
              <w:rPr>
                <w:rFonts w:ascii="Courier New"/>
                <w:spacing w:val="-5"/>
                <w:sz w:val="21"/>
              </w:rPr>
              <w:t>32</w:t>
            </w:r>
          </w:p>
        </w:tc>
        <w:tc>
          <w:tcPr>
            <w:tcW w:w="1826" w:type="dxa"/>
          </w:tcPr>
          <w:p>
            <w:pPr>
              <w:pStyle w:val="TableParagraph"/>
              <w:ind w:left="0" w:right="122"/>
              <w:jc w:val="right"/>
              <w:rPr>
                <w:rFonts w:ascii="Courier New"/>
                <w:sz w:val="21"/>
              </w:rPr>
            </w:pPr>
            <w:r>
              <w:rPr>
                <w:rFonts w:ascii="Courier New"/>
                <w:spacing w:val="-2"/>
                <w:sz w:val="21"/>
              </w:rPr>
              <w:t>NTPC.NS</w:t>
            </w:r>
          </w:p>
        </w:tc>
        <w:tc>
          <w:tcPr>
            <w:tcW w:w="1186" w:type="dxa"/>
          </w:tcPr>
          <w:p>
            <w:pPr>
              <w:pStyle w:val="TableParagraph"/>
              <w:ind w:left="0" w:right="48"/>
              <w:jc w:val="right"/>
              <w:rPr>
                <w:rFonts w:ascii="Courier New"/>
                <w:sz w:val="21"/>
              </w:rPr>
            </w:pPr>
            <w:r>
              <w:rPr>
                <w:rFonts w:ascii="Courier New"/>
                <w:spacing w:val="-2"/>
                <w:sz w:val="21"/>
              </w:rPr>
              <w:t>0.011776</w:t>
            </w:r>
          </w:p>
        </w:tc>
      </w:tr>
      <w:tr>
        <w:trPr>
          <w:trHeight w:val="237" w:hRule="atLeast"/>
        </w:trPr>
        <w:tc>
          <w:tcPr>
            <w:tcW w:w="493" w:type="dxa"/>
          </w:tcPr>
          <w:p>
            <w:pPr>
              <w:pStyle w:val="TableParagraph"/>
              <w:ind w:left="50"/>
              <w:rPr>
                <w:rFonts w:ascii="Courier New"/>
                <w:sz w:val="21"/>
              </w:rPr>
            </w:pPr>
            <w:r>
              <w:rPr>
                <w:rFonts w:ascii="Courier New"/>
                <w:spacing w:val="-5"/>
                <w:sz w:val="21"/>
              </w:rPr>
              <w:t>33</w:t>
            </w:r>
          </w:p>
        </w:tc>
        <w:tc>
          <w:tcPr>
            <w:tcW w:w="1826" w:type="dxa"/>
          </w:tcPr>
          <w:p>
            <w:pPr>
              <w:pStyle w:val="TableParagraph"/>
              <w:ind w:left="0" w:right="122"/>
              <w:jc w:val="right"/>
              <w:rPr>
                <w:rFonts w:ascii="Courier New"/>
                <w:sz w:val="21"/>
              </w:rPr>
            </w:pPr>
            <w:r>
              <w:rPr>
                <w:rFonts w:ascii="Courier New"/>
                <w:spacing w:val="-2"/>
                <w:sz w:val="21"/>
              </w:rPr>
              <w:t>ONGC.NS</w:t>
            </w:r>
          </w:p>
        </w:tc>
        <w:tc>
          <w:tcPr>
            <w:tcW w:w="1186" w:type="dxa"/>
          </w:tcPr>
          <w:p>
            <w:pPr>
              <w:pStyle w:val="TableParagraph"/>
              <w:ind w:left="0" w:right="48"/>
              <w:jc w:val="right"/>
              <w:rPr>
                <w:rFonts w:ascii="Courier New"/>
                <w:sz w:val="21"/>
              </w:rPr>
            </w:pPr>
            <w:r>
              <w:rPr>
                <w:rFonts w:ascii="Courier New"/>
                <w:spacing w:val="-2"/>
                <w:sz w:val="21"/>
              </w:rPr>
              <w:t>0.006145</w:t>
            </w:r>
          </w:p>
        </w:tc>
      </w:tr>
      <w:tr>
        <w:trPr>
          <w:trHeight w:val="237" w:hRule="atLeast"/>
        </w:trPr>
        <w:tc>
          <w:tcPr>
            <w:tcW w:w="493" w:type="dxa"/>
          </w:tcPr>
          <w:p>
            <w:pPr>
              <w:pStyle w:val="TableParagraph"/>
              <w:ind w:left="50"/>
              <w:rPr>
                <w:rFonts w:ascii="Courier New"/>
                <w:sz w:val="21"/>
              </w:rPr>
            </w:pPr>
            <w:r>
              <w:rPr>
                <w:rFonts w:ascii="Courier New"/>
                <w:spacing w:val="-5"/>
                <w:sz w:val="21"/>
              </w:rPr>
              <w:t>34</w:t>
            </w:r>
          </w:p>
        </w:tc>
        <w:tc>
          <w:tcPr>
            <w:tcW w:w="1826" w:type="dxa"/>
          </w:tcPr>
          <w:p>
            <w:pPr>
              <w:pStyle w:val="TableParagraph"/>
              <w:ind w:left="0" w:right="122"/>
              <w:jc w:val="right"/>
              <w:rPr>
                <w:rFonts w:ascii="Courier New"/>
                <w:sz w:val="21"/>
              </w:rPr>
            </w:pPr>
            <w:r>
              <w:rPr>
                <w:rFonts w:ascii="Courier New"/>
                <w:spacing w:val="-2"/>
                <w:sz w:val="21"/>
              </w:rPr>
              <w:t>POWERGRID.NS</w:t>
            </w:r>
          </w:p>
        </w:tc>
        <w:tc>
          <w:tcPr>
            <w:tcW w:w="1186" w:type="dxa"/>
          </w:tcPr>
          <w:p>
            <w:pPr>
              <w:pStyle w:val="TableParagraph"/>
              <w:ind w:left="0" w:right="48"/>
              <w:jc w:val="right"/>
              <w:rPr>
                <w:rFonts w:ascii="Courier New"/>
                <w:sz w:val="21"/>
              </w:rPr>
            </w:pPr>
            <w:r>
              <w:rPr>
                <w:rFonts w:ascii="Courier New"/>
                <w:spacing w:val="-2"/>
                <w:sz w:val="21"/>
              </w:rPr>
              <w:t>0.035651</w:t>
            </w:r>
          </w:p>
        </w:tc>
      </w:tr>
      <w:tr>
        <w:trPr>
          <w:trHeight w:val="239" w:hRule="atLeast"/>
        </w:trPr>
        <w:tc>
          <w:tcPr>
            <w:tcW w:w="493" w:type="dxa"/>
          </w:tcPr>
          <w:p>
            <w:pPr>
              <w:pStyle w:val="TableParagraph"/>
              <w:spacing w:line="219" w:lineRule="exact"/>
              <w:ind w:left="50"/>
              <w:rPr>
                <w:rFonts w:ascii="Courier New"/>
                <w:sz w:val="21"/>
              </w:rPr>
            </w:pPr>
            <w:r>
              <w:rPr>
                <w:rFonts w:ascii="Courier New"/>
                <w:spacing w:val="-5"/>
                <w:sz w:val="21"/>
              </w:rPr>
              <w:t>35</w:t>
            </w:r>
          </w:p>
        </w:tc>
        <w:tc>
          <w:tcPr>
            <w:tcW w:w="1826" w:type="dxa"/>
          </w:tcPr>
          <w:p>
            <w:pPr>
              <w:pStyle w:val="TableParagraph"/>
              <w:spacing w:line="219" w:lineRule="exact"/>
              <w:ind w:left="0" w:right="122"/>
              <w:jc w:val="right"/>
              <w:rPr>
                <w:rFonts w:ascii="Courier New"/>
                <w:sz w:val="21"/>
              </w:rPr>
            </w:pPr>
            <w:r>
              <w:rPr>
                <w:rFonts w:ascii="Courier New"/>
                <w:spacing w:val="-2"/>
                <w:sz w:val="21"/>
              </w:rPr>
              <w:t>RELIANCE.NS</w:t>
            </w:r>
          </w:p>
        </w:tc>
        <w:tc>
          <w:tcPr>
            <w:tcW w:w="1186" w:type="dxa"/>
          </w:tcPr>
          <w:p>
            <w:pPr>
              <w:pStyle w:val="TableParagraph"/>
              <w:spacing w:line="219" w:lineRule="exact"/>
              <w:ind w:left="0" w:right="48"/>
              <w:jc w:val="right"/>
              <w:rPr>
                <w:rFonts w:ascii="Courier New"/>
                <w:sz w:val="21"/>
              </w:rPr>
            </w:pPr>
            <w:r>
              <w:rPr>
                <w:rFonts w:ascii="Courier New"/>
                <w:spacing w:val="-2"/>
                <w:sz w:val="21"/>
              </w:rPr>
              <w:t>0.013463</w:t>
            </w:r>
          </w:p>
        </w:tc>
      </w:tr>
      <w:tr>
        <w:trPr>
          <w:trHeight w:val="239" w:hRule="atLeast"/>
        </w:trPr>
        <w:tc>
          <w:tcPr>
            <w:tcW w:w="493" w:type="dxa"/>
          </w:tcPr>
          <w:p>
            <w:pPr>
              <w:pStyle w:val="TableParagraph"/>
              <w:spacing w:before="1"/>
              <w:ind w:left="50"/>
              <w:rPr>
                <w:rFonts w:ascii="Courier New"/>
                <w:sz w:val="21"/>
              </w:rPr>
            </w:pPr>
            <w:r>
              <w:rPr>
                <w:rFonts w:ascii="Courier New"/>
                <w:spacing w:val="-5"/>
                <w:sz w:val="21"/>
              </w:rPr>
              <w:t>36</w:t>
            </w:r>
          </w:p>
        </w:tc>
        <w:tc>
          <w:tcPr>
            <w:tcW w:w="1826" w:type="dxa"/>
          </w:tcPr>
          <w:p>
            <w:pPr>
              <w:pStyle w:val="TableParagraph"/>
              <w:spacing w:before="1"/>
              <w:ind w:left="0" w:right="122"/>
              <w:jc w:val="right"/>
              <w:rPr>
                <w:rFonts w:ascii="Courier New"/>
                <w:sz w:val="21"/>
              </w:rPr>
            </w:pPr>
            <w:r>
              <w:rPr>
                <w:rFonts w:ascii="Courier New"/>
                <w:spacing w:val="-2"/>
                <w:sz w:val="21"/>
              </w:rPr>
              <w:t>SBILIFE.NS</w:t>
            </w:r>
          </w:p>
        </w:tc>
        <w:tc>
          <w:tcPr>
            <w:tcW w:w="1186" w:type="dxa"/>
          </w:tcPr>
          <w:p>
            <w:pPr>
              <w:pStyle w:val="TableParagraph"/>
              <w:spacing w:before="1"/>
              <w:ind w:left="0" w:right="48"/>
              <w:jc w:val="right"/>
              <w:rPr>
                <w:rFonts w:ascii="Courier New"/>
                <w:sz w:val="21"/>
              </w:rPr>
            </w:pPr>
            <w:r>
              <w:rPr>
                <w:rFonts w:ascii="Courier New"/>
                <w:spacing w:val="-2"/>
                <w:sz w:val="21"/>
              </w:rPr>
              <w:t>0.009891</w:t>
            </w:r>
          </w:p>
        </w:tc>
      </w:tr>
      <w:tr>
        <w:trPr>
          <w:trHeight w:val="237" w:hRule="atLeast"/>
        </w:trPr>
        <w:tc>
          <w:tcPr>
            <w:tcW w:w="493" w:type="dxa"/>
          </w:tcPr>
          <w:p>
            <w:pPr>
              <w:pStyle w:val="TableParagraph"/>
              <w:ind w:left="50"/>
              <w:rPr>
                <w:rFonts w:ascii="Courier New"/>
                <w:sz w:val="21"/>
              </w:rPr>
            </w:pPr>
            <w:r>
              <w:rPr>
                <w:rFonts w:ascii="Courier New"/>
                <w:spacing w:val="-5"/>
                <w:sz w:val="21"/>
              </w:rPr>
              <w:t>37</w:t>
            </w:r>
          </w:p>
        </w:tc>
        <w:tc>
          <w:tcPr>
            <w:tcW w:w="1826" w:type="dxa"/>
          </w:tcPr>
          <w:p>
            <w:pPr>
              <w:pStyle w:val="TableParagraph"/>
              <w:ind w:left="0" w:right="122"/>
              <w:jc w:val="right"/>
              <w:rPr>
                <w:rFonts w:ascii="Courier New"/>
                <w:sz w:val="21"/>
              </w:rPr>
            </w:pPr>
            <w:r>
              <w:rPr>
                <w:rFonts w:ascii="Courier New"/>
                <w:spacing w:val="-2"/>
                <w:sz w:val="21"/>
              </w:rPr>
              <w:t>SBIN.NS</w:t>
            </w:r>
          </w:p>
        </w:tc>
        <w:tc>
          <w:tcPr>
            <w:tcW w:w="1186" w:type="dxa"/>
          </w:tcPr>
          <w:p>
            <w:pPr>
              <w:pStyle w:val="TableParagraph"/>
              <w:ind w:left="0" w:right="48"/>
              <w:jc w:val="right"/>
              <w:rPr>
                <w:rFonts w:ascii="Courier New"/>
                <w:sz w:val="21"/>
              </w:rPr>
            </w:pPr>
            <w:r>
              <w:rPr>
                <w:rFonts w:ascii="Courier New"/>
                <w:spacing w:val="-2"/>
                <w:sz w:val="21"/>
              </w:rPr>
              <w:t>0.042368</w:t>
            </w:r>
          </w:p>
        </w:tc>
      </w:tr>
      <w:tr>
        <w:trPr>
          <w:trHeight w:val="237" w:hRule="atLeast"/>
        </w:trPr>
        <w:tc>
          <w:tcPr>
            <w:tcW w:w="493" w:type="dxa"/>
          </w:tcPr>
          <w:p>
            <w:pPr>
              <w:pStyle w:val="TableParagraph"/>
              <w:ind w:left="50"/>
              <w:rPr>
                <w:rFonts w:ascii="Courier New"/>
                <w:sz w:val="21"/>
              </w:rPr>
            </w:pPr>
            <w:r>
              <w:rPr>
                <w:rFonts w:ascii="Courier New"/>
                <w:spacing w:val="-5"/>
                <w:sz w:val="21"/>
              </w:rPr>
              <w:t>38</w:t>
            </w:r>
          </w:p>
        </w:tc>
        <w:tc>
          <w:tcPr>
            <w:tcW w:w="1826" w:type="dxa"/>
          </w:tcPr>
          <w:p>
            <w:pPr>
              <w:pStyle w:val="TableParagraph"/>
              <w:ind w:left="0" w:right="122"/>
              <w:jc w:val="right"/>
              <w:rPr>
                <w:rFonts w:ascii="Courier New"/>
                <w:sz w:val="21"/>
              </w:rPr>
            </w:pPr>
            <w:r>
              <w:rPr>
                <w:rFonts w:ascii="Courier New"/>
                <w:spacing w:val="-2"/>
                <w:sz w:val="21"/>
              </w:rPr>
              <w:t>SHREECEM.NS</w:t>
            </w:r>
          </w:p>
        </w:tc>
        <w:tc>
          <w:tcPr>
            <w:tcW w:w="1186" w:type="dxa"/>
          </w:tcPr>
          <w:p>
            <w:pPr>
              <w:pStyle w:val="TableParagraph"/>
              <w:ind w:left="0" w:right="48"/>
              <w:jc w:val="right"/>
              <w:rPr>
                <w:rFonts w:ascii="Courier New"/>
                <w:sz w:val="21"/>
              </w:rPr>
            </w:pPr>
            <w:r>
              <w:rPr>
                <w:rFonts w:ascii="Courier New"/>
                <w:spacing w:val="-2"/>
                <w:sz w:val="21"/>
              </w:rPr>
              <w:t>0.022046</w:t>
            </w:r>
          </w:p>
        </w:tc>
      </w:tr>
      <w:tr>
        <w:trPr>
          <w:trHeight w:val="237" w:hRule="atLeast"/>
        </w:trPr>
        <w:tc>
          <w:tcPr>
            <w:tcW w:w="493" w:type="dxa"/>
          </w:tcPr>
          <w:p>
            <w:pPr>
              <w:pStyle w:val="TableParagraph"/>
              <w:ind w:left="50"/>
              <w:rPr>
                <w:rFonts w:ascii="Courier New"/>
                <w:sz w:val="21"/>
              </w:rPr>
            </w:pPr>
            <w:r>
              <w:rPr>
                <w:rFonts w:ascii="Courier New"/>
                <w:spacing w:val="-5"/>
                <w:sz w:val="21"/>
              </w:rPr>
              <w:t>39</w:t>
            </w:r>
          </w:p>
        </w:tc>
        <w:tc>
          <w:tcPr>
            <w:tcW w:w="1826" w:type="dxa"/>
          </w:tcPr>
          <w:p>
            <w:pPr>
              <w:pStyle w:val="TableParagraph"/>
              <w:ind w:left="0" w:right="122"/>
              <w:jc w:val="right"/>
              <w:rPr>
                <w:rFonts w:ascii="Courier New"/>
                <w:sz w:val="21"/>
              </w:rPr>
            </w:pPr>
            <w:r>
              <w:rPr>
                <w:rFonts w:ascii="Courier New"/>
                <w:spacing w:val="-2"/>
                <w:sz w:val="21"/>
              </w:rPr>
              <w:t>SUNPHARMA.NS</w:t>
            </w:r>
          </w:p>
        </w:tc>
        <w:tc>
          <w:tcPr>
            <w:tcW w:w="1186" w:type="dxa"/>
          </w:tcPr>
          <w:p>
            <w:pPr>
              <w:pStyle w:val="TableParagraph"/>
              <w:ind w:left="0" w:right="48"/>
              <w:jc w:val="right"/>
              <w:rPr>
                <w:rFonts w:ascii="Courier New"/>
                <w:sz w:val="21"/>
              </w:rPr>
            </w:pPr>
            <w:r>
              <w:rPr>
                <w:rFonts w:ascii="Courier New"/>
                <w:spacing w:val="-2"/>
                <w:sz w:val="21"/>
              </w:rPr>
              <w:t>0.017388</w:t>
            </w:r>
          </w:p>
        </w:tc>
      </w:tr>
      <w:tr>
        <w:trPr>
          <w:trHeight w:val="237" w:hRule="atLeast"/>
        </w:trPr>
        <w:tc>
          <w:tcPr>
            <w:tcW w:w="493" w:type="dxa"/>
          </w:tcPr>
          <w:p>
            <w:pPr>
              <w:pStyle w:val="TableParagraph"/>
              <w:ind w:left="50"/>
              <w:rPr>
                <w:rFonts w:ascii="Courier New"/>
                <w:sz w:val="21"/>
              </w:rPr>
            </w:pPr>
            <w:r>
              <w:rPr>
                <w:rFonts w:ascii="Courier New"/>
                <w:spacing w:val="-5"/>
                <w:sz w:val="21"/>
              </w:rPr>
              <w:t>40</w:t>
            </w:r>
          </w:p>
        </w:tc>
        <w:tc>
          <w:tcPr>
            <w:tcW w:w="1826" w:type="dxa"/>
          </w:tcPr>
          <w:p>
            <w:pPr>
              <w:pStyle w:val="TableParagraph"/>
              <w:ind w:left="0" w:right="122"/>
              <w:jc w:val="right"/>
              <w:rPr>
                <w:rFonts w:ascii="Courier New"/>
                <w:sz w:val="21"/>
              </w:rPr>
            </w:pPr>
            <w:r>
              <w:rPr>
                <w:rFonts w:ascii="Courier New"/>
                <w:spacing w:val="-2"/>
                <w:sz w:val="21"/>
              </w:rPr>
              <w:t>TATAMOTORS.NS</w:t>
            </w:r>
          </w:p>
        </w:tc>
        <w:tc>
          <w:tcPr>
            <w:tcW w:w="1186" w:type="dxa"/>
          </w:tcPr>
          <w:p>
            <w:pPr>
              <w:pStyle w:val="TableParagraph"/>
              <w:ind w:left="0" w:right="48"/>
              <w:jc w:val="right"/>
              <w:rPr>
                <w:rFonts w:ascii="Courier New"/>
                <w:sz w:val="21"/>
              </w:rPr>
            </w:pPr>
            <w:r>
              <w:rPr>
                <w:rFonts w:ascii="Courier New"/>
                <w:spacing w:val="-2"/>
                <w:sz w:val="21"/>
              </w:rPr>
              <w:t>0.029460</w:t>
            </w:r>
          </w:p>
        </w:tc>
      </w:tr>
      <w:tr>
        <w:trPr>
          <w:trHeight w:val="237" w:hRule="atLeast"/>
        </w:trPr>
        <w:tc>
          <w:tcPr>
            <w:tcW w:w="493" w:type="dxa"/>
          </w:tcPr>
          <w:p>
            <w:pPr>
              <w:pStyle w:val="TableParagraph"/>
              <w:ind w:left="50"/>
              <w:rPr>
                <w:rFonts w:ascii="Courier New"/>
                <w:sz w:val="21"/>
              </w:rPr>
            </w:pPr>
            <w:r>
              <w:rPr>
                <w:rFonts w:ascii="Courier New"/>
                <w:spacing w:val="-5"/>
                <w:sz w:val="21"/>
              </w:rPr>
              <w:t>41</w:t>
            </w:r>
          </w:p>
        </w:tc>
        <w:tc>
          <w:tcPr>
            <w:tcW w:w="1826" w:type="dxa"/>
          </w:tcPr>
          <w:p>
            <w:pPr>
              <w:pStyle w:val="TableParagraph"/>
              <w:ind w:left="0" w:right="122"/>
              <w:jc w:val="right"/>
              <w:rPr>
                <w:rFonts w:ascii="Courier New"/>
                <w:sz w:val="21"/>
              </w:rPr>
            </w:pPr>
            <w:r>
              <w:rPr>
                <w:rFonts w:ascii="Courier New"/>
                <w:spacing w:val="-2"/>
                <w:sz w:val="21"/>
              </w:rPr>
              <w:t>TATASTEEL.NS</w:t>
            </w:r>
          </w:p>
        </w:tc>
        <w:tc>
          <w:tcPr>
            <w:tcW w:w="1186" w:type="dxa"/>
          </w:tcPr>
          <w:p>
            <w:pPr>
              <w:pStyle w:val="TableParagraph"/>
              <w:ind w:left="0" w:right="48"/>
              <w:jc w:val="right"/>
              <w:rPr>
                <w:rFonts w:ascii="Courier New"/>
                <w:sz w:val="21"/>
              </w:rPr>
            </w:pPr>
            <w:r>
              <w:rPr>
                <w:rFonts w:ascii="Courier New"/>
                <w:spacing w:val="-2"/>
                <w:sz w:val="21"/>
              </w:rPr>
              <w:t>0.042144</w:t>
            </w:r>
          </w:p>
        </w:tc>
      </w:tr>
      <w:tr>
        <w:trPr>
          <w:trHeight w:val="237" w:hRule="atLeast"/>
        </w:trPr>
        <w:tc>
          <w:tcPr>
            <w:tcW w:w="493" w:type="dxa"/>
          </w:tcPr>
          <w:p>
            <w:pPr>
              <w:pStyle w:val="TableParagraph"/>
              <w:ind w:left="50"/>
              <w:rPr>
                <w:rFonts w:ascii="Courier New"/>
                <w:sz w:val="21"/>
              </w:rPr>
            </w:pPr>
            <w:r>
              <w:rPr>
                <w:rFonts w:ascii="Courier New"/>
                <w:spacing w:val="-5"/>
                <w:sz w:val="21"/>
              </w:rPr>
              <w:t>42</w:t>
            </w:r>
          </w:p>
        </w:tc>
        <w:tc>
          <w:tcPr>
            <w:tcW w:w="1826" w:type="dxa"/>
          </w:tcPr>
          <w:p>
            <w:pPr>
              <w:pStyle w:val="TableParagraph"/>
              <w:ind w:left="0" w:right="122"/>
              <w:jc w:val="right"/>
              <w:rPr>
                <w:rFonts w:ascii="Courier New"/>
                <w:sz w:val="21"/>
              </w:rPr>
            </w:pPr>
            <w:r>
              <w:rPr>
                <w:rFonts w:ascii="Courier New"/>
                <w:spacing w:val="-2"/>
                <w:sz w:val="21"/>
              </w:rPr>
              <w:t>TCS.NS</w:t>
            </w:r>
          </w:p>
        </w:tc>
        <w:tc>
          <w:tcPr>
            <w:tcW w:w="1186" w:type="dxa"/>
          </w:tcPr>
          <w:p>
            <w:pPr>
              <w:pStyle w:val="TableParagraph"/>
              <w:ind w:left="0" w:right="47"/>
              <w:jc w:val="right"/>
              <w:rPr>
                <w:rFonts w:ascii="Courier New"/>
                <w:sz w:val="21"/>
              </w:rPr>
            </w:pPr>
            <w:r>
              <w:rPr>
                <w:rFonts w:ascii="Courier New"/>
                <w:spacing w:val="-2"/>
                <w:sz w:val="21"/>
              </w:rPr>
              <w:t>0.046472</w:t>
            </w:r>
          </w:p>
        </w:tc>
      </w:tr>
      <w:tr>
        <w:trPr>
          <w:trHeight w:val="238" w:hRule="atLeast"/>
        </w:trPr>
        <w:tc>
          <w:tcPr>
            <w:tcW w:w="493" w:type="dxa"/>
          </w:tcPr>
          <w:p>
            <w:pPr>
              <w:pStyle w:val="TableParagraph"/>
              <w:spacing w:line="219" w:lineRule="exact"/>
              <w:ind w:left="50"/>
              <w:rPr>
                <w:rFonts w:ascii="Courier New"/>
                <w:sz w:val="21"/>
              </w:rPr>
            </w:pPr>
            <w:r>
              <w:rPr>
                <w:rFonts w:ascii="Courier New"/>
                <w:spacing w:val="-5"/>
                <w:sz w:val="21"/>
              </w:rPr>
              <w:t>43</w:t>
            </w:r>
          </w:p>
        </w:tc>
        <w:tc>
          <w:tcPr>
            <w:tcW w:w="1826" w:type="dxa"/>
          </w:tcPr>
          <w:p>
            <w:pPr>
              <w:pStyle w:val="TableParagraph"/>
              <w:spacing w:line="219" w:lineRule="exact"/>
              <w:ind w:left="0" w:right="122"/>
              <w:jc w:val="right"/>
              <w:rPr>
                <w:rFonts w:ascii="Courier New"/>
                <w:sz w:val="21"/>
              </w:rPr>
            </w:pPr>
            <w:r>
              <w:rPr>
                <w:rFonts w:ascii="Courier New"/>
                <w:spacing w:val="-2"/>
                <w:sz w:val="21"/>
              </w:rPr>
              <w:t>TECHM.NS</w:t>
            </w:r>
          </w:p>
        </w:tc>
        <w:tc>
          <w:tcPr>
            <w:tcW w:w="1186" w:type="dxa"/>
          </w:tcPr>
          <w:p>
            <w:pPr>
              <w:pStyle w:val="TableParagraph"/>
              <w:spacing w:line="219" w:lineRule="exact"/>
              <w:ind w:left="0" w:right="48"/>
              <w:jc w:val="right"/>
              <w:rPr>
                <w:rFonts w:ascii="Courier New"/>
                <w:sz w:val="21"/>
              </w:rPr>
            </w:pPr>
            <w:r>
              <w:rPr>
                <w:rFonts w:ascii="Courier New"/>
                <w:spacing w:val="-2"/>
                <w:sz w:val="21"/>
              </w:rPr>
              <w:t>0.008492</w:t>
            </w:r>
          </w:p>
        </w:tc>
      </w:tr>
      <w:tr>
        <w:trPr>
          <w:trHeight w:val="238" w:hRule="atLeast"/>
        </w:trPr>
        <w:tc>
          <w:tcPr>
            <w:tcW w:w="493" w:type="dxa"/>
          </w:tcPr>
          <w:p>
            <w:pPr>
              <w:pStyle w:val="TableParagraph"/>
              <w:spacing w:before="1"/>
              <w:ind w:left="50"/>
              <w:rPr>
                <w:rFonts w:ascii="Courier New"/>
                <w:sz w:val="21"/>
              </w:rPr>
            </w:pPr>
            <w:r>
              <w:rPr>
                <w:rFonts w:ascii="Courier New"/>
                <w:spacing w:val="-5"/>
                <w:sz w:val="21"/>
              </w:rPr>
              <w:t>44</w:t>
            </w:r>
          </w:p>
        </w:tc>
        <w:tc>
          <w:tcPr>
            <w:tcW w:w="1826" w:type="dxa"/>
          </w:tcPr>
          <w:p>
            <w:pPr>
              <w:pStyle w:val="TableParagraph"/>
              <w:spacing w:before="1"/>
              <w:ind w:left="0" w:right="122"/>
              <w:jc w:val="right"/>
              <w:rPr>
                <w:rFonts w:ascii="Courier New"/>
                <w:sz w:val="21"/>
              </w:rPr>
            </w:pPr>
            <w:r>
              <w:rPr>
                <w:rFonts w:ascii="Courier New"/>
                <w:spacing w:val="-2"/>
                <w:sz w:val="21"/>
              </w:rPr>
              <w:t>TITAN.NS</w:t>
            </w:r>
          </w:p>
        </w:tc>
        <w:tc>
          <w:tcPr>
            <w:tcW w:w="1186" w:type="dxa"/>
          </w:tcPr>
          <w:p>
            <w:pPr>
              <w:pStyle w:val="TableParagraph"/>
              <w:spacing w:before="1"/>
              <w:ind w:left="0" w:right="48"/>
              <w:jc w:val="right"/>
              <w:rPr>
                <w:rFonts w:ascii="Courier New"/>
                <w:sz w:val="21"/>
              </w:rPr>
            </w:pPr>
            <w:r>
              <w:rPr>
                <w:rFonts w:ascii="Courier New"/>
                <w:spacing w:val="-2"/>
                <w:sz w:val="21"/>
              </w:rPr>
              <w:t>0.014186</w:t>
            </w:r>
          </w:p>
        </w:tc>
      </w:tr>
      <w:tr>
        <w:trPr>
          <w:trHeight w:val="238" w:hRule="atLeast"/>
        </w:trPr>
        <w:tc>
          <w:tcPr>
            <w:tcW w:w="493" w:type="dxa"/>
          </w:tcPr>
          <w:p>
            <w:pPr>
              <w:pStyle w:val="TableParagraph"/>
              <w:spacing w:line="218" w:lineRule="exact"/>
              <w:ind w:left="50"/>
              <w:rPr>
                <w:rFonts w:ascii="Courier New"/>
                <w:sz w:val="21"/>
              </w:rPr>
            </w:pPr>
            <w:r>
              <w:rPr>
                <w:rFonts w:ascii="Courier New"/>
                <w:spacing w:val="-5"/>
                <w:sz w:val="21"/>
              </w:rPr>
              <w:t>45</w:t>
            </w:r>
          </w:p>
        </w:tc>
        <w:tc>
          <w:tcPr>
            <w:tcW w:w="1826" w:type="dxa"/>
          </w:tcPr>
          <w:p>
            <w:pPr>
              <w:pStyle w:val="TableParagraph"/>
              <w:spacing w:line="218" w:lineRule="exact"/>
              <w:ind w:left="0" w:right="122"/>
              <w:jc w:val="right"/>
              <w:rPr>
                <w:rFonts w:ascii="Courier New"/>
                <w:sz w:val="21"/>
              </w:rPr>
            </w:pPr>
            <w:r>
              <w:rPr>
                <w:rFonts w:ascii="Courier New"/>
                <w:spacing w:val="-2"/>
                <w:sz w:val="21"/>
              </w:rPr>
              <w:t>ULTRACEMCO.NS</w:t>
            </w:r>
          </w:p>
        </w:tc>
        <w:tc>
          <w:tcPr>
            <w:tcW w:w="1186" w:type="dxa"/>
          </w:tcPr>
          <w:p>
            <w:pPr>
              <w:pStyle w:val="TableParagraph"/>
              <w:spacing w:line="218" w:lineRule="exact"/>
              <w:ind w:left="0" w:right="48"/>
              <w:jc w:val="right"/>
              <w:rPr>
                <w:rFonts w:ascii="Courier New"/>
                <w:sz w:val="21"/>
              </w:rPr>
            </w:pPr>
            <w:r>
              <w:rPr>
                <w:rFonts w:ascii="Courier New"/>
                <w:spacing w:val="-2"/>
                <w:sz w:val="21"/>
              </w:rPr>
              <w:t>0.030478</w:t>
            </w:r>
          </w:p>
        </w:tc>
      </w:tr>
    </w:tbl>
    <w:p>
      <w:pPr>
        <w:pStyle w:val="TableParagraph"/>
        <w:spacing w:after="0" w:line="218" w:lineRule="exact"/>
        <w:jc w:val="right"/>
        <w:rPr>
          <w:rFonts w:ascii="Courier New"/>
          <w:sz w:val="21"/>
        </w:rPr>
        <w:sectPr>
          <w:pgSz w:w="11910" w:h="16840"/>
          <w:pgMar w:top="1360" w:bottom="280" w:left="425" w:right="283"/>
        </w:sectPr>
      </w:pPr>
    </w:p>
    <w:p>
      <w:pPr>
        <w:pStyle w:val="BodyText"/>
        <w:tabs>
          <w:tab w:pos="2966" w:val="left" w:leader="none"/>
          <w:tab w:pos="3132" w:val="left" w:leader="none"/>
        </w:tabs>
        <w:spacing w:before="60"/>
        <w:ind w:left="1015" w:right="1153"/>
        <w:rPr>
          <w:i/>
        </w:rPr>
      </w:pPr>
      <w:r>
        <w:rPr/>
        <w:t>Hierarchical Risk Parity allocation technique is suggested based on recursive bisection and inverse</w:t>
      </w:r>
      <w:r>
        <w:rPr>
          <w:spacing w:val="-2"/>
        </w:rPr>
        <w:t> </w:t>
      </w:r>
      <w:r>
        <w:rPr/>
        <w:t>variance allocation.</w:t>
      </w:r>
      <w:r>
        <w:rPr>
          <w:spacing w:val="-1"/>
        </w:rPr>
        <w:t> </w:t>
      </w:r>
      <w:r>
        <w:rPr/>
        <w:t>The</w:t>
      </w:r>
      <w:r>
        <w:rPr>
          <w:spacing w:val="-3"/>
        </w:rPr>
        <w:t> </w:t>
      </w:r>
      <w:r>
        <w:rPr/>
        <w:t>method</w:t>
      </w:r>
      <w:r>
        <w:rPr>
          <w:spacing w:val="-1"/>
        </w:rPr>
        <w:t> </w:t>
      </w:r>
      <w:r>
        <w:rPr/>
        <w:t>starts</w:t>
      </w:r>
      <w:r>
        <w:rPr>
          <w:spacing w:val="-1"/>
        </w:rPr>
        <w:t> </w:t>
      </w:r>
      <w:r>
        <w:rPr/>
        <w:t>with</w:t>
      </w:r>
      <w:r>
        <w:rPr>
          <w:spacing w:val="-1"/>
        </w:rPr>
        <w:t> </w:t>
      </w:r>
      <w:r>
        <w:rPr/>
        <w:t>all</w:t>
      </w:r>
      <w:r>
        <w:rPr>
          <w:spacing w:val="-1"/>
        </w:rPr>
        <w:t> </w:t>
      </w:r>
      <w:r>
        <w:rPr/>
        <w:t>of</w:t>
      </w:r>
      <w:r>
        <w:rPr>
          <w:spacing w:val="-1"/>
        </w:rPr>
        <w:t> </w:t>
      </w:r>
      <w:r>
        <w:rPr/>
        <w:t>the ordered</w:t>
      </w:r>
      <w:r>
        <w:rPr>
          <w:spacing w:val="-1"/>
        </w:rPr>
        <w:t> </w:t>
      </w:r>
      <w:r>
        <w:rPr/>
        <w:t>assets as</w:t>
      </w:r>
      <w:r>
        <w:rPr>
          <w:spacing w:val="-1"/>
        </w:rPr>
        <w:t> </w:t>
      </w:r>
      <w:r>
        <w:rPr/>
        <w:t>one</w:t>
      </w:r>
      <w:r>
        <w:rPr>
          <w:spacing w:val="-2"/>
        </w:rPr>
        <w:t> </w:t>
      </w:r>
      <w:r>
        <w:rPr/>
        <w:t>set,</w:t>
      </w:r>
      <w:r>
        <w:rPr>
          <w:spacing w:val="-1"/>
        </w:rPr>
        <w:t> </w:t>
      </w:r>
      <w:r>
        <w:rPr/>
        <w:t>with</w:t>
      </w:r>
      <w:r>
        <w:rPr>
          <w:spacing w:val="-1"/>
        </w:rPr>
        <w:t> </w:t>
      </w:r>
      <w:r>
        <w:rPr/>
        <w:t>al l</w:t>
      </w:r>
      <w:r>
        <w:rPr>
          <w:spacing w:val="-2"/>
        </w:rPr>
        <w:t> </w:t>
      </w:r>
      <w:r>
        <w:rPr/>
        <w:t>unit</w:t>
      </w:r>
      <w:r>
        <w:rPr>
          <w:spacing w:val="-2"/>
        </w:rPr>
        <w:t> </w:t>
      </w:r>
      <w:r>
        <w:rPr/>
        <w:t>weights</w:t>
      </w:r>
      <w:r>
        <w:rPr>
          <w:spacing w:val="-2"/>
        </w:rPr>
        <w:t> </w:t>
      </w:r>
      <w:r>
        <w:rPr/>
        <w:t>equal</w:t>
      </w:r>
      <w:r>
        <w:rPr>
          <w:spacing w:val="-2"/>
        </w:rPr>
        <w:t> </w:t>
      </w:r>
      <w:r>
        <w:rPr/>
        <w:t>to</w:t>
      </w:r>
      <w:r>
        <w:rPr>
          <w:spacing w:val="-2"/>
        </w:rPr>
        <w:t> </w:t>
      </w:r>
      <w:r>
        <w:rPr/>
        <w:t>one.</w:t>
      </w:r>
      <w:r>
        <w:rPr>
          <w:spacing w:val="-1"/>
        </w:rPr>
        <w:t> </w:t>
      </w:r>
      <w:r>
        <w:rPr>
          <w:i/>
          <w:color w:val="4471C4"/>
        </w:rPr>
        <w:t>(Eidenvall,</w:t>
      </w:r>
      <w:r>
        <w:rPr>
          <w:i/>
          <w:color w:val="4471C4"/>
          <w:spacing w:val="-2"/>
        </w:rPr>
        <w:t> </w:t>
      </w:r>
      <w:r>
        <w:rPr>
          <w:i/>
          <w:color w:val="4471C4"/>
        </w:rPr>
        <w:t>A,.</w:t>
      </w:r>
      <w:r>
        <w:rPr>
          <w:i/>
          <w:color w:val="4471C4"/>
          <w:spacing w:val="-2"/>
        </w:rPr>
        <w:t> </w:t>
      </w:r>
      <w:r>
        <w:rPr>
          <w:i/>
          <w:color w:val="4471C4"/>
        </w:rPr>
        <w:t>2021)</w:t>
      </w:r>
      <w:r>
        <w:rPr>
          <w:i/>
          <w:color w:val="4471C4"/>
          <w:spacing w:val="40"/>
        </w:rPr>
        <w:t> </w:t>
      </w:r>
      <w:r>
        <w:rPr/>
        <w:t>The</w:t>
      </w:r>
      <w:r>
        <w:rPr>
          <w:spacing w:val="-4"/>
        </w:rPr>
        <w:t> </w:t>
      </w:r>
      <w:r>
        <w:rPr/>
        <w:t>sets</w:t>
      </w:r>
      <w:r>
        <w:rPr>
          <w:spacing w:val="-2"/>
        </w:rPr>
        <w:t> </w:t>
      </w:r>
      <w:r>
        <w:rPr/>
        <w:t>are</w:t>
      </w:r>
      <w:r>
        <w:rPr>
          <w:spacing w:val="-3"/>
        </w:rPr>
        <w:t> </w:t>
      </w:r>
      <w:r>
        <w:rPr/>
        <w:t>then</w:t>
      </w:r>
      <w:r>
        <w:rPr>
          <w:spacing w:val="-2"/>
        </w:rPr>
        <w:t> </w:t>
      </w:r>
      <w:r>
        <w:rPr/>
        <w:t>bisected</w:t>
      </w:r>
      <w:r>
        <w:rPr>
          <w:spacing w:val="-2"/>
        </w:rPr>
        <w:t> </w:t>
      </w:r>
      <w:r>
        <w:rPr/>
        <w:t>into</w:t>
      </w:r>
      <w:r>
        <w:rPr>
          <w:spacing w:val="-2"/>
        </w:rPr>
        <w:t> </w:t>
      </w:r>
      <w:r>
        <w:rPr/>
        <w:t>two</w:t>
      </w:r>
      <w:r>
        <w:rPr>
          <w:spacing w:val="-2"/>
        </w:rPr>
        <w:t> </w:t>
      </w:r>
      <w:r>
        <w:rPr/>
        <w:t>subsets</w:t>
      </w:r>
      <w:r>
        <w:rPr>
          <w:spacing w:val="-2"/>
        </w:rPr>
        <w:t> </w:t>
      </w:r>
      <w:r>
        <w:rPr/>
        <w:t>a nd the subsets are</w:t>
        <w:tab/>
        <w:tab/>
        <w:t>then</w:t>
      </w:r>
      <w:r>
        <w:rPr>
          <w:spacing w:val="-3"/>
        </w:rPr>
        <w:t> </w:t>
      </w:r>
      <w:r>
        <w:rPr/>
        <w:t>bisected</w:t>
      </w:r>
      <w:r>
        <w:rPr>
          <w:spacing w:val="-3"/>
        </w:rPr>
        <w:t> </w:t>
      </w:r>
      <w:r>
        <w:rPr/>
        <w:t>until</w:t>
      </w:r>
      <w:r>
        <w:rPr>
          <w:spacing w:val="-3"/>
        </w:rPr>
        <w:t> </w:t>
      </w:r>
      <w:r>
        <w:rPr/>
        <w:t>all</w:t>
      </w:r>
      <w:r>
        <w:rPr>
          <w:spacing w:val="-3"/>
        </w:rPr>
        <w:t> </w:t>
      </w:r>
      <w:r>
        <w:rPr/>
        <w:t>subsets</w:t>
      </w:r>
      <w:r>
        <w:rPr>
          <w:spacing w:val="-3"/>
        </w:rPr>
        <w:t> </w:t>
      </w:r>
      <w:r>
        <w:rPr/>
        <w:t>includes</w:t>
      </w:r>
      <w:r>
        <w:rPr>
          <w:spacing w:val="-3"/>
        </w:rPr>
        <w:t> </w:t>
      </w:r>
      <w:r>
        <w:rPr/>
        <w:t>only</w:t>
      </w:r>
      <w:r>
        <w:rPr>
          <w:spacing w:val="-3"/>
        </w:rPr>
        <w:t> </w:t>
      </w:r>
      <w:r>
        <w:rPr/>
        <w:t>one</w:t>
      </w:r>
      <w:r>
        <w:rPr>
          <w:spacing w:val="-4"/>
        </w:rPr>
        <w:t> </w:t>
      </w:r>
      <w:r>
        <w:rPr/>
        <w:t>asset.</w:t>
      </w:r>
      <w:r>
        <w:rPr>
          <w:spacing w:val="-1"/>
        </w:rPr>
        <w:t> </w:t>
      </w:r>
      <w:r>
        <w:rPr/>
        <w:t>At</w:t>
      </w:r>
      <w:r>
        <w:rPr>
          <w:spacing w:val="-3"/>
        </w:rPr>
        <w:t> </w:t>
      </w:r>
      <w:r>
        <w:rPr/>
        <w:t>each</w:t>
      </w:r>
      <w:r>
        <w:rPr>
          <w:spacing w:val="-3"/>
        </w:rPr>
        <w:t> </w:t>
      </w:r>
      <w:r>
        <w:rPr/>
        <w:t>step</w:t>
      </w:r>
      <w:r>
        <w:rPr>
          <w:spacing w:val="-3"/>
        </w:rPr>
        <w:t> </w:t>
      </w:r>
      <w:r>
        <w:rPr/>
        <w:t>of</w:t>
      </w:r>
      <w:r>
        <w:rPr>
          <w:spacing w:val="-3"/>
        </w:rPr>
        <w:t> </w:t>
      </w:r>
      <w:r>
        <w:rPr/>
        <w:t>th e bisection, assets</w:t>
        <w:tab/>
        <w:t>weights</w:t>
      </w:r>
      <w:r>
        <w:rPr>
          <w:spacing w:val="-1"/>
        </w:rPr>
        <w:t> </w:t>
      </w:r>
      <w:r>
        <w:rPr/>
        <w:t>in</w:t>
      </w:r>
      <w:r>
        <w:rPr>
          <w:spacing w:val="-1"/>
        </w:rPr>
        <w:t> </w:t>
      </w:r>
      <w:r>
        <w:rPr/>
        <w:t>the</w:t>
      </w:r>
      <w:r>
        <w:rPr>
          <w:spacing w:val="-1"/>
        </w:rPr>
        <w:t> </w:t>
      </w:r>
      <w:r>
        <w:rPr/>
        <w:t>two</w:t>
      </w:r>
      <w:r>
        <w:rPr>
          <w:spacing w:val="-1"/>
        </w:rPr>
        <w:t> </w:t>
      </w:r>
      <w:r>
        <w:rPr/>
        <w:t>subsets</w:t>
      </w:r>
      <w:r>
        <w:rPr>
          <w:spacing w:val="-1"/>
        </w:rPr>
        <w:t> </w:t>
      </w:r>
      <w:r>
        <w:rPr/>
        <w:t>are rescaled</w:t>
      </w:r>
      <w:r>
        <w:rPr>
          <w:spacing w:val="-1"/>
        </w:rPr>
        <w:t> </w:t>
      </w:r>
      <w:r>
        <w:rPr/>
        <w:t>with</w:t>
      </w:r>
      <w:r>
        <w:rPr>
          <w:spacing w:val="-1"/>
        </w:rPr>
        <w:t> </w:t>
      </w:r>
      <w:r>
        <w:rPr/>
        <w:t>a</w:t>
      </w:r>
      <w:r>
        <w:rPr>
          <w:spacing w:val="-1"/>
        </w:rPr>
        <w:t> </w:t>
      </w:r>
      <w:r>
        <w:rPr/>
        <w:t>factor</w:t>
      </w:r>
      <w:r>
        <w:rPr>
          <w:spacing w:val="-1"/>
        </w:rPr>
        <w:t> </w:t>
      </w:r>
      <w:r>
        <w:rPr/>
        <w:t>α</w:t>
      </w:r>
      <w:r>
        <w:rPr>
          <w:spacing w:val="-1"/>
        </w:rPr>
        <w:t> </w:t>
      </w:r>
      <w:r>
        <w:rPr/>
        <w:t>and</w:t>
      </w:r>
      <w:r>
        <w:rPr>
          <w:spacing w:val="-1"/>
        </w:rPr>
        <w:t> </w:t>
      </w:r>
      <w:r>
        <w:rPr/>
        <w:t>(1</w:t>
      </w:r>
      <w:r>
        <w:rPr>
          <w:spacing w:val="-2"/>
        </w:rPr>
        <w:t> </w:t>
      </w:r>
      <w:r>
        <w:rPr/>
        <w:t>− α)</w:t>
      </w:r>
      <w:r>
        <w:rPr>
          <w:spacing w:val="-1"/>
        </w:rPr>
        <w:t> </w:t>
      </w:r>
      <w:r>
        <w:rPr/>
        <w:t>respect ively. We obtain</w:t>
        <w:tab/>
        <w:t>factor α by calculating the inverse variance allocation of the two subsets. The</w:t>
      </w:r>
      <w:r>
        <w:rPr>
          <w:spacing w:val="-4"/>
        </w:rPr>
        <w:t> </w:t>
      </w:r>
      <w:r>
        <w:rPr/>
        <w:t>subsets</w:t>
      </w:r>
      <w:r>
        <w:rPr>
          <w:spacing w:val="-2"/>
        </w:rPr>
        <w:t> </w:t>
      </w:r>
      <w:r>
        <w:rPr/>
        <w:t>variance</w:t>
      </w:r>
      <w:r>
        <w:rPr>
          <w:spacing w:val="-3"/>
        </w:rPr>
        <w:t> </w:t>
      </w:r>
      <w:r>
        <w:rPr/>
        <w:t>is</w:t>
      </w:r>
      <w:r>
        <w:rPr>
          <w:spacing w:val="-2"/>
        </w:rPr>
        <w:t> </w:t>
      </w:r>
      <w:r>
        <w:rPr/>
        <w:t>also</w:t>
      </w:r>
      <w:r>
        <w:rPr>
          <w:spacing w:val="-2"/>
        </w:rPr>
        <w:t> </w:t>
      </w:r>
      <w:r>
        <w:rPr/>
        <w:t>determined</w:t>
      </w:r>
      <w:r>
        <w:rPr>
          <w:spacing w:val="-2"/>
        </w:rPr>
        <w:t> </w:t>
      </w:r>
      <w:r>
        <w:rPr/>
        <w:t>by</w:t>
      </w:r>
      <w:r>
        <w:rPr>
          <w:spacing w:val="-2"/>
        </w:rPr>
        <w:t> </w:t>
      </w:r>
      <w:r>
        <w:rPr/>
        <w:t>using</w:t>
      </w:r>
      <w:r>
        <w:rPr>
          <w:spacing w:val="-2"/>
        </w:rPr>
        <w:t> </w:t>
      </w:r>
      <w:r>
        <w:rPr/>
        <w:t>an</w:t>
      </w:r>
      <w:r>
        <w:rPr>
          <w:spacing w:val="-2"/>
        </w:rPr>
        <w:t> </w:t>
      </w:r>
      <w:r>
        <w:rPr/>
        <w:t>inverse</w:t>
      </w:r>
      <w:r>
        <w:rPr>
          <w:spacing w:val="-3"/>
        </w:rPr>
        <w:t> </w:t>
      </w:r>
      <w:r>
        <w:rPr/>
        <w:t>variance</w:t>
      </w:r>
      <w:r>
        <w:rPr>
          <w:spacing w:val="-1"/>
        </w:rPr>
        <w:t> </w:t>
      </w:r>
      <w:r>
        <w:rPr/>
        <w:t>allocation</w:t>
      </w:r>
      <w:r>
        <w:rPr>
          <w:spacing w:val="-2"/>
        </w:rPr>
        <w:t> </w:t>
      </w:r>
      <w:r>
        <w:rPr/>
        <w:t>within</w:t>
      </w:r>
      <w:r>
        <w:rPr>
          <w:spacing w:val="-2"/>
        </w:rPr>
        <w:t> </w:t>
      </w:r>
      <w:r>
        <w:rPr/>
        <w:t>the</w:t>
      </w:r>
      <w:r>
        <w:rPr>
          <w:spacing w:val="-3"/>
        </w:rPr>
        <w:t> </w:t>
      </w:r>
      <w:r>
        <w:rPr/>
        <w:t>sub set. </w:t>
      </w:r>
      <w:r>
        <w:rPr>
          <w:i/>
          <w:color w:val="4471C4"/>
        </w:rPr>
        <w:t>(Eidenvall, A,. 2021)</w:t>
      </w:r>
    </w:p>
    <w:p>
      <w:pPr>
        <w:pStyle w:val="BodyText"/>
        <w:spacing w:before="1"/>
        <w:ind w:left="1015" w:right="1260"/>
      </w:pPr>
      <w:r>
        <w:rPr/>
        <w:t>Recursive</w:t>
      </w:r>
      <w:r>
        <w:rPr>
          <w:spacing w:val="-4"/>
        </w:rPr>
        <w:t> </w:t>
      </w:r>
      <w:r>
        <w:rPr/>
        <w:t>bisection</w:t>
      </w:r>
      <w:r>
        <w:rPr>
          <w:spacing w:val="-3"/>
        </w:rPr>
        <w:t> </w:t>
      </w:r>
      <w:r>
        <w:rPr/>
        <w:t>in</w:t>
      </w:r>
      <w:r>
        <w:rPr>
          <w:spacing w:val="-3"/>
        </w:rPr>
        <w:t> </w:t>
      </w:r>
      <w:r>
        <w:rPr/>
        <w:t>HRP</w:t>
      </w:r>
      <w:r>
        <w:rPr>
          <w:spacing w:val="-3"/>
        </w:rPr>
        <w:t> </w:t>
      </w:r>
      <w:r>
        <w:rPr/>
        <w:t>rather</w:t>
      </w:r>
      <w:r>
        <w:rPr>
          <w:spacing w:val="-5"/>
        </w:rPr>
        <w:t> </w:t>
      </w:r>
      <w:r>
        <w:rPr/>
        <w:t>focuses</w:t>
      </w:r>
      <w:r>
        <w:rPr>
          <w:spacing w:val="-3"/>
        </w:rPr>
        <w:t> </w:t>
      </w:r>
      <w:r>
        <w:rPr/>
        <w:t>on</w:t>
      </w:r>
      <w:r>
        <w:rPr>
          <w:spacing w:val="-3"/>
        </w:rPr>
        <w:t> </w:t>
      </w:r>
      <w:r>
        <w:rPr/>
        <w:t>the</w:t>
      </w:r>
      <w:r>
        <w:rPr>
          <w:spacing w:val="-2"/>
        </w:rPr>
        <w:t> </w:t>
      </w:r>
      <w:r>
        <w:rPr/>
        <w:t>obtained</w:t>
      </w:r>
      <w:r>
        <w:rPr>
          <w:spacing w:val="-3"/>
        </w:rPr>
        <w:t> </w:t>
      </w:r>
      <w:r>
        <w:rPr/>
        <w:t>order</w:t>
      </w:r>
      <w:r>
        <w:rPr>
          <w:spacing w:val="-2"/>
        </w:rPr>
        <w:t> </w:t>
      </w:r>
      <w:r>
        <w:rPr/>
        <w:t>at</w:t>
      </w:r>
      <w:r>
        <w:rPr>
          <w:spacing w:val="-3"/>
        </w:rPr>
        <w:t> </w:t>
      </w:r>
      <w:r>
        <w:rPr/>
        <w:t>the</w:t>
      </w:r>
      <w:r>
        <w:rPr>
          <w:spacing w:val="-4"/>
        </w:rPr>
        <w:t> </w:t>
      </w:r>
      <w:r>
        <w:rPr/>
        <w:t>bottom</w:t>
      </w:r>
      <w:r>
        <w:rPr>
          <w:spacing w:val="-3"/>
        </w:rPr>
        <w:t> </w:t>
      </w:r>
      <w:r>
        <w:rPr/>
        <w:t>level</w:t>
      </w:r>
      <w:r>
        <w:rPr>
          <w:spacing w:val="-3"/>
        </w:rPr>
        <w:t> </w:t>
      </w:r>
      <w:r>
        <w:rPr/>
        <w:t>of</w:t>
      </w:r>
      <w:r>
        <w:rPr>
          <w:spacing w:val="-3"/>
        </w:rPr>
        <w:t> </w:t>
      </w:r>
      <w:r>
        <w:rPr/>
        <w:t>the</w:t>
      </w:r>
      <w:r>
        <w:rPr>
          <w:spacing w:val="-4"/>
        </w:rPr>
        <w:t> </w:t>
      </w:r>
      <w:r>
        <w:rPr/>
        <w:t>de ndrogram and ignores the obtained clusters at different levels of the dendrogram.</w:t>
      </w:r>
    </w:p>
    <w:p>
      <w:pPr>
        <w:pStyle w:val="BodyText"/>
        <w:spacing w:before="100"/>
        <w:rPr>
          <w:sz w:val="20"/>
        </w:rPr>
      </w:pPr>
      <w:r>
        <w:rPr>
          <w:sz w:val="20"/>
        </w:rPr>
        <w:drawing>
          <wp:anchor distT="0" distB="0" distL="0" distR="0" allowOverlap="1" layoutInCell="1" locked="0" behindDoc="1" simplePos="0" relativeHeight="487602176">
            <wp:simplePos x="0" y="0"/>
            <wp:positionH relativeFrom="page">
              <wp:posOffset>1585033</wp:posOffset>
            </wp:positionH>
            <wp:positionV relativeFrom="paragraph">
              <wp:posOffset>225172</wp:posOffset>
            </wp:positionV>
            <wp:extent cx="4146123" cy="2456688"/>
            <wp:effectExtent l="0" t="0" r="0" b="0"/>
            <wp:wrapTopAndBottom/>
            <wp:docPr id="36" name="Image 36" descr="A graph with a line graph  Description automatically generated"/>
            <wp:cNvGraphicFramePr>
              <a:graphicFrameLocks/>
            </wp:cNvGraphicFramePr>
            <a:graphic>
              <a:graphicData uri="http://schemas.openxmlformats.org/drawingml/2006/picture">
                <pic:pic>
                  <pic:nvPicPr>
                    <pic:cNvPr id="36" name="Image 36" descr="A graph with a line graph  Description automatically generated"/>
                    <pic:cNvPicPr/>
                  </pic:nvPicPr>
                  <pic:blipFill>
                    <a:blip r:embed="rId39" cstate="print"/>
                    <a:stretch>
                      <a:fillRect/>
                    </a:stretch>
                  </pic:blipFill>
                  <pic:spPr>
                    <a:xfrm>
                      <a:off x="0" y="0"/>
                      <a:ext cx="4146123" cy="2456688"/>
                    </a:xfrm>
                    <a:prstGeom prst="rect">
                      <a:avLst/>
                    </a:prstGeom>
                  </pic:spPr>
                </pic:pic>
              </a:graphicData>
            </a:graphic>
          </wp:anchor>
        </w:drawing>
      </w:r>
    </w:p>
    <w:p>
      <w:pPr>
        <w:pStyle w:val="BodyText"/>
        <w:spacing w:before="83"/>
        <w:ind w:left="3115"/>
      </w:pPr>
      <w:r>
        <w:rPr>
          <w:color w:val="0D0D0D"/>
        </w:rPr>
        <w:t>Fig.30.Cummulative</w:t>
      </w:r>
      <w:r>
        <w:rPr>
          <w:color w:val="0D0D0D"/>
          <w:spacing w:val="-1"/>
        </w:rPr>
        <w:t> </w:t>
      </w:r>
      <w:r>
        <w:rPr>
          <w:color w:val="0D0D0D"/>
        </w:rPr>
        <w:t>returns</w:t>
      </w:r>
      <w:r>
        <w:rPr>
          <w:color w:val="0D0D0D"/>
          <w:spacing w:val="-1"/>
        </w:rPr>
        <w:t> </w:t>
      </w:r>
      <w:r>
        <w:rPr>
          <w:color w:val="0D0D0D"/>
        </w:rPr>
        <w:t>of</w:t>
      </w:r>
      <w:r>
        <w:rPr>
          <w:color w:val="0D0D0D"/>
          <w:spacing w:val="-2"/>
        </w:rPr>
        <w:t> </w:t>
      </w:r>
      <w:r>
        <w:rPr>
          <w:color w:val="0D0D0D"/>
        </w:rPr>
        <w:t>HRP</w:t>
      </w:r>
      <w:r>
        <w:rPr>
          <w:color w:val="0D0D0D"/>
          <w:spacing w:val="-1"/>
        </w:rPr>
        <w:t> </w:t>
      </w:r>
      <w:r>
        <w:rPr>
          <w:color w:val="0D0D0D"/>
          <w:spacing w:val="-2"/>
        </w:rPr>
        <w:t>portfolio</w:t>
      </w:r>
    </w:p>
    <w:p>
      <w:pPr>
        <w:pStyle w:val="BodyText"/>
      </w:pPr>
    </w:p>
    <w:p>
      <w:pPr>
        <w:pStyle w:val="BodyText"/>
        <w:spacing w:before="43"/>
      </w:pPr>
    </w:p>
    <w:p>
      <w:pPr>
        <w:pStyle w:val="BodyText"/>
        <w:spacing w:before="1"/>
        <w:ind w:left="1015" w:right="1260"/>
      </w:pPr>
      <w:r>
        <w:rPr>
          <w:color w:val="0D0D0D"/>
        </w:rPr>
        <w:t>It</w:t>
      </w:r>
      <w:r>
        <w:rPr>
          <w:color w:val="0D0D0D"/>
          <w:spacing w:val="-3"/>
        </w:rPr>
        <w:t> </w:t>
      </w:r>
      <w:r>
        <w:rPr>
          <w:color w:val="0D0D0D"/>
        </w:rPr>
        <w:t>can</w:t>
      </w:r>
      <w:r>
        <w:rPr>
          <w:color w:val="0D0D0D"/>
          <w:spacing w:val="-3"/>
        </w:rPr>
        <w:t> </w:t>
      </w:r>
      <w:r>
        <w:rPr>
          <w:color w:val="0D0D0D"/>
        </w:rPr>
        <w:t>also</w:t>
      </w:r>
      <w:r>
        <w:rPr>
          <w:color w:val="0D0D0D"/>
          <w:spacing w:val="-3"/>
        </w:rPr>
        <w:t> </w:t>
      </w:r>
      <w:r>
        <w:rPr>
          <w:color w:val="0D0D0D"/>
        </w:rPr>
        <w:t>be</w:t>
      </w:r>
      <w:r>
        <w:rPr>
          <w:color w:val="0D0D0D"/>
          <w:spacing w:val="-3"/>
        </w:rPr>
        <w:t> </w:t>
      </w:r>
      <w:r>
        <w:rPr>
          <w:color w:val="0D0D0D"/>
        </w:rPr>
        <w:t>noticed</w:t>
      </w:r>
      <w:r>
        <w:rPr>
          <w:color w:val="0D0D0D"/>
          <w:spacing w:val="-3"/>
        </w:rPr>
        <w:t> </w:t>
      </w:r>
      <w:r>
        <w:rPr>
          <w:color w:val="0D0D0D"/>
        </w:rPr>
        <w:t>that</w:t>
      </w:r>
      <w:r>
        <w:rPr>
          <w:color w:val="0D0D0D"/>
          <w:spacing w:val="-3"/>
        </w:rPr>
        <w:t> </w:t>
      </w:r>
      <w:r>
        <w:rPr>
          <w:color w:val="0D0D0D"/>
        </w:rPr>
        <w:t>the</w:t>
      </w:r>
      <w:r>
        <w:rPr>
          <w:color w:val="0D0D0D"/>
          <w:spacing w:val="-4"/>
        </w:rPr>
        <w:t> </w:t>
      </w:r>
      <w:r>
        <w:rPr>
          <w:color w:val="0D0D0D"/>
        </w:rPr>
        <w:t>HRP</w:t>
      </w:r>
      <w:r>
        <w:rPr>
          <w:color w:val="0D0D0D"/>
          <w:spacing w:val="-3"/>
        </w:rPr>
        <w:t> </w:t>
      </w:r>
      <w:r>
        <w:rPr>
          <w:color w:val="0D0D0D"/>
        </w:rPr>
        <w:t>asset</w:t>
      </w:r>
      <w:r>
        <w:rPr>
          <w:color w:val="0D0D0D"/>
          <w:spacing w:val="-3"/>
        </w:rPr>
        <w:t> </w:t>
      </w:r>
      <w:r>
        <w:rPr>
          <w:color w:val="0D0D0D"/>
        </w:rPr>
        <w:t>allocation</w:t>
      </w:r>
      <w:r>
        <w:rPr>
          <w:color w:val="0D0D0D"/>
          <w:spacing w:val="-3"/>
        </w:rPr>
        <w:t> </w:t>
      </w:r>
      <w:r>
        <w:rPr>
          <w:color w:val="0D0D0D"/>
        </w:rPr>
        <w:t>technique</w:t>
      </w:r>
      <w:r>
        <w:rPr>
          <w:color w:val="0D0D0D"/>
          <w:spacing w:val="-3"/>
        </w:rPr>
        <w:t> </w:t>
      </w:r>
      <w:r>
        <w:rPr>
          <w:color w:val="0D0D0D"/>
        </w:rPr>
        <w:t>has</w:t>
      </w:r>
      <w:r>
        <w:rPr>
          <w:color w:val="0D0D0D"/>
          <w:spacing w:val="-3"/>
        </w:rPr>
        <w:t> </w:t>
      </w:r>
      <w:r>
        <w:rPr>
          <w:color w:val="0D0D0D"/>
        </w:rPr>
        <w:t>successfully</w:t>
      </w:r>
      <w:r>
        <w:rPr>
          <w:color w:val="0D0D0D"/>
          <w:spacing w:val="-3"/>
        </w:rPr>
        <w:t> </w:t>
      </w:r>
      <w:r>
        <w:rPr>
          <w:color w:val="0D0D0D"/>
        </w:rPr>
        <w:t>diversified</w:t>
      </w:r>
      <w:r>
        <w:rPr>
          <w:color w:val="0D0D0D"/>
          <w:spacing w:val="-3"/>
        </w:rPr>
        <w:t> </w:t>
      </w:r>
      <w:r>
        <w:rPr>
          <w:color w:val="0D0D0D"/>
        </w:rPr>
        <w:t>the portfolio unlike the mean variance optimization method which allocated funds to only 10 stocks in the Nifty 50 stocks universe.</w:t>
      </w:r>
    </w:p>
    <w:p>
      <w:pPr>
        <w:pStyle w:val="BodyText"/>
        <w:spacing w:before="64"/>
        <w:rPr>
          <w:sz w:val="20"/>
        </w:rPr>
      </w:pPr>
      <w:r>
        <w:rPr>
          <w:sz w:val="20"/>
        </w:rPr>
        <w:drawing>
          <wp:anchor distT="0" distB="0" distL="0" distR="0" allowOverlap="1" layoutInCell="1" locked="0" behindDoc="1" simplePos="0" relativeHeight="487602688">
            <wp:simplePos x="0" y="0"/>
            <wp:positionH relativeFrom="page">
              <wp:posOffset>2027202</wp:posOffset>
            </wp:positionH>
            <wp:positionV relativeFrom="paragraph">
              <wp:posOffset>202309</wp:posOffset>
            </wp:positionV>
            <wp:extent cx="3366565" cy="259689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0" cstate="print"/>
                    <a:stretch>
                      <a:fillRect/>
                    </a:stretch>
                  </pic:blipFill>
                  <pic:spPr>
                    <a:xfrm>
                      <a:off x="0" y="0"/>
                      <a:ext cx="3366565" cy="2596896"/>
                    </a:xfrm>
                    <a:prstGeom prst="rect">
                      <a:avLst/>
                    </a:prstGeom>
                  </pic:spPr>
                </pic:pic>
              </a:graphicData>
            </a:graphic>
          </wp:anchor>
        </w:drawing>
      </w:r>
    </w:p>
    <w:p>
      <w:pPr>
        <w:pStyle w:val="BodyText"/>
        <w:spacing w:before="46"/>
        <w:ind w:left="3175"/>
      </w:pPr>
      <w:r>
        <w:rPr>
          <w:color w:val="0D0D0D"/>
        </w:rPr>
        <w:t>Fig.31.Bar</w:t>
      </w:r>
      <w:r>
        <w:rPr>
          <w:color w:val="0D0D0D"/>
          <w:spacing w:val="-1"/>
        </w:rPr>
        <w:t> </w:t>
      </w:r>
      <w:r>
        <w:rPr>
          <w:color w:val="0D0D0D"/>
        </w:rPr>
        <w:t>plot of</w:t>
      </w:r>
      <w:r>
        <w:rPr>
          <w:color w:val="0D0D0D"/>
          <w:spacing w:val="-1"/>
        </w:rPr>
        <w:t> </w:t>
      </w:r>
      <w:r>
        <w:rPr>
          <w:color w:val="0D0D0D"/>
        </w:rPr>
        <w:t>weights of</w:t>
      </w:r>
      <w:r>
        <w:rPr>
          <w:color w:val="0D0D0D"/>
          <w:spacing w:val="-1"/>
        </w:rPr>
        <w:t> </w:t>
      </w:r>
      <w:r>
        <w:rPr>
          <w:color w:val="0D0D0D"/>
        </w:rPr>
        <w:t>stocks in</w:t>
      </w:r>
      <w:r>
        <w:rPr>
          <w:color w:val="0D0D0D"/>
          <w:spacing w:val="-1"/>
        </w:rPr>
        <w:t> </w:t>
      </w:r>
      <w:r>
        <w:rPr>
          <w:color w:val="0D0D0D"/>
        </w:rPr>
        <w:t>the </w:t>
      </w:r>
      <w:r>
        <w:rPr>
          <w:color w:val="0D0D0D"/>
          <w:spacing w:val="-2"/>
        </w:rPr>
        <w:t>portfolio</w:t>
      </w:r>
    </w:p>
    <w:p>
      <w:pPr>
        <w:pStyle w:val="BodyText"/>
        <w:spacing w:after="0"/>
        <w:sectPr>
          <w:pgSz w:w="11910" w:h="16840"/>
          <w:pgMar w:top="1360" w:bottom="280" w:left="425" w:right="283"/>
        </w:sectPr>
      </w:pPr>
    </w:p>
    <w:p>
      <w:pPr>
        <w:pStyle w:val="BodyText"/>
        <w:ind w:left="2197"/>
        <w:rPr>
          <w:sz w:val="20"/>
        </w:rPr>
      </w:pPr>
      <w:r>
        <w:rPr>
          <w:sz w:val="20"/>
        </w:rPr>
        <w:drawing>
          <wp:inline distT="0" distB="0" distL="0" distR="0">
            <wp:extent cx="4274270" cy="3332988"/>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41" cstate="print"/>
                    <a:stretch>
                      <a:fillRect/>
                    </a:stretch>
                  </pic:blipFill>
                  <pic:spPr>
                    <a:xfrm>
                      <a:off x="0" y="0"/>
                      <a:ext cx="4274270" cy="3332988"/>
                    </a:xfrm>
                    <a:prstGeom prst="rect">
                      <a:avLst/>
                    </a:prstGeom>
                  </pic:spPr>
                </pic:pic>
              </a:graphicData>
            </a:graphic>
          </wp:inline>
        </w:drawing>
      </w:r>
      <w:r>
        <w:rPr>
          <w:sz w:val="20"/>
        </w:rPr>
      </w:r>
    </w:p>
    <w:p>
      <w:pPr>
        <w:pStyle w:val="BodyText"/>
        <w:spacing w:before="97"/>
        <w:ind w:left="162"/>
        <w:jc w:val="center"/>
      </w:pPr>
      <w:r>
        <w:rPr>
          <w:color w:val="0D0D0D"/>
        </w:rPr>
        <w:t>Fig.32.Pie</w:t>
      </w:r>
      <w:r>
        <w:rPr>
          <w:color w:val="0D0D0D"/>
          <w:spacing w:val="-1"/>
        </w:rPr>
        <w:t> </w:t>
      </w:r>
      <w:r>
        <w:rPr>
          <w:color w:val="0D0D0D"/>
        </w:rPr>
        <w:t>chart of</w:t>
      </w:r>
      <w:r>
        <w:rPr>
          <w:color w:val="0D0D0D"/>
          <w:spacing w:val="-2"/>
        </w:rPr>
        <w:t> </w:t>
      </w:r>
      <w:r>
        <w:rPr>
          <w:color w:val="0D0D0D"/>
        </w:rPr>
        <w:t>weights of</w:t>
      </w:r>
      <w:r>
        <w:rPr>
          <w:color w:val="0D0D0D"/>
          <w:spacing w:val="-1"/>
        </w:rPr>
        <w:t> </w:t>
      </w:r>
      <w:r>
        <w:rPr>
          <w:color w:val="0D0D0D"/>
        </w:rPr>
        <w:t>stocks in</w:t>
      </w:r>
      <w:r>
        <w:rPr>
          <w:color w:val="0D0D0D"/>
          <w:spacing w:val="-1"/>
        </w:rPr>
        <w:t> </w:t>
      </w:r>
      <w:r>
        <w:rPr>
          <w:color w:val="0D0D0D"/>
        </w:rPr>
        <w:t>the </w:t>
      </w:r>
      <w:r>
        <w:rPr>
          <w:color w:val="0D0D0D"/>
          <w:spacing w:val="-2"/>
        </w:rPr>
        <w:t>portfolio</w:t>
      </w:r>
    </w:p>
    <w:p>
      <w:pPr>
        <w:pStyle w:val="BodyText"/>
      </w:pPr>
    </w:p>
    <w:p>
      <w:pPr>
        <w:pStyle w:val="BodyText"/>
      </w:pPr>
    </w:p>
    <w:p>
      <w:pPr>
        <w:pStyle w:val="BodyText"/>
      </w:pPr>
    </w:p>
    <w:p>
      <w:pPr>
        <w:pStyle w:val="BodyText"/>
      </w:pPr>
    </w:p>
    <w:p>
      <w:pPr>
        <w:pStyle w:val="BodyText"/>
        <w:ind w:left="1015" w:right="1260"/>
      </w:pPr>
      <w:r>
        <w:rPr>
          <w:color w:val="0D0D0D"/>
        </w:rPr>
        <w:t>GARCH</w:t>
      </w:r>
      <w:r>
        <w:rPr>
          <w:color w:val="0D0D0D"/>
          <w:spacing w:val="-4"/>
        </w:rPr>
        <w:t> </w:t>
      </w:r>
      <w:r>
        <w:rPr>
          <w:color w:val="0D0D0D"/>
        </w:rPr>
        <w:t>model</w:t>
      </w:r>
      <w:r>
        <w:rPr>
          <w:color w:val="0D0D0D"/>
          <w:spacing w:val="-3"/>
        </w:rPr>
        <w:t> </w:t>
      </w:r>
      <w:r>
        <w:rPr>
          <w:color w:val="0D0D0D"/>
        </w:rPr>
        <w:t>is</w:t>
      </w:r>
      <w:r>
        <w:rPr>
          <w:color w:val="0D0D0D"/>
          <w:spacing w:val="-3"/>
        </w:rPr>
        <w:t> </w:t>
      </w:r>
      <w:r>
        <w:rPr>
          <w:color w:val="0D0D0D"/>
        </w:rPr>
        <w:t>being</w:t>
      </w:r>
      <w:r>
        <w:rPr>
          <w:color w:val="0D0D0D"/>
          <w:spacing w:val="-3"/>
        </w:rPr>
        <w:t> </w:t>
      </w:r>
      <w:r>
        <w:rPr>
          <w:color w:val="0D0D0D"/>
        </w:rPr>
        <w:t>used</w:t>
      </w:r>
      <w:r>
        <w:rPr>
          <w:color w:val="0D0D0D"/>
          <w:spacing w:val="-3"/>
        </w:rPr>
        <w:t> </w:t>
      </w:r>
      <w:r>
        <w:rPr>
          <w:color w:val="0D0D0D"/>
        </w:rPr>
        <w:t>to</w:t>
      </w:r>
      <w:r>
        <w:rPr>
          <w:color w:val="0D0D0D"/>
          <w:spacing w:val="-3"/>
        </w:rPr>
        <w:t> </w:t>
      </w:r>
      <w:r>
        <w:rPr>
          <w:color w:val="0D0D0D"/>
        </w:rPr>
        <w:t>forecast</w:t>
      </w:r>
      <w:r>
        <w:rPr>
          <w:color w:val="0D0D0D"/>
          <w:spacing w:val="-3"/>
        </w:rPr>
        <w:t> </w:t>
      </w:r>
      <w:r>
        <w:rPr>
          <w:color w:val="0D0D0D"/>
        </w:rPr>
        <w:t>the</w:t>
      </w:r>
      <w:r>
        <w:rPr>
          <w:color w:val="0D0D0D"/>
          <w:spacing w:val="-2"/>
        </w:rPr>
        <w:t> </w:t>
      </w:r>
      <w:r>
        <w:rPr>
          <w:color w:val="0D0D0D"/>
        </w:rPr>
        <w:t>volatility</w:t>
      </w:r>
      <w:r>
        <w:rPr>
          <w:color w:val="0D0D0D"/>
          <w:spacing w:val="-2"/>
        </w:rPr>
        <w:t> </w:t>
      </w:r>
      <w:r>
        <w:rPr>
          <w:color w:val="0D0D0D"/>
        </w:rPr>
        <w:t>of</w:t>
      </w:r>
      <w:r>
        <w:rPr>
          <w:color w:val="0D0D0D"/>
          <w:spacing w:val="-3"/>
        </w:rPr>
        <w:t> </w:t>
      </w:r>
      <w:r>
        <w:rPr>
          <w:color w:val="0D0D0D"/>
        </w:rPr>
        <w:t>the</w:t>
      </w:r>
      <w:r>
        <w:rPr>
          <w:color w:val="0D0D0D"/>
          <w:spacing w:val="-5"/>
        </w:rPr>
        <w:t> </w:t>
      </w:r>
      <w:r>
        <w:rPr>
          <w:color w:val="0D0D0D"/>
        </w:rPr>
        <w:t>new</w:t>
      </w:r>
      <w:r>
        <w:rPr>
          <w:color w:val="0D0D0D"/>
          <w:spacing w:val="-3"/>
        </w:rPr>
        <w:t> </w:t>
      </w:r>
      <w:r>
        <w:rPr>
          <w:color w:val="0D0D0D"/>
        </w:rPr>
        <w:t>portfolio</w:t>
      </w:r>
      <w:r>
        <w:rPr>
          <w:color w:val="0D0D0D"/>
          <w:spacing w:val="-3"/>
        </w:rPr>
        <w:t> </w:t>
      </w:r>
      <w:r>
        <w:rPr>
          <w:color w:val="0D0D0D"/>
        </w:rPr>
        <w:t>and</w:t>
      </w:r>
      <w:r>
        <w:rPr>
          <w:color w:val="0D0D0D"/>
          <w:spacing w:val="-3"/>
        </w:rPr>
        <w:t> </w:t>
      </w:r>
      <w:r>
        <w:rPr>
          <w:color w:val="0D0D0D"/>
        </w:rPr>
        <w:t>volatility</w:t>
      </w:r>
      <w:r>
        <w:rPr>
          <w:color w:val="0D0D0D"/>
          <w:spacing w:val="-3"/>
        </w:rPr>
        <w:t> </w:t>
      </w:r>
      <w:r>
        <w:rPr>
          <w:color w:val="0D0D0D"/>
        </w:rPr>
        <w:t>of Sensex for the year 2023.</w:t>
      </w:r>
    </w:p>
    <w:p>
      <w:pPr>
        <w:pStyle w:val="BodyText"/>
        <w:spacing w:before="22"/>
        <w:rPr>
          <w:sz w:val="20"/>
        </w:rPr>
      </w:pPr>
      <w:r>
        <w:rPr>
          <w:sz w:val="20"/>
        </w:rPr>
        <w:drawing>
          <wp:anchor distT="0" distB="0" distL="0" distR="0" allowOverlap="1" layoutInCell="1" locked="0" behindDoc="1" simplePos="0" relativeHeight="487603200">
            <wp:simplePos x="0" y="0"/>
            <wp:positionH relativeFrom="page">
              <wp:posOffset>914400</wp:posOffset>
            </wp:positionH>
            <wp:positionV relativeFrom="paragraph">
              <wp:posOffset>175618</wp:posOffset>
            </wp:positionV>
            <wp:extent cx="2855321" cy="1755648"/>
            <wp:effectExtent l="0" t="0" r="0" b="0"/>
            <wp:wrapTopAndBottom/>
            <wp:docPr id="39" name="Image 39" descr="A graph with blue lines  Description automatically generated"/>
            <wp:cNvGraphicFramePr>
              <a:graphicFrameLocks/>
            </wp:cNvGraphicFramePr>
            <a:graphic>
              <a:graphicData uri="http://schemas.openxmlformats.org/drawingml/2006/picture">
                <pic:pic>
                  <pic:nvPicPr>
                    <pic:cNvPr id="39" name="Image 39" descr="A graph with blue lines  Description automatically generated"/>
                    <pic:cNvPicPr/>
                  </pic:nvPicPr>
                  <pic:blipFill>
                    <a:blip r:embed="rId42" cstate="print"/>
                    <a:stretch>
                      <a:fillRect/>
                    </a:stretch>
                  </pic:blipFill>
                  <pic:spPr>
                    <a:xfrm>
                      <a:off x="0" y="0"/>
                      <a:ext cx="2855321" cy="1755648"/>
                    </a:xfrm>
                    <a:prstGeom prst="rect">
                      <a:avLst/>
                    </a:prstGeom>
                  </pic:spPr>
                </pic:pic>
              </a:graphicData>
            </a:graphic>
          </wp:anchor>
        </w:drawing>
      </w:r>
      <w:r>
        <w:rPr>
          <w:sz w:val="20"/>
        </w:rPr>
        <w:drawing>
          <wp:anchor distT="0" distB="0" distL="0" distR="0" allowOverlap="1" layoutInCell="1" locked="0" behindDoc="1" simplePos="0" relativeHeight="487603712">
            <wp:simplePos x="0" y="0"/>
            <wp:positionH relativeFrom="page">
              <wp:posOffset>3825537</wp:posOffset>
            </wp:positionH>
            <wp:positionV relativeFrom="paragraph">
              <wp:posOffset>278689</wp:posOffset>
            </wp:positionV>
            <wp:extent cx="2610591" cy="1643919"/>
            <wp:effectExtent l="0" t="0" r="0" b="0"/>
            <wp:wrapTopAndBottom/>
            <wp:docPr id="40" name="Image 40" descr="A graph with blue lines  Description automatically generated"/>
            <wp:cNvGraphicFramePr>
              <a:graphicFrameLocks/>
            </wp:cNvGraphicFramePr>
            <a:graphic>
              <a:graphicData uri="http://schemas.openxmlformats.org/drawingml/2006/picture">
                <pic:pic>
                  <pic:nvPicPr>
                    <pic:cNvPr id="40" name="Image 40" descr="A graph with blue lines  Description automatically generated"/>
                    <pic:cNvPicPr/>
                  </pic:nvPicPr>
                  <pic:blipFill>
                    <a:blip r:embed="rId16" cstate="print"/>
                    <a:stretch>
                      <a:fillRect/>
                    </a:stretch>
                  </pic:blipFill>
                  <pic:spPr>
                    <a:xfrm>
                      <a:off x="0" y="0"/>
                      <a:ext cx="2610591" cy="1643919"/>
                    </a:xfrm>
                    <a:prstGeom prst="rect">
                      <a:avLst/>
                    </a:prstGeom>
                  </pic:spPr>
                </pic:pic>
              </a:graphicData>
            </a:graphic>
          </wp:anchor>
        </w:drawing>
      </w:r>
    </w:p>
    <w:p>
      <w:pPr>
        <w:pStyle w:val="BodyText"/>
        <w:spacing w:before="36"/>
        <w:ind w:left="2515"/>
      </w:pPr>
      <w:r>
        <w:rPr>
          <w:color w:val="0D0D0D"/>
        </w:rPr>
        <w:t>Fig.33</w:t>
      </w:r>
      <w:r>
        <w:rPr>
          <w:color w:val="0D0D0D"/>
          <w:spacing w:val="-1"/>
        </w:rPr>
        <w:t> </w:t>
      </w:r>
      <w:r>
        <w:rPr>
          <w:color w:val="0D0D0D"/>
        </w:rPr>
        <w:t>Forcasted</w:t>
      </w:r>
      <w:r>
        <w:rPr>
          <w:color w:val="0D0D0D"/>
          <w:spacing w:val="-1"/>
        </w:rPr>
        <w:t> </w:t>
      </w:r>
      <w:r>
        <w:rPr>
          <w:color w:val="0D0D0D"/>
        </w:rPr>
        <w:t>volatility</w:t>
      </w:r>
      <w:r>
        <w:rPr>
          <w:color w:val="0D0D0D"/>
          <w:spacing w:val="-1"/>
        </w:rPr>
        <w:t> </w:t>
      </w:r>
      <w:r>
        <w:rPr>
          <w:color w:val="0D0D0D"/>
        </w:rPr>
        <w:t>of</w:t>
      </w:r>
      <w:r>
        <w:rPr>
          <w:color w:val="0D0D0D"/>
          <w:spacing w:val="-1"/>
        </w:rPr>
        <w:t> </w:t>
      </w:r>
      <w:r>
        <w:rPr>
          <w:color w:val="0D0D0D"/>
        </w:rPr>
        <w:t>portfolio</w:t>
      </w:r>
      <w:r>
        <w:rPr>
          <w:color w:val="0D0D0D"/>
          <w:spacing w:val="-1"/>
        </w:rPr>
        <w:t> </w:t>
      </w:r>
      <w:r>
        <w:rPr>
          <w:color w:val="0D0D0D"/>
        </w:rPr>
        <w:t>&amp;</w:t>
      </w:r>
      <w:r>
        <w:rPr>
          <w:color w:val="0D0D0D"/>
          <w:spacing w:val="-1"/>
        </w:rPr>
        <w:t> </w:t>
      </w:r>
      <w:r>
        <w:rPr>
          <w:color w:val="0D0D0D"/>
        </w:rPr>
        <w:t>Sensex</w:t>
      </w:r>
      <w:r>
        <w:rPr>
          <w:color w:val="0D0D0D"/>
          <w:spacing w:val="-1"/>
        </w:rPr>
        <w:t> </w:t>
      </w:r>
      <w:r>
        <w:rPr>
          <w:color w:val="0D0D0D"/>
        </w:rPr>
        <w:t>for</w:t>
      </w:r>
      <w:r>
        <w:rPr>
          <w:color w:val="0D0D0D"/>
          <w:spacing w:val="-2"/>
        </w:rPr>
        <w:t> </w:t>
      </w:r>
      <w:r>
        <w:rPr>
          <w:color w:val="0D0D0D"/>
          <w:spacing w:val="-4"/>
        </w:rPr>
        <w:t>2023</w:t>
      </w:r>
    </w:p>
    <w:p>
      <w:pPr>
        <w:pStyle w:val="BodyText"/>
        <w:rPr>
          <w:sz w:val="20"/>
        </w:rPr>
      </w:pPr>
    </w:p>
    <w:p>
      <w:pPr>
        <w:pStyle w:val="BodyText"/>
        <w:spacing w:before="180"/>
        <w:rPr>
          <w:sz w:val="20"/>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384"/>
        <w:gridCol w:w="2976"/>
      </w:tblGrid>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portfolio</w:t>
            </w:r>
          </w:p>
        </w:tc>
        <w:tc>
          <w:tcPr>
            <w:tcW w:w="2976" w:type="dxa"/>
          </w:tcPr>
          <w:p>
            <w:pPr>
              <w:pStyle w:val="TableParagraph"/>
              <w:spacing w:line="256" w:lineRule="exact"/>
              <w:rPr>
                <w:sz w:val="24"/>
              </w:rPr>
            </w:pPr>
            <w:r>
              <w:rPr>
                <w:color w:val="0D0D0D"/>
                <w:spacing w:val="-2"/>
                <w:sz w:val="24"/>
              </w:rPr>
              <w:t>0.000056</w:t>
            </w:r>
          </w:p>
        </w:tc>
      </w:tr>
      <w:tr>
        <w:trPr>
          <w:trHeight w:val="275" w:hRule="atLeast"/>
        </w:trPr>
        <w:tc>
          <w:tcPr>
            <w:tcW w:w="5384" w:type="dxa"/>
          </w:tcPr>
          <w:p>
            <w:pPr>
              <w:pStyle w:val="TableParagraph"/>
              <w:spacing w:line="256" w:lineRule="exact"/>
              <w:rPr>
                <w:sz w:val="24"/>
              </w:rPr>
            </w:pPr>
            <w:r>
              <w:rPr>
                <w:color w:val="0D0D0D"/>
                <w:sz w:val="24"/>
              </w:rPr>
              <w:t>Average</w:t>
            </w:r>
            <w:r>
              <w:rPr>
                <w:color w:val="0D0D0D"/>
                <w:spacing w:val="-2"/>
                <w:sz w:val="24"/>
              </w:rPr>
              <w:t> </w:t>
            </w:r>
            <w:r>
              <w:rPr>
                <w:color w:val="0D0D0D"/>
                <w:sz w:val="24"/>
              </w:rPr>
              <w:t>volatility</w:t>
            </w:r>
            <w:r>
              <w:rPr>
                <w:color w:val="0D0D0D"/>
                <w:spacing w:val="-1"/>
                <w:sz w:val="24"/>
              </w:rPr>
              <w:t> </w:t>
            </w:r>
            <w:r>
              <w:rPr>
                <w:color w:val="0D0D0D"/>
                <w:sz w:val="24"/>
              </w:rPr>
              <w:t>of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0.000041</w:t>
            </w:r>
          </w:p>
        </w:tc>
      </w:tr>
      <w:tr>
        <w:trPr>
          <w:trHeight w:val="277" w:hRule="atLeast"/>
        </w:trPr>
        <w:tc>
          <w:tcPr>
            <w:tcW w:w="5384" w:type="dxa"/>
          </w:tcPr>
          <w:p>
            <w:pPr>
              <w:pStyle w:val="TableParagraph"/>
              <w:spacing w:line="257" w:lineRule="exact" w:before="1"/>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portfolio</w:t>
            </w:r>
          </w:p>
        </w:tc>
        <w:tc>
          <w:tcPr>
            <w:tcW w:w="2976" w:type="dxa"/>
          </w:tcPr>
          <w:p>
            <w:pPr>
              <w:pStyle w:val="TableParagraph"/>
              <w:spacing w:line="257" w:lineRule="exact" w:before="1"/>
              <w:rPr>
                <w:sz w:val="24"/>
              </w:rPr>
            </w:pPr>
            <w:r>
              <w:rPr>
                <w:color w:val="0D0D0D"/>
                <w:spacing w:val="-2"/>
                <w:sz w:val="24"/>
              </w:rPr>
              <w:t>0.000009</w:t>
            </w:r>
          </w:p>
        </w:tc>
      </w:tr>
      <w:tr>
        <w:trPr>
          <w:trHeight w:val="275" w:hRule="atLeast"/>
        </w:trPr>
        <w:tc>
          <w:tcPr>
            <w:tcW w:w="5384" w:type="dxa"/>
          </w:tcPr>
          <w:p>
            <w:pPr>
              <w:pStyle w:val="TableParagraph"/>
              <w:spacing w:line="256" w:lineRule="exact"/>
              <w:rPr>
                <w:sz w:val="24"/>
              </w:rPr>
            </w:pPr>
            <w:r>
              <w:rPr>
                <w:color w:val="0D0D0D"/>
                <w:sz w:val="24"/>
              </w:rPr>
              <w:t>Standard</w:t>
            </w:r>
            <w:r>
              <w:rPr>
                <w:color w:val="0D0D0D"/>
                <w:spacing w:val="-2"/>
                <w:sz w:val="24"/>
              </w:rPr>
              <w:t> </w:t>
            </w:r>
            <w:r>
              <w:rPr>
                <w:color w:val="0D0D0D"/>
                <w:sz w:val="24"/>
              </w:rPr>
              <w:t>deviation</w:t>
            </w:r>
            <w:r>
              <w:rPr>
                <w:color w:val="0D0D0D"/>
                <w:spacing w:val="-1"/>
                <w:sz w:val="24"/>
              </w:rPr>
              <w:t> </w:t>
            </w:r>
            <w:r>
              <w:rPr>
                <w:color w:val="0D0D0D"/>
                <w:sz w:val="24"/>
              </w:rPr>
              <w:t>of</w:t>
            </w:r>
            <w:r>
              <w:rPr>
                <w:color w:val="0D0D0D"/>
                <w:spacing w:val="-1"/>
                <w:sz w:val="24"/>
              </w:rPr>
              <w:t> </w:t>
            </w:r>
            <w:r>
              <w:rPr>
                <w:color w:val="0D0D0D"/>
                <w:spacing w:val="-2"/>
                <w:sz w:val="24"/>
              </w:rPr>
              <w:t>sensex</w:t>
            </w:r>
          </w:p>
        </w:tc>
        <w:tc>
          <w:tcPr>
            <w:tcW w:w="2976" w:type="dxa"/>
          </w:tcPr>
          <w:p>
            <w:pPr>
              <w:pStyle w:val="TableParagraph"/>
              <w:spacing w:line="256" w:lineRule="exact"/>
              <w:rPr>
                <w:sz w:val="24"/>
              </w:rPr>
            </w:pPr>
            <w:r>
              <w:rPr>
                <w:color w:val="0D0D0D"/>
                <w:spacing w:val="-2"/>
                <w:sz w:val="24"/>
              </w:rPr>
              <w:t>0.000006</w:t>
            </w:r>
          </w:p>
        </w:tc>
      </w:tr>
      <w:tr>
        <w:trPr>
          <w:trHeight w:val="275" w:hRule="atLeast"/>
        </w:trPr>
        <w:tc>
          <w:tcPr>
            <w:tcW w:w="5384" w:type="dxa"/>
          </w:tcPr>
          <w:p>
            <w:pPr>
              <w:pStyle w:val="TableParagraph"/>
              <w:spacing w:line="256" w:lineRule="exact"/>
              <w:rPr>
                <w:sz w:val="24"/>
              </w:rPr>
            </w:pPr>
            <w:r>
              <w:rPr>
                <w:color w:val="0D0D0D"/>
                <w:sz w:val="24"/>
              </w:rPr>
              <w:t>Ratio</w:t>
            </w:r>
            <w:r>
              <w:rPr>
                <w:color w:val="0D0D0D"/>
                <w:spacing w:val="-2"/>
                <w:sz w:val="24"/>
              </w:rPr>
              <w:t> </w:t>
            </w:r>
            <w:r>
              <w:rPr>
                <w:color w:val="0D0D0D"/>
                <w:sz w:val="24"/>
              </w:rPr>
              <w:t>of</w:t>
            </w:r>
            <w:r>
              <w:rPr>
                <w:color w:val="0D0D0D"/>
                <w:spacing w:val="-1"/>
                <w:sz w:val="24"/>
              </w:rPr>
              <w:t> </w:t>
            </w:r>
            <w:r>
              <w:rPr>
                <w:color w:val="0D0D0D"/>
                <w:sz w:val="24"/>
              </w:rPr>
              <w:t>portfolio</w:t>
            </w:r>
            <w:r>
              <w:rPr>
                <w:color w:val="0D0D0D"/>
                <w:spacing w:val="-1"/>
                <w:sz w:val="24"/>
              </w:rPr>
              <w:t> </w:t>
            </w:r>
            <w:r>
              <w:rPr>
                <w:color w:val="0D0D0D"/>
                <w:sz w:val="24"/>
              </w:rPr>
              <w:t>volatility</w:t>
            </w:r>
            <w:r>
              <w:rPr>
                <w:color w:val="0D0D0D"/>
                <w:spacing w:val="-2"/>
                <w:sz w:val="24"/>
              </w:rPr>
              <w:t> </w:t>
            </w:r>
            <w:r>
              <w:rPr>
                <w:color w:val="0D0D0D"/>
                <w:sz w:val="24"/>
              </w:rPr>
              <w:t>and</w:t>
            </w:r>
            <w:r>
              <w:rPr>
                <w:color w:val="0D0D0D"/>
                <w:spacing w:val="-1"/>
                <w:sz w:val="24"/>
              </w:rPr>
              <w:t> </w:t>
            </w:r>
            <w:r>
              <w:rPr>
                <w:color w:val="0D0D0D"/>
                <w:sz w:val="24"/>
              </w:rPr>
              <w:t>sensex</w:t>
            </w:r>
            <w:r>
              <w:rPr>
                <w:color w:val="0D0D0D"/>
                <w:spacing w:val="-1"/>
                <w:sz w:val="24"/>
              </w:rPr>
              <w:t> </w:t>
            </w:r>
            <w:r>
              <w:rPr>
                <w:color w:val="0D0D0D"/>
                <w:spacing w:val="-2"/>
                <w:sz w:val="24"/>
              </w:rPr>
              <w:t>volatility</w:t>
            </w:r>
          </w:p>
        </w:tc>
        <w:tc>
          <w:tcPr>
            <w:tcW w:w="2976" w:type="dxa"/>
          </w:tcPr>
          <w:p>
            <w:pPr>
              <w:pStyle w:val="TableParagraph"/>
              <w:spacing w:line="256" w:lineRule="exact"/>
              <w:rPr>
                <w:sz w:val="24"/>
              </w:rPr>
            </w:pPr>
            <w:r>
              <w:rPr>
                <w:color w:val="0D0D0D"/>
                <w:spacing w:val="-2"/>
                <w:sz w:val="24"/>
              </w:rPr>
              <w:t>1.370067</w:t>
            </w:r>
          </w:p>
        </w:tc>
      </w:tr>
    </w:tbl>
    <w:p>
      <w:pPr>
        <w:pStyle w:val="BodyText"/>
        <w:spacing w:before="45"/>
      </w:pPr>
    </w:p>
    <w:p>
      <w:pPr>
        <w:pStyle w:val="BodyText"/>
        <w:ind w:left="2695"/>
      </w:pPr>
      <w:r>
        <w:rPr>
          <w:color w:val="0D0D0D"/>
        </w:rPr>
        <w:t>Table</w:t>
      </w:r>
      <w:r>
        <w:rPr>
          <w:color w:val="0D0D0D"/>
          <w:spacing w:val="-1"/>
        </w:rPr>
        <w:t> </w:t>
      </w:r>
      <w:r>
        <w:rPr>
          <w:color w:val="0D0D0D"/>
        </w:rPr>
        <w:t>8.Results</w:t>
      </w:r>
      <w:r>
        <w:rPr>
          <w:color w:val="0D0D0D"/>
          <w:spacing w:val="-1"/>
        </w:rPr>
        <w:t> </w:t>
      </w:r>
      <w:r>
        <w:rPr>
          <w:color w:val="0D0D0D"/>
        </w:rPr>
        <w:t>from</w:t>
      </w:r>
      <w:r>
        <w:rPr>
          <w:color w:val="0D0D0D"/>
          <w:spacing w:val="-1"/>
        </w:rPr>
        <w:t> </w:t>
      </w:r>
      <w:r>
        <w:rPr>
          <w:color w:val="0D0D0D"/>
        </w:rPr>
        <w:t>GARCH</w:t>
      </w:r>
      <w:r>
        <w:rPr>
          <w:color w:val="0D0D0D"/>
          <w:spacing w:val="-1"/>
        </w:rPr>
        <w:t> </w:t>
      </w:r>
      <w:r>
        <w:rPr>
          <w:color w:val="0D0D0D"/>
          <w:spacing w:val="-2"/>
        </w:rPr>
        <w:t>model</w:t>
      </w:r>
    </w:p>
    <w:p>
      <w:pPr>
        <w:pStyle w:val="BodyText"/>
        <w:spacing w:after="0"/>
        <w:sectPr>
          <w:pgSz w:w="11910" w:h="16840"/>
          <w:pgMar w:top="1480" w:bottom="280" w:left="425" w:right="283"/>
        </w:sectPr>
      </w:pPr>
    </w:p>
    <w:p>
      <w:pPr>
        <w:spacing w:before="61"/>
        <w:ind w:left="264" w:right="1395" w:firstLine="0"/>
        <w:jc w:val="center"/>
        <w:rPr>
          <w:b/>
          <w:sz w:val="32"/>
        </w:rPr>
      </w:pPr>
      <w:r>
        <w:rPr>
          <w:b/>
          <w:color w:val="0D0D0D"/>
          <w:spacing w:val="-2"/>
          <w:sz w:val="32"/>
          <w:u w:val="single" w:color="0D0D0D"/>
        </w:rPr>
        <w:t>Results</w:t>
      </w:r>
    </w:p>
    <w:p>
      <w:pPr>
        <w:pStyle w:val="BodyText"/>
        <w:rPr>
          <w:b/>
          <w:sz w:val="20"/>
        </w:rPr>
      </w:pPr>
    </w:p>
    <w:p>
      <w:pPr>
        <w:pStyle w:val="BodyText"/>
        <w:spacing w:before="178"/>
        <w:rPr>
          <w:b/>
          <w:sz w:val="20"/>
        </w:rPr>
      </w:pPr>
    </w:p>
    <w:tbl>
      <w:tblPr>
        <w:tblW w:w="0" w:type="auto"/>
        <w:jc w:val="left"/>
        <w:tblInd w:w="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37"/>
        <w:gridCol w:w="1752"/>
        <w:gridCol w:w="1699"/>
        <w:gridCol w:w="1702"/>
        <w:gridCol w:w="1844"/>
        <w:gridCol w:w="2127"/>
      </w:tblGrid>
      <w:tr>
        <w:trPr>
          <w:trHeight w:val="2577" w:hRule="atLeast"/>
        </w:trPr>
        <w:tc>
          <w:tcPr>
            <w:tcW w:w="1937" w:type="dxa"/>
          </w:tcPr>
          <w:p>
            <w:pPr>
              <w:pStyle w:val="TableParagraph"/>
              <w:spacing w:line="240" w:lineRule="auto"/>
              <w:ind w:left="0"/>
              <w:rPr>
                <w:sz w:val="24"/>
              </w:rPr>
            </w:pPr>
          </w:p>
        </w:tc>
        <w:tc>
          <w:tcPr>
            <w:tcW w:w="1752" w:type="dxa"/>
          </w:tcPr>
          <w:p>
            <w:pPr>
              <w:pStyle w:val="TableParagraph"/>
              <w:spacing w:line="240" w:lineRule="auto"/>
              <w:ind w:left="108" w:right="153"/>
              <w:jc w:val="both"/>
              <w:rPr>
                <w:sz w:val="24"/>
              </w:rPr>
            </w:pPr>
            <w:r>
              <w:rPr>
                <w:color w:val="0D0D0D"/>
                <w:sz w:val="24"/>
              </w:rPr>
              <w:t>11 stocks from </w:t>
            </w:r>
            <w:r>
              <w:rPr>
                <w:color w:val="0D0D0D"/>
                <w:spacing w:val="-2"/>
                <w:sz w:val="24"/>
              </w:rPr>
              <w:t>11sectors(MPT allocation)</w:t>
            </w:r>
          </w:p>
        </w:tc>
        <w:tc>
          <w:tcPr>
            <w:tcW w:w="1699" w:type="dxa"/>
          </w:tcPr>
          <w:p>
            <w:pPr>
              <w:pStyle w:val="TableParagraph"/>
              <w:spacing w:line="240" w:lineRule="auto"/>
              <w:ind w:left="106" w:right="158"/>
              <w:rPr>
                <w:sz w:val="24"/>
              </w:rPr>
            </w:pPr>
            <w:r>
              <w:rPr>
                <w:color w:val="0D0D0D"/>
                <w:sz w:val="24"/>
              </w:rPr>
              <w:t>Top 25 </w:t>
            </w:r>
            <w:r>
              <w:rPr>
                <w:color w:val="0D0D0D"/>
                <w:spacing w:val="-2"/>
                <w:sz w:val="24"/>
              </w:rPr>
              <w:t>percentile </w:t>
            </w:r>
            <w:r>
              <w:rPr>
                <w:color w:val="0D0D0D"/>
                <w:sz w:val="24"/>
              </w:rPr>
              <w:t>stocks with highest</w:t>
            </w:r>
            <w:r>
              <w:rPr>
                <w:color w:val="0D0D0D"/>
                <w:spacing w:val="-15"/>
                <w:sz w:val="24"/>
              </w:rPr>
              <w:t> </w:t>
            </w:r>
            <w:r>
              <w:rPr>
                <w:color w:val="0D0D0D"/>
                <w:sz w:val="24"/>
              </w:rPr>
              <w:t>Sharpe </w:t>
            </w:r>
            <w:r>
              <w:rPr>
                <w:color w:val="0D0D0D"/>
                <w:spacing w:val="-2"/>
                <w:sz w:val="24"/>
              </w:rPr>
              <w:t>ratio(MPT allocation)</w:t>
            </w:r>
          </w:p>
        </w:tc>
        <w:tc>
          <w:tcPr>
            <w:tcW w:w="1702" w:type="dxa"/>
          </w:tcPr>
          <w:p>
            <w:pPr>
              <w:pStyle w:val="TableParagraph"/>
              <w:spacing w:line="240" w:lineRule="auto"/>
              <w:ind w:left="108" w:right="339"/>
              <w:rPr>
                <w:sz w:val="24"/>
              </w:rPr>
            </w:pPr>
            <w:r>
              <w:rPr>
                <w:color w:val="0D0D0D"/>
                <w:sz w:val="24"/>
              </w:rPr>
              <w:t>Top 25 </w:t>
            </w:r>
            <w:r>
              <w:rPr>
                <w:color w:val="0D0D0D"/>
                <w:spacing w:val="-2"/>
                <w:sz w:val="24"/>
              </w:rPr>
              <w:t>percentile </w:t>
            </w:r>
            <w:r>
              <w:rPr>
                <w:color w:val="0D0D0D"/>
                <w:sz w:val="24"/>
              </w:rPr>
              <w:t>stocks with </w:t>
            </w:r>
            <w:r>
              <w:rPr>
                <w:color w:val="0D0D0D"/>
                <w:spacing w:val="-2"/>
                <w:sz w:val="24"/>
              </w:rPr>
              <w:t>lowest MAPE(MPT</w:t>
            </w:r>
          </w:p>
          <w:p>
            <w:pPr>
              <w:pStyle w:val="TableParagraph"/>
              <w:spacing w:line="240" w:lineRule="auto"/>
              <w:ind w:left="108"/>
              <w:rPr>
                <w:sz w:val="24"/>
              </w:rPr>
            </w:pPr>
            <w:r>
              <w:rPr>
                <w:color w:val="0D0D0D"/>
                <w:spacing w:val="-2"/>
                <w:sz w:val="24"/>
              </w:rPr>
              <w:t>allocation)</w:t>
            </w:r>
          </w:p>
        </w:tc>
        <w:tc>
          <w:tcPr>
            <w:tcW w:w="1844" w:type="dxa"/>
          </w:tcPr>
          <w:p>
            <w:pPr>
              <w:pStyle w:val="TableParagraph"/>
              <w:spacing w:line="240" w:lineRule="auto"/>
              <w:ind w:left="108" w:right="489"/>
              <w:jc w:val="both"/>
              <w:rPr>
                <w:sz w:val="24"/>
              </w:rPr>
            </w:pPr>
            <w:r>
              <w:rPr>
                <w:color w:val="0D0D0D"/>
                <w:sz w:val="24"/>
              </w:rPr>
              <w:t>All Nifty 50 stocks</w:t>
            </w:r>
            <w:r>
              <w:rPr>
                <w:color w:val="0D0D0D"/>
                <w:spacing w:val="-15"/>
                <w:sz w:val="24"/>
              </w:rPr>
              <w:t> </w:t>
            </w:r>
            <w:r>
              <w:rPr>
                <w:color w:val="0D0D0D"/>
                <w:sz w:val="24"/>
              </w:rPr>
              <w:t>(MPT </w:t>
            </w:r>
            <w:r>
              <w:rPr>
                <w:color w:val="0D0D0D"/>
                <w:spacing w:val="-2"/>
                <w:sz w:val="24"/>
              </w:rPr>
              <w:t>allocation)</w:t>
            </w:r>
          </w:p>
        </w:tc>
        <w:tc>
          <w:tcPr>
            <w:tcW w:w="2127" w:type="dxa"/>
          </w:tcPr>
          <w:p>
            <w:pPr>
              <w:pStyle w:val="TableParagraph"/>
              <w:spacing w:line="240" w:lineRule="auto"/>
              <w:ind w:left="106" w:right="175"/>
              <w:jc w:val="both"/>
              <w:rPr>
                <w:sz w:val="24"/>
              </w:rPr>
            </w:pPr>
            <w:r>
              <w:rPr>
                <w:color w:val="0D0D0D"/>
                <w:sz w:val="24"/>
              </w:rPr>
              <w:t>All</w:t>
            </w:r>
            <w:r>
              <w:rPr>
                <w:color w:val="0D0D0D"/>
                <w:spacing w:val="-13"/>
                <w:sz w:val="24"/>
              </w:rPr>
              <w:t> </w:t>
            </w:r>
            <w:r>
              <w:rPr>
                <w:color w:val="0D0D0D"/>
                <w:sz w:val="24"/>
              </w:rPr>
              <w:t>Nifty</w:t>
            </w:r>
            <w:r>
              <w:rPr>
                <w:color w:val="0D0D0D"/>
                <w:spacing w:val="-13"/>
                <w:sz w:val="24"/>
              </w:rPr>
              <w:t> </w:t>
            </w:r>
            <w:r>
              <w:rPr>
                <w:color w:val="0D0D0D"/>
                <w:sz w:val="24"/>
              </w:rPr>
              <w:t>50</w:t>
            </w:r>
            <w:r>
              <w:rPr>
                <w:color w:val="0D0D0D"/>
                <w:spacing w:val="-13"/>
                <w:sz w:val="24"/>
              </w:rPr>
              <w:t> </w:t>
            </w:r>
            <w:r>
              <w:rPr>
                <w:color w:val="0D0D0D"/>
                <w:sz w:val="24"/>
              </w:rPr>
              <w:t>stocks (Hierarchical Risk </w:t>
            </w:r>
            <w:r>
              <w:rPr>
                <w:color w:val="0D0D0D"/>
                <w:spacing w:val="-2"/>
                <w:sz w:val="24"/>
              </w:rPr>
              <w:t>Parity)</w:t>
            </w:r>
          </w:p>
        </w:tc>
      </w:tr>
      <w:tr>
        <w:trPr>
          <w:trHeight w:val="552" w:hRule="atLeast"/>
        </w:trPr>
        <w:tc>
          <w:tcPr>
            <w:tcW w:w="1937" w:type="dxa"/>
          </w:tcPr>
          <w:p>
            <w:pPr>
              <w:pStyle w:val="TableParagraph"/>
              <w:spacing w:line="276" w:lineRule="exact"/>
              <w:ind w:right="34"/>
              <w:rPr>
                <w:sz w:val="24"/>
              </w:rPr>
            </w:pPr>
            <w:r>
              <w:rPr>
                <w:color w:val="0D0D0D"/>
                <w:spacing w:val="-2"/>
                <w:sz w:val="24"/>
              </w:rPr>
              <w:t>Annualised Returns</w:t>
            </w:r>
          </w:p>
        </w:tc>
        <w:tc>
          <w:tcPr>
            <w:tcW w:w="1752" w:type="dxa"/>
          </w:tcPr>
          <w:p>
            <w:pPr>
              <w:pStyle w:val="TableParagraph"/>
              <w:spacing w:line="276" w:lineRule="exact"/>
              <w:ind w:left="108"/>
              <w:rPr>
                <w:sz w:val="24"/>
              </w:rPr>
            </w:pPr>
            <w:r>
              <w:rPr>
                <w:color w:val="0D0D0D"/>
                <w:spacing w:val="-2"/>
                <w:sz w:val="24"/>
              </w:rPr>
              <w:t>0.213</w:t>
            </w:r>
          </w:p>
        </w:tc>
        <w:tc>
          <w:tcPr>
            <w:tcW w:w="1699" w:type="dxa"/>
          </w:tcPr>
          <w:p>
            <w:pPr>
              <w:pStyle w:val="TableParagraph"/>
              <w:spacing w:line="276" w:lineRule="exact"/>
              <w:ind w:left="106"/>
              <w:rPr>
                <w:sz w:val="24"/>
              </w:rPr>
            </w:pPr>
            <w:r>
              <w:rPr>
                <w:color w:val="0D0D0D"/>
                <w:spacing w:val="-2"/>
                <w:sz w:val="24"/>
              </w:rPr>
              <w:t>0.207</w:t>
            </w:r>
          </w:p>
        </w:tc>
        <w:tc>
          <w:tcPr>
            <w:tcW w:w="1702" w:type="dxa"/>
          </w:tcPr>
          <w:p>
            <w:pPr>
              <w:pStyle w:val="TableParagraph"/>
              <w:spacing w:line="276" w:lineRule="exact"/>
              <w:ind w:left="108"/>
              <w:rPr>
                <w:sz w:val="24"/>
              </w:rPr>
            </w:pPr>
            <w:r>
              <w:rPr>
                <w:color w:val="0D0D0D"/>
                <w:spacing w:val="-2"/>
                <w:sz w:val="24"/>
              </w:rPr>
              <w:t>0.216</w:t>
            </w:r>
          </w:p>
        </w:tc>
        <w:tc>
          <w:tcPr>
            <w:tcW w:w="1844" w:type="dxa"/>
          </w:tcPr>
          <w:p>
            <w:pPr>
              <w:pStyle w:val="TableParagraph"/>
              <w:spacing w:line="276" w:lineRule="exact"/>
              <w:ind w:left="108"/>
              <w:rPr>
                <w:sz w:val="24"/>
              </w:rPr>
            </w:pPr>
            <w:r>
              <w:rPr>
                <w:color w:val="0D0D0D"/>
                <w:spacing w:val="-2"/>
                <w:sz w:val="24"/>
              </w:rPr>
              <w:t>0.237</w:t>
            </w:r>
          </w:p>
        </w:tc>
        <w:tc>
          <w:tcPr>
            <w:tcW w:w="2127" w:type="dxa"/>
          </w:tcPr>
          <w:p>
            <w:pPr>
              <w:pStyle w:val="TableParagraph"/>
              <w:spacing w:line="276" w:lineRule="exact"/>
              <w:ind w:left="106"/>
              <w:rPr>
                <w:sz w:val="24"/>
              </w:rPr>
            </w:pPr>
            <w:r>
              <w:rPr>
                <w:color w:val="0D0D0D"/>
                <w:spacing w:val="-2"/>
                <w:sz w:val="24"/>
              </w:rPr>
              <w:t>0.218</w:t>
            </w:r>
          </w:p>
        </w:tc>
      </w:tr>
      <w:tr>
        <w:trPr>
          <w:trHeight w:val="402" w:hRule="atLeast"/>
        </w:trPr>
        <w:tc>
          <w:tcPr>
            <w:tcW w:w="1937" w:type="dxa"/>
          </w:tcPr>
          <w:p>
            <w:pPr>
              <w:pStyle w:val="TableParagraph"/>
              <w:spacing w:line="275" w:lineRule="exact"/>
              <w:rPr>
                <w:sz w:val="24"/>
              </w:rPr>
            </w:pPr>
            <w:r>
              <w:rPr>
                <w:color w:val="0D0D0D"/>
                <w:spacing w:val="-2"/>
                <w:sz w:val="24"/>
              </w:rPr>
              <w:t>Volatility</w:t>
            </w:r>
          </w:p>
        </w:tc>
        <w:tc>
          <w:tcPr>
            <w:tcW w:w="1752" w:type="dxa"/>
          </w:tcPr>
          <w:p>
            <w:pPr>
              <w:pStyle w:val="TableParagraph"/>
              <w:spacing w:line="275" w:lineRule="exact"/>
              <w:ind w:left="108"/>
              <w:rPr>
                <w:sz w:val="24"/>
              </w:rPr>
            </w:pPr>
            <w:r>
              <w:rPr>
                <w:color w:val="0D0D0D"/>
                <w:spacing w:val="-2"/>
                <w:sz w:val="24"/>
              </w:rPr>
              <w:t>0.011</w:t>
            </w:r>
          </w:p>
        </w:tc>
        <w:tc>
          <w:tcPr>
            <w:tcW w:w="1699" w:type="dxa"/>
          </w:tcPr>
          <w:p>
            <w:pPr>
              <w:pStyle w:val="TableParagraph"/>
              <w:spacing w:line="275" w:lineRule="exact"/>
              <w:ind w:left="106"/>
              <w:rPr>
                <w:sz w:val="24"/>
              </w:rPr>
            </w:pPr>
            <w:r>
              <w:rPr>
                <w:color w:val="0D0D0D"/>
                <w:spacing w:val="-2"/>
                <w:sz w:val="24"/>
              </w:rPr>
              <w:t>0.011</w:t>
            </w:r>
          </w:p>
        </w:tc>
        <w:tc>
          <w:tcPr>
            <w:tcW w:w="1702" w:type="dxa"/>
          </w:tcPr>
          <w:p>
            <w:pPr>
              <w:pStyle w:val="TableParagraph"/>
              <w:spacing w:line="275" w:lineRule="exact"/>
              <w:ind w:left="108"/>
              <w:rPr>
                <w:sz w:val="24"/>
              </w:rPr>
            </w:pPr>
            <w:r>
              <w:rPr>
                <w:color w:val="0D0D0D"/>
                <w:spacing w:val="-2"/>
                <w:sz w:val="24"/>
              </w:rPr>
              <w:t>0.010</w:t>
            </w:r>
          </w:p>
        </w:tc>
        <w:tc>
          <w:tcPr>
            <w:tcW w:w="1844" w:type="dxa"/>
          </w:tcPr>
          <w:p>
            <w:pPr>
              <w:pStyle w:val="TableParagraph"/>
              <w:spacing w:line="275" w:lineRule="exact"/>
              <w:ind w:left="108"/>
              <w:rPr>
                <w:sz w:val="24"/>
              </w:rPr>
            </w:pPr>
            <w:r>
              <w:rPr>
                <w:color w:val="0D0D0D"/>
                <w:spacing w:val="-2"/>
                <w:sz w:val="24"/>
              </w:rPr>
              <w:t>0.009</w:t>
            </w:r>
          </w:p>
        </w:tc>
        <w:tc>
          <w:tcPr>
            <w:tcW w:w="2127" w:type="dxa"/>
          </w:tcPr>
          <w:p>
            <w:pPr>
              <w:pStyle w:val="TableParagraph"/>
              <w:spacing w:line="275" w:lineRule="exact"/>
              <w:ind w:left="106"/>
              <w:rPr>
                <w:sz w:val="24"/>
              </w:rPr>
            </w:pPr>
            <w:r>
              <w:rPr>
                <w:color w:val="0D0D0D"/>
                <w:spacing w:val="-2"/>
                <w:sz w:val="24"/>
              </w:rPr>
              <w:t>0.010</w:t>
            </w:r>
          </w:p>
        </w:tc>
      </w:tr>
      <w:tr>
        <w:trPr>
          <w:trHeight w:val="551" w:hRule="atLeast"/>
        </w:trPr>
        <w:tc>
          <w:tcPr>
            <w:tcW w:w="1937" w:type="dxa"/>
          </w:tcPr>
          <w:p>
            <w:pPr>
              <w:pStyle w:val="TableParagraph"/>
              <w:spacing w:line="276" w:lineRule="exact"/>
              <w:ind w:right="924"/>
              <w:rPr>
                <w:sz w:val="24"/>
              </w:rPr>
            </w:pPr>
            <w:r>
              <w:rPr>
                <w:color w:val="0D0D0D"/>
                <w:spacing w:val="-2"/>
                <w:sz w:val="24"/>
              </w:rPr>
              <w:t>Standard deviation</w:t>
            </w:r>
          </w:p>
        </w:tc>
        <w:tc>
          <w:tcPr>
            <w:tcW w:w="1752" w:type="dxa"/>
          </w:tcPr>
          <w:p>
            <w:pPr>
              <w:pStyle w:val="TableParagraph"/>
              <w:spacing w:line="275" w:lineRule="exact"/>
              <w:ind w:left="108"/>
              <w:rPr>
                <w:sz w:val="24"/>
              </w:rPr>
            </w:pPr>
            <w:r>
              <w:rPr>
                <w:color w:val="0D0D0D"/>
                <w:spacing w:val="-2"/>
                <w:sz w:val="24"/>
              </w:rPr>
              <w:t>0.027</w:t>
            </w:r>
          </w:p>
        </w:tc>
        <w:tc>
          <w:tcPr>
            <w:tcW w:w="1699" w:type="dxa"/>
          </w:tcPr>
          <w:p>
            <w:pPr>
              <w:pStyle w:val="TableParagraph"/>
              <w:spacing w:line="275" w:lineRule="exact"/>
              <w:ind w:left="106"/>
              <w:rPr>
                <w:sz w:val="24"/>
              </w:rPr>
            </w:pPr>
            <w:r>
              <w:rPr>
                <w:color w:val="0D0D0D"/>
                <w:spacing w:val="-2"/>
                <w:sz w:val="24"/>
              </w:rPr>
              <w:t>0.026</w:t>
            </w:r>
          </w:p>
        </w:tc>
        <w:tc>
          <w:tcPr>
            <w:tcW w:w="1702" w:type="dxa"/>
          </w:tcPr>
          <w:p>
            <w:pPr>
              <w:pStyle w:val="TableParagraph"/>
              <w:spacing w:line="275" w:lineRule="exact"/>
              <w:ind w:left="108"/>
              <w:rPr>
                <w:sz w:val="24"/>
              </w:rPr>
            </w:pPr>
            <w:r>
              <w:rPr>
                <w:color w:val="0D0D0D"/>
                <w:spacing w:val="-2"/>
                <w:sz w:val="24"/>
              </w:rPr>
              <w:t>0.045</w:t>
            </w:r>
          </w:p>
        </w:tc>
        <w:tc>
          <w:tcPr>
            <w:tcW w:w="1844" w:type="dxa"/>
          </w:tcPr>
          <w:p>
            <w:pPr>
              <w:pStyle w:val="TableParagraph"/>
              <w:spacing w:line="275" w:lineRule="exact"/>
              <w:ind w:left="108"/>
              <w:rPr>
                <w:sz w:val="24"/>
              </w:rPr>
            </w:pPr>
            <w:r>
              <w:rPr>
                <w:color w:val="0D0D0D"/>
                <w:spacing w:val="-2"/>
                <w:sz w:val="24"/>
              </w:rPr>
              <w:t>0.042</w:t>
            </w:r>
          </w:p>
        </w:tc>
        <w:tc>
          <w:tcPr>
            <w:tcW w:w="2127" w:type="dxa"/>
          </w:tcPr>
          <w:p>
            <w:pPr>
              <w:pStyle w:val="TableParagraph"/>
              <w:spacing w:line="275" w:lineRule="exact"/>
              <w:ind w:left="106"/>
              <w:rPr>
                <w:sz w:val="24"/>
              </w:rPr>
            </w:pPr>
            <w:r>
              <w:rPr>
                <w:color w:val="0D0D0D"/>
                <w:spacing w:val="-2"/>
                <w:sz w:val="24"/>
              </w:rPr>
              <w:t>0.013</w:t>
            </w:r>
          </w:p>
        </w:tc>
      </w:tr>
      <w:tr>
        <w:trPr>
          <w:trHeight w:val="400" w:hRule="atLeast"/>
        </w:trPr>
        <w:tc>
          <w:tcPr>
            <w:tcW w:w="1937" w:type="dxa"/>
          </w:tcPr>
          <w:p>
            <w:pPr>
              <w:pStyle w:val="TableParagraph"/>
              <w:spacing w:line="275" w:lineRule="exact"/>
              <w:rPr>
                <w:sz w:val="24"/>
              </w:rPr>
            </w:pPr>
            <w:r>
              <w:rPr>
                <w:color w:val="0D0D0D"/>
                <w:sz w:val="24"/>
              </w:rPr>
              <w:t>Sharpe</w:t>
            </w:r>
            <w:r>
              <w:rPr>
                <w:color w:val="0D0D0D"/>
                <w:spacing w:val="-3"/>
                <w:sz w:val="24"/>
              </w:rPr>
              <w:t> </w:t>
            </w:r>
            <w:r>
              <w:rPr>
                <w:color w:val="0D0D0D"/>
                <w:spacing w:val="-2"/>
                <w:sz w:val="24"/>
              </w:rPr>
              <w:t>Ratio</w:t>
            </w:r>
          </w:p>
        </w:tc>
        <w:tc>
          <w:tcPr>
            <w:tcW w:w="1752" w:type="dxa"/>
          </w:tcPr>
          <w:p>
            <w:pPr>
              <w:pStyle w:val="TableParagraph"/>
              <w:spacing w:line="275" w:lineRule="exact"/>
              <w:ind w:left="108"/>
              <w:rPr>
                <w:sz w:val="24"/>
              </w:rPr>
            </w:pPr>
            <w:r>
              <w:rPr>
                <w:color w:val="0D0D0D"/>
                <w:spacing w:val="-2"/>
                <w:sz w:val="24"/>
              </w:rPr>
              <w:t>1.893</w:t>
            </w:r>
          </w:p>
        </w:tc>
        <w:tc>
          <w:tcPr>
            <w:tcW w:w="1699" w:type="dxa"/>
          </w:tcPr>
          <w:p>
            <w:pPr>
              <w:pStyle w:val="TableParagraph"/>
              <w:spacing w:line="275" w:lineRule="exact"/>
              <w:ind w:left="106"/>
              <w:rPr>
                <w:sz w:val="24"/>
              </w:rPr>
            </w:pPr>
            <w:r>
              <w:rPr>
                <w:color w:val="0D0D0D"/>
                <w:spacing w:val="-2"/>
                <w:sz w:val="24"/>
              </w:rPr>
              <w:t>1.885</w:t>
            </w:r>
          </w:p>
        </w:tc>
        <w:tc>
          <w:tcPr>
            <w:tcW w:w="1702" w:type="dxa"/>
          </w:tcPr>
          <w:p>
            <w:pPr>
              <w:pStyle w:val="TableParagraph"/>
              <w:spacing w:line="275" w:lineRule="exact"/>
              <w:ind w:left="108"/>
              <w:rPr>
                <w:sz w:val="24"/>
              </w:rPr>
            </w:pPr>
            <w:r>
              <w:rPr>
                <w:color w:val="0D0D0D"/>
                <w:spacing w:val="-2"/>
                <w:sz w:val="24"/>
              </w:rPr>
              <w:t>1.018</w:t>
            </w:r>
          </w:p>
        </w:tc>
        <w:tc>
          <w:tcPr>
            <w:tcW w:w="1844" w:type="dxa"/>
          </w:tcPr>
          <w:p>
            <w:pPr>
              <w:pStyle w:val="TableParagraph"/>
              <w:spacing w:line="275" w:lineRule="exact"/>
              <w:ind w:left="108"/>
              <w:rPr>
                <w:sz w:val="24"/>
              </w:rPr>
            </w:pPr>
            <w:r>
              <w:rPr>
                <w:color w:val="0D0D0D"/>
                <w:spacing w:val="-2"/>
                <w:sz w:val="24"/>
              </w:rPr>
              <w:t>1.380</w:t>
            </w:r>
          </w:p>
        </w:tc>
        <w:tc>
          <w:tcPr>
            <w:tcW w:w="2127" w:type="dxa"/>
          </w:tcPr>
          <w:p>
            <w:pPr>
              <w:pStyle w:val="TableParagraph"/>
              <w:spacing w:line="275" w:lineRule="exact"/>
              <w:ind w:left="106"/>
              <w:rPr>
                <w:sz w:val="24"/>
              </w:rPr>
            </w:pPr>
            <w:r>
              <w:rPr>
                <w:color w:val="0D0D0D"/>
                <w:spacing w:val="-2"/>
                <w:sz w:val="24"/>
              </w:rPr>
              <w:t>3.266</w:t>
            </w:r>
          </w:p>
        </w:tc>
      </w:tr>
      <w:tr>
        <w:trPr>
          <w:trHeight w:val="402" w:hRule="atLeast"/>
        </w:trPr>
        <w:tc>
          <w:tcPr>
            <w:tcW w:w="1937" w:type="dxa"/>
          </w:tcPr>
          <w:p>
            <w:pPr>
              <w:pStyle w:val="TableParagraph"/>
              <w:spacing w:line="240" w:lineRule="auto" w:before="1"/>
              <w:rPr>
                <w:sz w:val="24"/>
              </w:rPr>
            </w:pPr>
            <w:r>
              <w:rPr>
                <w:color w:val="0D0D0D"/>
                <w:sz w:val="24"/>
              </w:rPr>
              <w:t>Sortino</w:t>
            </w:r>
            <w:r>
              <w:rPr>
                <w:color w:val="0D0D0D"/>
                <w:spacing w:val="1"/>
                <w:sz w:val="24"/>
              </w:rPr>
              <w:t> </w:t>
            </w:r>
            <w:r>
              <w:rPr>
                <w:color w:val="0D0D0D"/>
                <w:spacing w:val="-2"/>
                <w:sz w:val="24"/>
              </w:rPr>
              <w:t>ratio</w:t>
            </w:r>
          </w:p>
        </w:tc>
        <w:tc>
          <w:tcPr>
            <w:tcW w:w="1752" w:type="dxa"/>
          </w:tcPr>
          <w:p>
            <w:pPr>
              <w:pStyle w:val="TableParagraph"/>
              <w:spacing w:line="240" w:lineRule="auto" w:before="1"/>
              <w:ind w:left="108"/>
              <w:rPr>
                <w:sz w:val="24"/>
              </w:rPr>
            </w:pPr>
            <w:r>
              <w:rPr>
                <w:color w:val="0D0D0D"/>
                <w:spacing w:val="-2"/>
                <w:sz w:val="24"/>
              </w:rPr>
              <w:t>2.365</w:t>
            </w:r>
          </w:p>
        </w:tc>
        <w:tc>
          <w:tcPr>
            <w:tcW w:w="1699" w:type="dxa"/>
          </w:tcPr>
          <w:p>
            <w:pPr>
              <w:pStyle w:val="TableParagraph"/>
              <w:spacing w:line="240" w:lineRule="auto" w:before="1"/>
              <w:ind w:left="106"/>
              <w:rPr>
                <w:sz w:val="24"/>
              </w:rPr>
            </w:pPr>
            <w:r>
              <w:rPr>
                <w:color w:val="0D0D0D"/>
                <w:spacing w:val="-2"/>
                <w:sz w:val="24"/>
              </w:rPr>
              <w:t>2.665</w:t>
            </w:r>
          </w:p>
        </w:tc>
        <w:tc>
          <w:tcPr>
            <w:tcW w:w="1702" w:type="dxa"/>
          </w:tcPr>
          <w:p>
            <w:pPr>
              <w:pStyle w:val="TableParagraph"/>
              <w:spacing w:line="240" w:lineRule="auto" w:before="1"/>
              <w:ind w:left="108"/>
              <w:rPr>
                <w:sz w:val="24"/>
              </w:rPr>
            </w:pPr>
            <w:r>
              <w:rPr>
                <w:color w:val="0D0D0D"/>
                <w:spacing w:val="-2"/>
                <w:sz w:val="24"/>
              </w:rPr>
              <w:t>4.898</w:t>
            </w:r>
          </w:p>
        </w:tc>
        <w:tc>
          <w:tcPr>
            <w:tcW w:w="1844" w:type="dxa"/>
          </w:tcPr>
          <w:p>
            <w:pPr>
              <w:pStyle w:val="TableParagraph"/>
              <w:spacing w:line="240" w:lineRule="auto" w:before="1"/>
              <w:ind w:left="108"/>
              <w:rPr>
                <w:sz w:val="24"/>
              </w:rPr>
            </w:pPr>
            <w:r>
              <w:rPr>
                <w:color w:val="0D0D0D"/>
                <w:spacing w:val="-2"/>
                <w:sz w:val="24"/>
              </w:rPr>
              <w:t>2.667</w:t>
            </w:r>
          </w:p>
        </w:tc>
        <w:tc>
          <w:tcPr>
            <w:tcW w:w="2127" w:type="dxa"/>
          </w:tcPr>
          <w:p>
            <w:pPr>
              <w:pStyle w:val="TableParagraph"/>
              <w:spacing w:line="240" w:lineRule="auto" w:before="1"/>
              <w:ind w:left="106"/>
              <w:rPr>
                <w:sz w:val="24"/>
              </w:rPr>
            </w:pPr>
            <w:r>
              <w:rPr>
                <w:color w:val="0D0D0D"/>
                <w:spacing w:val="-2"/>
                <w:sz w:val="24"/>
              </w:rPr>
              <w:t>3.638</w:t>
            </w:r>
          </w:p>
        </w:tc>
      </w:tr>
      <w:tr>
        <w:trPr>
          <w:trHeight w:val="419" w:hRule="atLeast"/>
        </w:trPr>
        <w:tc>
          <w:tcPr>
            <w:tcW w:w="1937" w:type="dxa"/>
          </w:tcPr>
          <w:p>
            <w:pPr>
              <w:pStyle w:val="TableParagraph"/>
              <w:spacing w:line="275" w:lineRule="exact"/>
              <w:rPr>
                <w:sz w:val="24"/>
              </w:rPr>
            </w:pPr>
            <w:r>
              <w:rPr>
                <w:color w:val="0D0D0D"/>
                <w:sz w:val="24"/>
              </w:rPr>
              <w:t>Calmar</w:t>
            </w:r>
            <w:r>
              <w:rPr>
                <w:color w:val="0D0D0D"/>
                <w:spacing w:val="-2"/>
                <w:sz w:val="24"/>
              </w:rPr>
              <w:t> Ratio</w:t>
            </w:r>
          </w:p>
        </w:tc>
        <w:tc>
          <w:tcPr>
            <w:tcW w:w="1752" w:type="dxa"/>
          </w:tcPr>
          <w:p>
            <w:pPr>
              <w:pStyle w:val="TableParagraph"/>
              <w:spacing w:line="275" w:lineRule="exact"/>
              <w:ind w:left="108"/>
              <w:rPr>
                <w:sz w:val="24"/>
              </w:rPr>
            </w:pPr>
            <w:r>
              <w:rPr>
                <w:color w:val="0D0D0D"/>
                <w:spacing w:val="-2"/>
                <w:sz w:val="24"/>
              </w:rPr>
              <w:t>0.646</w:t>
            </w:r>
          </w:p>
        </w:tc>
        <w:tc>
          <w:tcPr>
            <w:tcW w:w="1699" w:type="dxa"/>
          </w:tcPr>
          <w:p>
            <w:pPr>
              <w:pStyle w:val="TableParagraph"/>
              <w:spacing w:line="275" w:lineRule="exact"/>
              <w:ind w:left="106"/>
              <w:rPr>
                <w:sz w:val="24"/>
              </w:rPr>
            </w:pPr>
            <w:r>
              <w:rPr>
                <w:color w:val="0D0D0D"/>
                <w:spacing w:val="-2"/>
                <w:sz w:val="24"/>
              </w:rPr>
              <w:t>0.598</w:t>
            </w:r>
          </w:p>
        </w:tc>
        <w:tc>
          <w:tcPr>
            <w:tcW w:w="1702" w:type="dxa"/>
          </w:tcPr>
          <w:p>
            <w:pPr>
              <w:pStyle w:val="TableParagraph"/>
              <w:spacing w:line="275" w:lineRule="exact"/>
              <w:ind w:left="108"/>
              <w:rPr>
                <w:sz w:val="24"/>
              </w:rPr>
            </w:pPr>
            <w:r>
              <w:rPr>
                <w:color w:val="0D0D0D"/>
                <w:spacing w:val="-2"/>
                <w:sz w:val="24"/>
              </w:rPr>
              <w:t>0.807</w:t>
            </w:r>
          </w:p>
        </w:tc>
        <w:tc>
          <w:tcPr>
            <w:tcW w:w="1844" w:type="dxa"/>
          </w:tcPr>
          <w:p>
            <w:pPr>
              <w:pStyle w:val="TableParagraph"/>
              <w:spacing w:line="275" w:lineRule="exact"/>
              <w:ind w:left="108"/>
              <w:rPr>
                <w:sz w:val="24"/>
              </w:rPr>
            </w:pPr>
            <w:r>
              <w:rPr>
                <w:color w:val="0D0D0D"/>
                <w:spacing w:val="-2"/>
                <w:sz w:val="24"/>
              </w:rPr>
              <w:t>0.902</w:t>
            </w:r>
          </w:p>
        </w:tc>
        <w:tc>
          <w:tcPr>
            <w:tcW w:w="2127" w:type="dxa"/>
          </w:tcPr>
          <w:p>
            <w:pPr>
              <w:pStyle w:val="TableParagraph"/>
              <w:spacing w:line="275" w:lineRule="exact"/>
              <w:ind w:left="106"/>
              <w:rPr>
                <w:sz w:val="24"/>
              </w:rPr>
            </w:pPr>
            <w:r>
              <w:rPr>
                <w:color w:val="0D0D0D"/>
                <w:spacing w:val="-2"/>
                <w:sz w:val="24"/>
              </w:rPr>
              <w:t>0.666</w:t>
            </w:r>
          </w:p>
        </w:tc>
      </w:tr>
      <w:tr>
        <w:trPr>
          <w:trHeight w:val="803" w:hRule="atLeast"/>
        </w:trPr>
        <w:tc>
          <w:tcPr>
            <w:tcW w:w="1937" w:type="dxa"/>
          </w:tcPr>
          <w:p>
            <w:pPr>
              <w:pStyle w:val="TableParagraph"/>
              <w:spacing w:line="240" w:lineRule="auto"/>
              <w:ind w:right="749"/>
              <w:rPr>
                <w:sz w:val="24"/>
              </w:rPr>
            </w:pPr>
            <w:r>
              <w:rPr>
                <w:color w:val="0D0D0D"/>
                <w:spacing w:val="-2"/>
                <w:sz w:val="24"/>
              </w:rPr>
              <w:t>Maximum Drawdown</w:t>
            </w:r>
          </w:p>
        </w:tc>
        <w:tc>
          <w:tcPr>
            <w:tcW w:w="1752" w:type="dxa"/>
          </w:tcPr>
          <w:p>
            <w:pPr>
              <w:pStyle w:val="TableParagraph"/>
              <w:spacing w:line="275" w:lineRule="exact"/>
              <w:ind w:left="108"/>
              <w:rPr>
                <w:sz w:val="24"/>
              </w:rPr>
            </w:pPr>
            <w:r>
              <w:rPr>
                <w:color w:val="0D0D0D"/>
                <w:spacing w:val="-2"/>
                <w:sz w:val="24"/>
              </w:rPr>
              <w:t>-0.329</w:t>
            </w:r>
          </w:p>
        </w:tc>
        <w:tc>
          <w:tcPr>
            <w:tcW w:w="1699" w:type="dxa"/>
          </w:tcPr>
          <w:p>
            <w:pPr>
              <w:pStyle w:val="TableParagraph"/>
              <w:spacing w:line="275" w:lineRule="exact"/>
              <w:ind w:left="106"/>
              <w:rPr>
                <w:sz w:val="24"/>
              </w:rPr>
            </w:pPr>
            <w:r>
              <w:rPr>
                <w:color w:val="0D0D0D"/>
                <w:spacing w:val="-2"/>
                <w:sz w:val="24"/>
              </w:rPr>
              <w:t>-0.347</w:t>
            </w:r>
          </w:p>
        </w:tc>
        <w:tc>
          <w:tcPr>
            <w:tcW w:w="1702" w:type="dxa"/>
          </w:tcPr>
          <w:p>
            <w:pPr>
              <w:pStyle w:val="TableParagraph"/>
              <w:spacing w:line="275" w:lineRule="exact"/>
              <w:ind w:left="108"/>
              <w:rPr>
                <w:sz w:val="24"/>
              </w:rPr>
            </w:pPr>
            <w:r>
              <w:rPr>
                <w:color w:val="0D0D0D"/>
                <w:spacing w:val="-2"/>
                <w:sz w:val="24"/>
              </w:rPr>
              <w:t>-0.268</w:t>
            </w:r>
          </w:p>
        </w:tc>
        <w:tc>
          <w:tcPr>
            <w:tcW w:w="1844" w:type="dxa"/>
          </w:tcPr>
          <w:p>
            <w:pPr>
              <w:pStyle w:val="TableParagraph"/>
              <w:spacing w:line="275" w:lineRule="exact"/>
              <w:ind w:left="108"/>
              <w:rPr>
                <w:sz w:val="24"/>
              </w:rPr>
            </w:pPr>
            <w:r>
              <w:rPr>
                <w:color w:val="0D0D0D"/>
                <w:spacing w:val="-2"/>
                <w:sz w:val="24"/>
              </w:rPr>
              <w:t>-0.263</w:t>
            </w:r>
          </w:p>
        </w:tc>
        <w:tc>
          <w:tcPr>
            <w:tcW w:w="2127" w:type="dxa"/>
          </w:tcPr>
          <w:p>
            <w:pPr>
              <w:pStyle w:val="TableParagraph"/>
              <w:spacing w:line="275" w:lineRule="exact"/>
              <w:ind w:left="106"/>
              <w:rPr>
                <w:sz w:val="24"/>
              </w:rPr>
            </w:pPr>
            <w:r>
              <w:rPr>
                <w:color w:val="0D0D0D"/>
                <w:spacing w:val="-2"/>
                <w:sz w:val="24"/>
              </w:rPr>
              <w:t>-0.626</w:t>
            </w:r>
          </w:p>
        </w:tc>
      </w:tr>
      <w:tr>
        <w:trPr>
          <w:trHeight w:val="422" w:hRule="atLeast"/>
        </w:trPr>
        <w:tc>
          <w:tcPr>
            <w:tcW w:w="1937" w:type="dxa"/>
          </w:tcPr>
          <w:p>
            <w:pPr>
              <w:pStyle w:val="TableParagraph"/>
              <w:spacing w:line="240" w:lineRule="auto" w:before="1"/>
              <w:rPr>
                <w:sz w:val="24"/>
              </w:rPr>
            </w:pPr>
            <w:r>
              <w:rPr>
                <w:color w:val="0D0D0D"/>
                <w:sz w:val="24"/>
              </w:rPr>
              <w:t>95%</w:t>
            </w:r>
            <w:r>
              <w:rPr>
                <w:color w:val="0D0D0D"/>
                <w:spacing w:val="-1"/>
                <w:sz w:val="24"/>
              </w:rPr>
              <w:t> </w:t>
            </w:r>
            <w:r>
              <w:rPr>
                <w:color w:val="0D0D0D"/>
                <w:spacing w:val="-4"/>
                <w:sz w:val="24"/>
              </w:rPr>
              <w:t>cVar</w:t>
            </w:r>
          </w:p>
        </w:tc>
        <w:tc>
          <w:tcPr>
            <w:tcW w:w="1752" w:type="dxa"/>
          </w:tcPr>
          <w:p>
            <w:pPr>
              <w:pStyle w:val="TableParagraph"/>
              <w:spacing w:line="240" w:lineRule="auto" w:before="1"/>
              <w:ind w:left="108"/>
              <w:rPr>
                <w:sz w:val="24"/>
              </w:rPr>
            </w:pPr>
            <w:r>
              <w:rPr>
                <w:color w:val="0D0D0D"/>
                <w:spacing w:val="-2"/>
                <w:sz w:val="24"/>
              </w:rPr>
              <w:t>-0.025</w:t>
            </w:r>
          </w:p>
        </w:tc>
        <w:tc>
          <w:tcPr>
            <w:tcW w:w="1699" w:type="dxa"/>
          </w:tcPr>
          <w:p>
            <w:pPr>
              <w:pStyle w:val="TableParagraph"/>
              <w:spacing w:line="240" w:lineRule="auto" w:before="1"/>
              <w:ind w:left="106"/>
              <w:rPr>
                <w:sz w:val="24"/>
              </w:rPr>
            </w:pPr>
            <w:r>
              <w:rPr>
                <w:color w:val="0D0D0D"/>
                <w:spacing w:val="-2"/>
                <w:sz w:val="24"/>
              </w:rPr>
              <w:t>-0.026</w:t>
            </w:r>
          </w:p>
        </w:tc>
        <w:tc>
          <w:tcPr>
            <w:tcW w:w="1702" w:type="dxa"/>
          </w:tcPr>
          <w:p>
            <w:pPr>
              <w:pStyle w:val="TableParagraph"/>
              <w:spacing w:line="240" w:lineRule="auto" w:before="1"/>
              <w:ind w:left="108"/>
              <w:rPr>
                <w:sz w:val="24"/>
              </w:rPr>
            </w:pPr>
            <w:r>
              <w:rPr>
                <w:color w:val="0D0D0D"/>
                <w:spacing w:val="-2"/>
                <w:sz w:val="24"/>
              </w:rPr>
              <w:t>-0.021</w:t>
            </w:r>
          </w:p>
        </w:tc>
        <w:tc>
          <w:tcPr>
            <w:tcW w:w="1844" w:type="dxa"/>
          </w:tcPr>
          <w:p>
            <w:pPr>
              <w:pStyle w:val="TableParagraph"/>
              <w:spacing w:line="240" w:lineRule="auto" w:before="1"/>
              <w:ind w:left="108"/>
              <w:rPr>
                <w:sz w:val="24"/>
              </w:rPr>
            </w:pPr>
            <w:r>
              <w:rPr>
                <w:color w:val="0D0D0D"/>
                <w:spacing w:val="-2"/>
                <w:sz w:val="24"/>
              </w:rPr>
              <w:t>-0.021</w:t>
            </w:r>
          </w:p>
        </w:tc>
        <w:tc>
          <w:tcPr>
            <w:tcW w:w="2127" w:type="dxa"/>
          </w:tcPr>
          <w:p>
            <w:pPr>
              <w:pStyle w:val="TableParagraph"/>
              <w:spacing w:line="240" w:lineRule="auto" w:before="1"/>
              <w:ind w:left="106"/>
              <w:rPr>
                <w:sz w:val="24"/>
              </w:rPr>
            </w:pPr>
            <w:r>
              <w:rPr>
                <w:color w:val="0D0D0D"/>
                <w:spacing w:val="-2"/>
                <w:sz w:val="24"/>
              </w:rPr>
              <w:t>-0.001</w:t>
            </w:r>
          </w:p>
        </w:tc>
      </w:tr>
      <w:tr>
        <w:trPr>
          <w:trHeight w:val="400" w:hRule="atLeast"/>
        </w:trPr>
        <w:tc>
          <w:tcPr>
            <w:tcW w:w="1937" w:type="dxa"/>
          </w:tcPr>
          <w:p>
            <w:pPr>
              <w:pStyle w:val="TableParagraph"/>
              <w:spacing w:line="275" w:lineRule="exact"/>
              <w:rPr>
                <w:sz w:val="24"/>
              </w:rPr>
            </w:pPr>
            <w:r>
              <w:rPr>
                <w:color w:val="0D0D0D"/>
                <w:sz w:val="24"/>
              </w:rPr>
              <w:t>99%</w:t>
            </w:r>
            <w:r>
              <w:rPr>
                <w:color w:val="0D0D0D"/>
                <w:spacing w:val="-1"/>
                <w:sz w:val="24"/>
              </w:rPr>
              <w:t> </w:t>
            </w:r>
            <w:r>
              <w:rPr>
                <w:color w:val="0D0D0D"/>
                <w:spacing w:val="-4"/>
                <w:sz w:val="24"/>
              </w:rPr>
              <w:t>cVar</w:t>
            </w:r>
          </w:p>
        </w:tc>
        <w:tc>
          <w:tcPr>
            <w:tcW w:w="1752" w:type="dxa"/>
          </w:tcPr>
          <w:p>
            <w:pPr>
              <w:pStyle w:val="TableParagraph"/>
              <w:spacing w:line="275" w:lineRule="exact"/>
              <w:ind w:left="108"/>
              <w:rPr>
                <w:sz w:val="24"/>
              </w:rPr>
            </w:pPr>
            <w:r>
              <w:rPr>
                <w:color w:val="0D0D0D"/>
                <w:spacing w:val="-2"/>
                <w:sz w:val="24"/>
              </w:rPr>
              <w:t>-0.044</w:t>
            </w:r>
          </w:p>
        </w:tc>
        <w:tc>
          <w:tcPr>
            <w:tcW w:w="1699" w:type="dxa"/>
          </w:tcPr>
          <w:p>
            <w:pPr>
              <w:pStyle w:val="TableParagraph"/>
              <w:spacing w:line="275" w:lineRule="exact"/>
              <w:ind w:left="106"/>
              <w:rPr>
                <w:sz w:val="24"/>
              </w:rPr>
            </w:pPr>
            <w:r>
              <w:rPr>
                <w:color w:val="0D0D0D"/>
                <w:spacing w:val="-2"/>
                <w:sz w:val="24"/>
              </w:rPr>
              <w:t>-0.045</w:t>
            </w:r>
          </w:p>
        </w:tc>
        <w:tc>
          <w:tcPr>
            <w:tcW w:w="1702" w:type="dxa"/>
          </w:tcPr>
          <w:p>
            <w:pPr>
              <w:pStyle w:val="TableParagraph"/>
              <w:spacing w:line="275" w:lineRule="exact"/>
              <w:ind w:left="108"/>
              <w:rPr>
                <w:sz w:val="24"/>
              </w:rPr>
            </w:pPr>
            <w:r>
              <w:rPr>
                <w:color w:val="0D0D0D"/>
                <w:spacing w:val="-2"/>
                <w:sz w:val="24"/>
              </w:rPr>
              <w:t>-0.037</w:t>
            </w:r>
          </w:p>
        </w:tc>
        <w:tc>
          <w:tcPr>
            <w:tcW w:w="1844" w:type="dxa"/>
          </w:tcPr>
          <w:p>
            <w:pPr>
              <w:pStyle w:val="TableParagraph"/>
              <w:spacing w:line="275" w:lineRule="exact"/>
              <w:ind w:left="108"/>
              <w:rPr>
                <w:sz w:val="24"/>
              </w:rPr>
            </w:pPr>
            <w:r>
              <w:rPr>
                <w:color w:val="0D0D0D"/>
                <w:spacing w:val="-2"/>
                <w:sz w:val="24"/>
              </w:rPr>
              <w:t>-0.036</w:t>
            </w:r>
          </w:p>
        </w:tc>
        <w:tc>
          <w:tcPr>
            <w:tcW w:w="2127" w:type="dxa"/>
          </w:tcPr>
          <w:p>
            <w:pPr>
              <w:pStyle w:val="TableParagraph"/>
              <w:spacing w:line="275" w:lineRule="exact"/>
              <w:ind w:left="106"/>
              <w:rPr>
                <w:sz w:val="24"/>
              </w:rPr>
            </w:pPr>
            <w:r>
              <w:rPr>
                <w:color w:val="0D0D0D"/>
                <w:spacing w:val="-2"/>
                <w:sz w:val="24"/>
              </w:rPr>
              <w:t>-0.003</w:t>
            </w:r>
          </w:p>
        </w:tc>
      </w:tr>
      <w:tr>
        <w:trPr>
          <w:trHeight w:val="551" w:hRule="atLeast"/>
        </w:trPr>
        <w:tc>
          <w:tcPr>
            <w:tcW w:w="1937" w:type="dxa"/>
          </w:tcPr>
          <w:p>
            <w:pPr>
              <w:pStyle w:val="TableParagraph"/>
              <w:spacing w:line="276" w:lineRule="exact"/>
              <w:ind w:right="34"/>
              <w:rPr>
                <w:sz w:val="24"/>
              </w:rPr>
            </w:pPr>
            <w:r>
              <w:rPr>
                <w:color w:val="0D0D0D"/>
                <w:spacing w:val="-2"/>
                <w:sz w:val="24"/>
              </w:rPr>
              <w:t>Cummulative returns</w:t>
            </w:r>
          </w:p>
        </w:tc>
        <w:tc>
          <w:tcPr>
            <w:tcW w:w="1752" w:type="dxa"/>
          </w:tcPr>
          <w:p>
            <w:pPr>
              <w:pStyle w:val="TableParagraph"/>
              <w:spacing w:line="275" w:lineRule="exact"/>
              <w:ind w:left="108"/>
              <w:rPr>
                <w:sz w:val="24"/>
              </w:rPr>
            </w:pPr>
            <w:r>
              <w:rPr>
                <w:color w:val="0D0D0D"/>
                <w:spacing w:val="-2"/>
                <w:sz w:val="24"/>
              </w:rPr>
              <w:t>0.307</w:t>
            </w:r>
          </w:p>
        </w:tc>
        <w:tc>
          <w:tcPr>
            <w:tcW w:w="1699" w:type="dxa"/>
          </w:tcPr>
          <w:p>
            <w:pPr>
              <w:pStyle w:val="TableParagraph"/>
              <w:spacing w:line="275" w:lineRule="exact"/>
              <w:ind w:left="106"/>
              <w:rPr>
                <w:sz w:val="24"/>
              </w:rPr>
            </w:pPr>
            <w:r>
              <w:rPr>
                <w:color w:val="0D0D0D"/>
                <w:spacing w:val="-2"/>
                <w:sz w:val="24"/>
              </w:rPr>
              <w:t>0.228</w:t>
            </w:r>
          </w:p>
        </w:tc>
        <w:tc>
          <w:tcPr>
            <w:tcW w:w="1702" w:type="dxa"/>
          </w:tcPr>
          <w:p>
            <w:pPr>
              <w:pStyle w:val="TableParagraph"/>
              <w:spacing w:line="275" w:lineRule="exact"/>
              <w:ind w:left="108"/>
              <w:rPr>
                <w:sz w:val="24"/>
              </w:rPr>
            </w:pPr>
            <w:r>
              <w:rPr>
                <w:color w:val="0D0D0D"/>
                <w:spacing w:val="-2"/>
                <w:sz w:val="24"/>
              </w:rPr>
              <w:t>0.329</w:t>
            </w:r>
          </w:p>
        </w:tc>
        <w:tc>
          <w:tcPr>
            <w:tcW w:w="1844" w:type="dxa"/>
          </w:tcPr>
          <w:p>
            <w:pPr>
              <w:pStyle w:val="TableParagraph"/>
              <w:spacing w:line="275" w:lineRule="exact"/>
              <w:ind w:left="108"/>
              <w:rPr>
                <w:sz w:val="24"/>
              </w:rPr>
            </w:pPr>
            <w:r>
              <w:rPr>
                <w:color w:val="0D0D0D"/>
                <w:spacing w:val="-2"/>
                <w:sz w:val="24"/>
              </w:rPr>
              <w:t>0.302</w:t>
            </w:r>
          </w:p>
        </w:tc>
        <w:tc>
          <w:tcPr>
            <w:tcW w:w="2127" w:type="dxa"/>
          </w:tcPr>
          <w:p>
            <w:pPr>
              <w:pStyle w:val="TableParagraph"/>
              <w:spacing w:line="275" w:lineRule="exact"/>
              <w:ind w:left="106"/>
              <w:rPr>
                <w:sz w:val="24"/>
              </w:rPr>
            </w:pPr>
            <w:r>
              <w:rPr>
                <w:color w:val="0D0D0D"/>
                <w:spacing w:val="-2"/>
                <w:sz w:val="24"/>
              </w:rPr>
              <w:t>0.320</w:t>
            </w:r>
          </w:p>
        </w:tc>
      </w:tr>
      <w:tr>
        <w:trPr>
          <w:trHeight w:val="554" w:hRule="atLeast"/>
        </w:trPr>
        <w:tc>
          <w:tcPr>
            <w:tcW w:w="1937" w:type="dxa"/>
          </w:tcPr>
          <w:p>
            <w:pPr>
              <w:pStyle w:val="TableParagraph"/>
              <w:spacing w:line="270" w:lineRule="atLeast"/>
              <w:ind w:right="34"/>
              <w:rPr>
                <w:sz w:val="24"/>
              </w:rPr>
            </w:pPr>
            <w:r>
              <w:rPr>
                <w:color w:val="0D0D0D"/>
                <w:sz w:val="24"/>
              </w:rPr>
              <w:t>Volatility</w:t>
            </w:r>
            <w:r>
              <w:rPr>
                <w:color w:val="0D0D0D"/>
                <w:spacing w:val="-15"/>
                <w:sz w:val="24"/>
              </w:rPr>
              <w:t> </w:t>
            </w:r>
            <w:r>
              <w:rPr>
                <w:color w:val="0D0D0D"/>
                <w:sz w:val="24"/>
              </w:rPr>
              <w:t>ratio</w:t>
            </w:r>
            <w:r>
              <w:rPr>
                <w:color w:val="0D0D0D"/>
                <w:spacing w:val="-15"/>
                <w:sz w:val="24"/>
              </w:rPr>
              <w:t> </w:t>
            </w:r>
            <w:r>
              <w:rPr>
                <w:color w:val="0D0D0D"/>
                <w:sz w:val="24"/>
              </w:rPr>
              <w:t>to </w:t>
            </w:r>
            <w:r>
              <w:rPr>
                <w:color w:val="0D0D0D"/>
                <w:spacing w:val="-2"/>
                <w:sz w:val="24"/>
              </w:rPr>
              <w:t>Sensex</w:t>
            </w:r>
          </w:p>
        </w:tc>
        <w:tc>
          <w:tcPr>
            <w:tcW w:w="1752" w:type="dxa"/>
          </w:tcPr>
          <w:p>
            <w:pPr>
              <w:pStyle w:val="TableParagraph"/>
              <w:spacing w:line="240" w:lineRule="auto" w:before="1"/>
              <w:ind w:left="108"/>
              <w:rPr>
                <w:sz w:val="24"/>
              </w:rPr>
            </w:pPr>
            <w:r>
              <w:rPr>
                <w:color w:val="0D0D0D"/>
                <w:spacing w:val="-2"/>
                <w:sz w:val="24"/>
              </w:rPr>
              <w:t>1.060</w:t>
            </w:r>
          </w:p>
        </w:tc>
        <w:tc>
          <w:tcPr>
            <w:tcW w:w="1699" w:type="dxa"/>
          </w:tcPr>
          <w:p>
            <w:pPr>
              <w:pStyle w:val="TableParagraph"/>
              <w:spacing w:line="240" w:lineRule="auto" w:before="1"/>
              <w:ind w:left="106"/>
              <w:rPr>
                <w:sz w:val="24"/>
              </w:rPr>
            </w:pPr>
            <w:r>
              <w:rPr>
                <w:color w:val="0D0D0D"/>
                <w:spacing w:val="-2"/>
                <w:sz w:val="24"/>
              </w:rPr>
              <w:t>0.898</w:t>
            </w:r>
          </w:p>
        </w:tc>
        <w:tc>
          <w:tcPr>
            <w:tcW w:w="1702" w:type="dxa"/>
          </w:tcPr>
          <w:p>
            <w:pPr>
              <w:pStyle w:val="TableParagraph"/>
              <w:spacing w:line="240" w:lineRule="auto" w:before="1"/>
              <w:ind w:left="108"/>
              <w:rPr>
                <w:sz w:val="24"/>
              </w:rPr>
            </w:pPr>
            <w:r>
              <w:rPr>
                <w:color w:val="0D0D0D"/>
                <w:spacing w:val="-2"/>
                <w:sz w:val="24"/>
              </w:rPr>
              <w:t>1.369</w:t>
            </w:r>
          </w:p>
        </w:tc>
        <w:tc>
          <w:tcPr>
            <w:tcW w:w="1844" w:type="dxa"/>
          </w:tcPr>
          <w:p>
            <w:pPr>
              <w:pStyle w:val="TableParagraph"/>
              <w:spacing w:line="240" w:lineRule="auto" w:before="1"/>
              <w:ind w:left="108"/>
              <w:rPr>
                <w:sz w:val="24"/>
              </w:rPr>
            </w:pPr>
            <w:r>
              <w:rPr>
                <w:color w:val="0D0D0D"/>
                <w:spacing w:val="-2"/>
                <w:sz w:val="24"/>
              </w:rPr>
              <w:t>1.002</w:t>
            </w:r>
          </w:p>
        </w:tc>
        <w:tc>
          <w:tcPr>
            <w:tcW w:w="2127" w:type="dxa"/>
          </w:tcPr>
          <w:p>
            <w:pPr>
              <w:pStyle w:val="TableParagraph"/>
              <w:spacing w:line="240" w:lineRule="auto" w:before="1"/>
              <w:ind w:left="106"/>
              <w:rPr>
                <w:sz w:val="24"/>
              </w:rPr>
            </w:pPr>
            <w:r>
              <w:rPr>
                <w:color w:val="0D0D0D"/>
                <w:spacing w:val="-2"/>
                <w:sz w:val="24"/>
              </w:rPr>
              <w:t>1.370</w:t>
            </w:r>
          </w:p>
        </w:tc>
      </w:tr>
    </w:tbl>
    <w:p>
      <w:pPr>
        <w:pStyle w:val="BodyText"/>
        <w:rPr>
          <w:b/>
        </w:rPr>
      </w:pPr>
    </w:p>
    <w:p>
      <w:pPr>
        <w:pStyle w:val="BodyText"/>
        <w:spacing w:before="4"/>
        <w:rPr>
          <w:b/>
        </w:rPr>
      </w:pPr>
    </w:p>
    <w:p>
      <w:pPr>
        <w:pStyle w:val="BodyText"/>
        <w:ind w:left="1615"/>
      </w:pPr>
      <w:r>
        <w:rPr>
          <w:color w:val="0D0D0D"/>
        </w:rPr>
        <w:t>Table</w:t>
      </w:r>
      <w:r>
        <w:rPr>
          <w:color w:val="0D0D0D"/>
          <w:spacing w:val="-3"/>
        </w:rPr>
        <w:t> </w:t>
      </w:r>
      <w:r>
        <w:rPr>
          <w:color w:val="0D0D0D"/>
        </w:rPr>
        <w:t>19.Summary of the</w:t>
      </w:r>
      <w:r>
        <w:rPr>
          <w:color w:val="0D0D0D"/>
          <w:spacing w:val="-3"/>
        </w:rPr>
        <w:t> </w:t>
      </w:r>
      <w:r>
        <w:rPr>
          <w:color w:val="0D0D0D"/>
        </w:rPr>
        <w:t>performances of</w:t>
      </w:r>
      <w:r>
        <w:rPr>
          <w:color w:val="0D0D0D"/>
          <w:spacing w:val="-1"/>
        </w:rPr>
        <w:t> </w:t>
      </w:r>
      <w:r>
        <w:rPr>
          <w:color w:val="0D0D0D"/>
        </w:rPr>
        <w:t>the</w:t>
      </w:r>
      <w:r>
        <w:rPr>
          <w:color w:val="0D0D0D"/>
          <w:spacing w:val="-1"/>
        </w:rPr>
        <w:t> </w:t>
      </w:r>
      <w:r>
        <w:rPr>
          <w:color w:val="0D0D0D"/>
        </w:rPr>
        <w:t>five</w:t>
      </w:r>
      <w:r>
        <w:rPr>
          <w:color w:val="0D0D0D"/>
          <w:spacing w:val="-3"/>
        </w:rPr>
        <w:t> </w:t>
      </w:r>
      <w:r>
        <w:rPr>
          <w:color w:val="0D0D0D"/>
        </w:rPr>
        <w:t>distinct </w:t>
      </w:r>
      <w:r>
        <w:rPr>
          <w:color w:val="0D0D0D"/>
          <w:spacing w:val="-2"/>
        </w:rPr>
        <w:t>portfolio</w:t>
      </w:r>
    </w:p>
    <w:p>
      <w:pPr>
        <w:pStyle w:val="BodyText"/>
      </w:pPr>
    </w:p>
    <w:p>
      <w:pPr>
        <w:pStyle w:val="Heading2"/>
      </w:pPr>
      <w:r>
        <w:rPr>
          <w:color w:val="0D0D0D"/>
        </w:rPr>
        <w:t>Sortino</w:t>
      </w:r>
      <w:r>
        <w:rPr>
          <w:color w:val="0D0D0D"/>
          <w:spacing w:val="-1"/>
        </w:rPr>
        <w:t> </w:t>
      </w:r>
      <w:r>
        <w:rPr>
          <w:color w:val="0D0D0D"/>
          <w:spacing w:val="-2"/>
        </w:rPr>
        <w:t>ratio</w:t>
      </w:r>
    </w:p>
    <w:p>
      <w:pPr>
        <w:pStyle w:val="BodyText"/>
        <w:ind w:left="1675"/>
      </w:pPr>
      <w:r>
        <w:rPr/>
        <w:t>Sortino’s</w:t>
      </w:r>
      <w:r>
        <w:rPr>
          <w:spacing w:val="-2"/>
        </w:rPr>
        <w:t> </w:t>
      </w:r>
      <w:r>
        <w:rPr/>
        <w:t>Ratio</w:t>
      </w:r>
      <w:r>
        <w:rPr>
          <w:spacing w:val="-1"/>
        </w:rPr>
        <w:t> </w:t>
      </w:r>
      <w:r>
        <w:rPr/>
        <w:t>is</w:t>
      </w:r>
      <w:r>
        <w:rPr>
          <w:spacing w:val="-4"/>
        </w:rPr>
        <w:t> </w:t>
      </w:r>
      <w:r>
        <w:rPr/>
        <w:t>=</w:t>
      </w:r>
      <w:r>
        <w:rPr>
          <w:spacing w:val="-2"/>
        </w:rPr>
        <w:t> </w:t>
      </w:r>
      <w:r>
        <w:rPr/>
        <w:t>[Fund</w:t>
      </w:r>
      <w:r>
        <w:rPr>
          <w:spacing w:val="-2"/>
        </w:rPr>
        <w:t> </w:t>
      </w:r>
      <w:r>
        <w:rPr/>
        <w:t>Return –</w:t>
      </w:r>
      <w:r>
        <w:rPr>
          <w:spacing w:val="-2"/>
        </w:rPr>
        <w:t> </w:t>
      </w:r>
      <w:r>
        <w:rPr/>
        <w:t>Risk-Free</w:t>
      </w:r>
      <w:r>
        <w:rPr>
          <w:spacing w:val="-2"/>
        </w:rPr>
        <w:t> </w:t>
      </w:r>
      <w:r>
        <w:rPr/>
        <w:t>Return]/Downside</w:t>
      </w:r>
      <w:r>
        <w:rPr>
          <w:spacing w:val="-2"/>
        </w:rPr>
        <w:t> </w:t>
      </w:r>
      <w:r>
        <w:rPr>
          <w:spacing w:val="-4"/>
        </w:rPr>
        <w:t>Risk</w:t>
      </w:r>
    </w:p>
    <w:p>
      <w:pPr>
        <w:pStyle w:val="BodyText"/>
        <w:spacing w:before="1"/>
        <w:ind w:left="1015" w:right="1260"/>
      </w:pPr>
      <w:r>
        <w:rPr>
          <w:color w:val="393939"/>
        </w:rPr>
        <w:t>It</w:t>
      </w:r>
      <w:r>
        <w:rPr>
          <w:color w:val="393939"/>
          <w:spacing w:val="-3"/>
        </w:rPr>
        <w:t> </w:t>
      </w:r>
      <w:r>
        <w:rPr>
          <w:color w:val="393939"/>
        </w:rPr>
        <w:t>measures</w:t>
      </w:r>
      <w:r>
        <w:rPr>
          <w:color w:val="393939"/>
          <w:spacing w:val="-3"/>
        </w:rPr>
        <w:t> </w:t>
      </w:r>
      <w:r>
        <w:rPr>
          <w:color w:val="393939"/>
        </w:rPr>
        <w:t>the</w:t>
      </w:r>
      <w:r>
        <w:rPr>
          <w:color w:val="393939"/>
          <w:spacing w:val="-3"/>
        </w:rPr>
        <w:t> </w:t>
      </w:r>
      <w:r>
        <w:rPr>
          <w:color w:val="393939"/>
        </w:rPr>
        <w:t>performance</w:t>
      </w:r>
      <w:r>
        <w:rPr>
          <w:color w:val="393939"/>
          <w:spacing w:val="-4"/>
        </w:rPr>
        <w:t> </w:t>
      </w:r>
      <w:r>
        <w:rPr>
          <w:color w:val="393939"/>
        </w:rPr>
        <w:t>of</w:t>
      </w:r>
      <w:r>
        <w:rPr>
          <w:color w:val="393939"/>
          <w:spacing w:val="-3"/>
        </w:rPr>
        <w:t> </w:t>
      </w:r>
      <w:r>
        <w:rPr>
          <w:color w:val="393939"/>
        </w:rPr>
        <w:t>the</w:t>
      </w:r>
      <w:r>
        <w:rPr>
          <w:color w:val="393939"/>
          <w:spacing w:val="-5"/>
        </w:rPr>
        <w:t> </w:t>
      </w:r>
      <w:r>
        <w:rPr>
          <w:color w:val="393939"/>
        </w:rPr>
        <w:t>investment</w:t>
      </w:r>
      <w:r>
        <w:rPr>
          <w:color w:val="393939"/>
          <w:spacing w:val="-3"/>
        </w:rPr>
        <w:t> </w:t>
      </w:r>
      <w:r>
        <w:rPr>
          <w:color w:val="393939"/>
        </w:rPr>
        <w:t>relative</w:t>
      </w:r>
      <w:r>
        <w:rPr>
          <w:color w:val="393939"/>
          <w:spacing w:val="-4"/>
        </w:rPr>
        <w:t> </w:t>
      </w:r>
      <w:r>
        <w:rPr>
          <w:color w:val="393939"/>
        </w:rPr>
        <w:t>to</w:t>
      </w:r>
      <w:r>
        <w:rPr>
          <w:color w:val="393939"/>
          <w:spacing w:val="-3"/>
        </w:rPr>
        <w:t> </w:t>
      </w:r>
      <w:r>
        <w:rPr>
          <w:color w:val="393939"/>
        </w:rPr>
        <w:t>the</w:t>
      </w:r>
      <w:r>
        <w:rPr>
          <w:color w:val="393939"/>
          <w:spacing w:val="-4"/>
        </w:rPr>
        <w:t> </w:t>
      </w:r>
      <w:r>
        <w:rPr>
          <w:color w:val="393939"/>
        </w:rPr>
        <w:t>downward</w:t>
      </w:r>
      <w:r>
        <w:rPr>
          <w:color w:val="393939"/>
          <w:spacing w:val="-3"/>
        </w:rPr>
        <w:t> </w:t>
      </w:r>
      <w:r>
        <w:rPr>
          <w:color w:val="393939"/>
        </w:rPr>
        <w:t>deviation.</w:t>
      </w:r>
      <w:r>
        <w:rPr>
          <w:color w:val="393939"/>
          <w:spacing w:val="-3"/>
        </w:rPr>
        <w:t> </w:t>
      </w:r>
      <w:r>
        <w:rPr>
          <w:color w:val="393939"/>
        </w:rPr>
        <w:t>Unlike Sharpe, it doesn't take into account the total volatility in the investment.</w:t>
      </w:r>
    </w:p>
    <w:p>
      <w:pPr>
        <w:pStyle w:val="BodyText"/>
      </w:pPr>
    </w:p>
    <w:p>
      <w:pPr>
        <w:pStyle w:val="Heading2"/>
      </w:pPr>
      <w:r>
        <w:rPr>
          <w:color w:val="0D0D0D"/>
        </w:rPr>
        <w:t>Calmar </w:t>
      </w:r>
      <w:r>
        <w:rPr>
          <w:color w:val="0D0D0D"/>
          <w:spacing w:val="-2"/>
        </w:rPr>
        <w:t>ratio</w:t>
      </w:r>
    </w:p>
    <w:p>
      <w:pPr>
        <w:pStyle w:val="BodyText"/>
        <w:ind w:left="1435"/>
      </w:pPr>
      <w:r>
        <w:rPr>
          <w:color w:val="0D0D0D"/>
        </w:rPr>
        <w:t>Calmar</w:t>
      </w:r>
      <w:r>
        <w:rPr>
          <w:color w:val="0D0D0D"/>
          <w:spacing w:val="-3"/>
        </w:rPr>
        <w:t> </w:t>
      </w:r>
      <w:r>
        <w:rPr>
          <w:color w:val="0D0D0D"/>
        </w:rPr>
        <w:t>ratio</w:t>
      </w:r>
      <w:r>
        <w:rPr>
          <w:color w:val="0D0D0D"/>
          <w:spacing w:val="-1"/>
        </w:rPr>
        <w:t> </w:t>
      </w:r>
      <w:r>
        <w:rPr>
          <w:color w:val="0D0D0D"/>
        </w:rPr>
        <w:t>=</w:t>
      </w:r>
      <w:r>
        <w:rPr>
          <w:color w:val="0D0D0D"/>
          <w:spacing w:val="-2"/>
        </w:rPr>
        <w:t> </w:t>
      </w:r>
      <w:r>
        <w:rPr>
          <w:color w:val="0D0D0D"/>
        </w:rPr>
        <w:t>Average</w:t>
      </w:r>
      <w:r>
        <w:rPr>
          <w:color w:val="0D0D0D"/>
          <w:spacing w:val="-2"/>
        </w:rPr>
        <w:t> </w:t>
      </w:r>
      <w:r>
        <w:rPr>
          <w:color w:val="0D0D0D"/>
        </w:rPr>
        <w:t>Annual</w:t>
      </w:r>
      <w:r>
        <w:rPr>
          <w:color w:val="0D0D0D"/>
          <w:spacing w:val="-1"/>
        </w:rPr>
        <w:t> </w:t>
      </w:r>
      <w:r>
        <w:rPr>
          <w:color w:val="0D0D0D"/>
        </w:rPr>
        <w:t>rate</w:t>
      </w:r>
      <w:r>
        <w:rPr>
          <w:color w:val="0D0D0D"/>
          <w:spacing w:val="-1"/>
        </w:rPr>
        <w:t> </w:t>
      </w:r>
      <w:r>
        <w:rPr>
          <w:color w:val="0D0D0D"/>
        </w:rPr>
        <w:t>of</w:t>
      </w:r>
      <w:r>
        <w:rPr>
          <w:color w:val="0D0D0D"/>
          <w:spacing w:val="-1"/>
        </w:rPr>
        <w:t> </w:t>
      </w:r>
      <w:r>
        <w:rPr>
          <w:color w:val="0D0D0D"/>
        </w:rPr>
        <w:t>return /</w:t>
      </w:r>
      <w:r>
        <w:rPr>
          <w:color w:val="0D0D0D"/>
          <w:spacing w:val="-1"/>
        </w:rPr>
        <w:t> </w:t>
      </w:r>
      <w:r>
        <w:rPr>
          <w:color w:val="0D0D0D"/>
        </w:rPr>
        <w:t>Maximum </w:t>
      </w:r>
      <w:r>
        <w:rPr>
          <w:color w:val="0D0D0D"/>
          <w:spacing w:val="-2"/>
        </w:rPr>
        <w:t>drawdown</w:t>
      </w:r>
    </w:p>
    <w:p>
      <w:pPr>
        <w:pStyle w:val="BodyText"/>
      </w:pPr>
    </w:p>
    <w:p>
      <w:pPr>
        <w:pStyle w:val="Heading2"/>
      </w:pPr>
      <w:r>
        <w:rPr>
          <w:color w:val="0D0D0D"/>
        </w:rPr>
        <w:t>Maximum</w:t>
      </w:r>
      <w:r>
        <w:rPr>
          <w:color w:val="0D0D0D"/>
          <w:spacing w:val="-1"/>
        </w:rPr>
        <w:t> </w:t>
      </w:r>
      <w:r>
        <w:rPr>
          <w:color w:val="0D0D0D"/>
          <w:spacing w:val="-2"/>
        </w:rPr>
        <w:t>Drawdown</w:t>
      </w:r>
    </w:p>
    <w:p>
      <w:pPr>
        <w:pStyle w:val="BodyText"/>
        <w:ind w:left="1015" w:right="1260"/>
      </w:pPr>
      <w:r>
        <w:rPr>
          <w:color w:val="0D0D0D"/>
        </w:rPr>
        <w:t>It</w:t>
      </w:r>
      <w:r>
        <w:rPr>
          <w:color w:val="0D0D0D"/>
          <w:spacing w:val="-3"/>
        </w:rPr>
        <w:t> </w:t>
      </w:r>
      <w:r>
        <w:rPr>
          <w:color w:val="0D0D0D"/>
        </w:rPr>
        <w:t>measures</w:t>
      </w:r>
      <w:r>
        <w:rPr>
          <w:color w:val="0D0D0D"/>
          <w:spacing w:val="-3"/>
        </w:rPr>
        <w:t> </w:t>
      </w:r>
      <w:r>
        <w:rPr>
          <w:color w:val="0D0D0D"/>
        </w:rPr>
        <w:t>the</w:t>
      </w:r>
      <w:r>
        <w:rPr>
          <w:color w:val="0D0D0D"/>
          <w:spacing w:val="-3"/>
        </w:rPr>
        <w:t> </w:t>
      </w:r>
      <w:r>
        <w:rPr>
          <w:color w:val="0D0D0D"/>
        </w:rPr>
        <w:t>maximum</w:t>
      </w:r>
      <w:r>
        <w:rPr>
          <w:color w:val="0D0D0D"/>
          <w:spacing w:val="-3"/>
        </w:rPr>
        <w:t> </w:t>
      </w:r>
      <w:r>
        <w:rPr>
          <w:color w:val="0D0D0D"/>
        </w:rPr>
        <w:t>fall</w:t>
      </w:r>
      <w:r>
        <w:rPr>
          <w:color w:val="0D0D0D"/>
          <w:spacing w:val="-3"/>
        </w:rPr>
        <w:t> </w:t>
      </w:r>
      <w:r>
        <w:rPr>
          <w:color w:val="0D0D0D"/>
        </w:rPr>
        <w:t>in</w:t>
      </w:r>
      <w:r>
        <w:rPr>
          <w:color w:val="0D0D0D"/>
          <w:spacing w:val="-3"/>
        </w:rPr>
        <w:t> </w:t>
      </w:r>
      <w:r>
        <w:rPr>
          <w:color w:val="0D0D0D"/>
        </w:rPr>
        <w:t>the</w:t>
      </w:r>
      <w:r>
        <w:rPr>
          <w:color w:val="0D0D0D"/>
          <w:spacing w:val="-4"/>
        </w:rPr>
        <w:t> </w:t>
      </w:r>
      <w:r>
        <w:rPr>
          <w:color w:val="0D0D0D"/>
        </w:rPr>
        <w:t>value</w:t>
      </w:r>
      <w:r>
        <w:rPr>
          <w:color w:val="0D0D0D"/>
          <w:spacing w:val="-3"/>
        </w:rPr>
        <w:t> </w:t>
      </w:r>
      <w:r>
        <w:rPr>
          <w:color w:val="0D0D0D"/>
        </w:rPr>
        <w:t>of</w:t>
      </w:r>
      <w:r>
        <w:rPr>
          <w:color w:val="0D0D0D"/>
          <w:spacing w:val="-5"/>
        </w:rPr>
        <w:t> </w:t>
      </w:r>
      <w:r>
        <w:rPr>
          <w:color w:val="0D0D0D"/>
        </w:rPr>
        <w:t>the</w:t>
      </w:r>
      <w:r>
        <w:rPr>
          <w:color w:val="0D0D0D"/>
          <w:spacing w:val="-2"/>
        </w:rPr>
        <w:t> </w:t>
      </w:r>
      <w:r>
        <w:rPr>
          <w:color w:val="0D0D0D"/>
        </w:rPr>
        <w:t>investment which</w:t>
      </w:r>
      <w:r>
        <w:rPr>
          <w:color w:val="0D0D0D"/>
          <w:spacing w:val="-3"/>
        </w:rPr>
        <w:t> </w:t>
      </w:r>
      <w:r>
        <w:rPr>
          <w:color w:val="0D0D0D"/>
        </w:rPr>
        <w:t>is</w:t>
      </w:r>
      <w:r>
        <w:rPr>
          <w:color w:val="0D0D0D"/>
          <w:spacing w:val="-3"/>
        </w:rPr>
        <w:t> </w:t>
      </w:r>
      <w:r>
        <w:rPr>
          <w:color w:val="0D0D0D"/>
        </w:rPr>
        <w:t>a</w:t>
      </w:r>
      <w:r>
        <w:rPr>
          <w:color w:val="0D0D0D"/>
          <w:spacing w:val="-3"/>
        </w:rPr>
        <w:t> </w:t>
      </w:r>
      <w:r>
        <w:rPr>
          <w:color w:val="0D0D0D"/>
        </w:rPr>
        <w:t>significant</w:t>
      </w:r>
      <w:r>
        <w:rPr>
          <w:color w:val="0D0D0D"/>
          <w:spacing w:val="-3"/>
        </w:rPr>
        <w:t> </w:t>
      </w:r>
      <w:r>
        <w:rPr>
          <w:color w:val="0D0D0D"/>
        </w:rPr>
        <w:t>indication of stock’s market performance.</w:t>
      </w:r>
    </w:p>
    <w:p>
      <w:pPr>
        <w:pStyle w:val="BodyText"/>
        <w:spacing w:after="0"/>
        <w:sectPr>
          <w:pgSz w:w="11910" w:h="16840"/>
          <w:pgMar w:top="1360" w:bottom="280" w:left="425" w:right="283"/>
        </w:sectPr>
      </w:pPr>
    </w:p>
    <w:p>
      <w:pPr>
        <w:pStyle w:val="Heading2"/>
        <w:spacing w:before="60"/>
      </w:pPr>
      <w:r>
        <w:rPr>
          <w:color w:val="0D0D0D"/>
        </w:rPr>
        <w:t>95%</w:t>
      </w:r>
      <w:r>
        <w:rPr>
          <w:color w:val="0D0D0D"/>
          <w:spacing w:val="-3"/>
        </w:rPr>
        <w:t> </w:t>
      </w:r>
      <w:r>
        <w:rPr>
          <w:color w:val="0D0D0D"/>
        </w:rPr>
        <w:t>cVar&amp;</w:t>
      </w:r>
      <w:r>
        <w:rPr>
          <w:color w:val="0D0D0D"/>
          <w:spacing w:val="-2"/>
        </w:rPr>
        <w:t> </w:t>
      </w:r>
      <w:r>
        <w:rPr>
          <w:color w:val="0D0D0D"/>
        </w:rPr>
        <w:t>99%</w:t>
      </w:r>
      <w:r>
        <w:rPr>
          <w:color w:val="0D0D0D"/>
          <w:spacing w:val="1"/>
        </w:rPr>
        <w:t> </w:t>
      </w:r>
      <w:r>
        <w:rPr>
          <w:color w:val="0D0D0D"/>
          <w:spacing w:val="-4"/>
        </w:rPr>
        <w:t>cVar</w:t>
      </w:r>
    </w:p>
    <w:p>
      <w:pPr>
        <w:pStyle w:val="BodyText"/>
        <w:spacing w:before="1"/>
        <w:ind w:left="1015" w:right="1260"/>
      </w:pPr>
      <w:r>
        <w:rPr>
          <w:color w:val="24292A"/>
        </w:rPr>
        <w:t>Expected</w:t>
      </w:r>
      <w:r>
        <w:rPr>
          <w:color w:val="24292A"/>
          <w:spacing w:val="-2"/>
        </w:rPr>
        <w:t> </w:t>
      </w:r>
      <w:r>
        <w:rPr>
          <w:color w:val="24292A"/>
        </w:rPr>
        <w:t>Shortfall</w:t>
      </w:r>
      <w:r>
        <w:rPr>
          <w:color w:val="24292A"/>
          <w:spacing w:val="-2"/>
        </w:rPr>
        <w:t> </w:t>
      </w:r>
      <w:r>
        <w:rPr>
          <w:color w:val="24292A"/>
        </w:rPr>
        <w:t>is</w:t>
      </w:r>
      <w:r>
        <w:rPr>
          <w:color w:val="24292A"/>
          <w:spacing w:val="-2"/>
        </w:rPr>
        <w:t> </w:t>
      </w:r>
      <w:r>
        <w:rPr>
          <w:color w:val="24292A"/>
        </w:rPr>
        <w:t>a</w:t>
      </w:r>
      <w:r>
        <w:rPr>
          <w:color w:val="24292A"/>
          <w:spacing w:val="-2"/>
        </w:rPr>
        <w:t> </w:t>
      </w:r>
      <w:r>
        <w:rPr>
          <w:color w:val="24292A"/>
        </w:rPr>
        <w:t>risk</w:t>
      </w:r>
      <w:r>
        <w:rPr>
          <w:color w:val="24292A"/>
          <w:spacing w:val="-2"/>
        </w:rPr>
        <w:t> </w:t>
      </w:r>
      <w:r>
        <w:rPr>
          <w:color w:val="24292A"/>
        </w:rPr>
        <w:t>measure</w:t>
      </w:r>
      <w:r>
        <w:rPr>
          <w:color w:val="24292A"/>
          <w:spacing w:val="-4"/>
        </w:rPr>
        <w:t> </w:t>
      </w:r>
      <w:r>
        <w:rPr>
          <w:color w:val="24292A"/>
        </w:rPr>
        <w:t>that</w:t>
      </w:r>
      <w:r>
        <w:rPr>
          <w:color w:val="24292A"/>
          <w:spacing w:val="-2"/>
        </w:rPr>
        <w:t> </w:t>
      </w:r>
      <w:r>
        <w:rPr>
          <w:color w:val="24292A"/>
        </w:rPr>
        <w:t>indicates</w:t>
      </w:r>
      <w:r>
        <w:rPr>
          <w:color w:val="24292A"/>
          <w:spacing w:val="-1"/>
        </w:rPr>
        <w:t> </w:t>
      </w:r>
      <w:r>
        <w:rPr>
          <w:color w:val="24292A"/>
        </w:rPr>
        <w:t>the</w:t>
      </w:r>
      <w:r>
        <w:rPr>
          <w:color w:val="24292A"/>
          <w:spacing w:val="-2"/>
        </w:rPr>
        <w:t> </w:t>
      </w:r>
      <w:r>
        <w:rPr>
          <w:color w:val="24292A"/>
        </w:rPr>
        <w:t>average</w:t>
      </w:r>
      <w:r>
        <w:rPr>
          <w:color w:val="24292A"/>
          <w:spacing w:val="-3"/>
        </w:rPr>
        <w:t> </w:t>
      </w:r>
      <w:r>
        <w:rPr>
          <w:color w:val="24292A"/>
        </w:rPr>
        <w:t>value</w:t>
      </w:r>
      <w:r>
        <w:rPr>
          <w:color w:val="24292A"/>
          <w:spacing w:val="-3"/>
        </w:rPr>
        <w:t> </w:t>
      </w:r>
      <w:r>
        <w:rPr>
          <w:color w:val="24292A"/>
        </w:rPr>
        <w:t>of</w:t>
      </w:r>
      <w:r>
        <w:rPr>
          <w:color w:val="24292A"/>
          <w:spacing w:val="-2"/>
        </w:rPr>
        <w:t> </w:t>
      </w:r>
      <w:r>
        <w:rPr>
          <w:color w:val="24292A"/>
        </w:rPr>
        <w:t>a</w:t>
      </w:r>
      <w:r>
        <w:rPr>
          <w:color w:val="24292A"/>
          <w:spacing w:val="-4"/>
        </w:rPr>
        <w:t> </w:t>
      </w:r>
      <w:r>
        <w:rPr>
          <w:color w:val="24292A"/>
        </w:rPr>
        <w:t>possible</w:t>
      </w:r>
      <w:r>
        <w:rPr>
          <w:color w:val="24292A"/>
          <w:spacing w:val="-2"/>
        </w:rPr>
        <w:t> </w:t>
      </w:r>
      <w:r>
        <w:rPr>
          <w:color w:val="24292A"/>
        </w:rPr>
        <w:t>loss</w:t>
      </w:r>
      <w:r>
        <w:rPr>
          <w:color w:val="24292A"/>
          <w:spacing w:val="-2"/>
        </w:rPr>
        <w:t> </w:t>
      </w:r>
      <w:r>
        <w:rPr>
          <w:color w:val="24292A"/>
        </w:rPr>
        <w:t>in</w:t>
      </w:r>
      <w:r>
        <w:rPr>
          <w:color w:val="24292A"/>
          <w:spacing w:val="-2"/>
        </w:rPr>
        <w:t> </w:t>
      </w:r>
      <w:r>
        <w:rPr>
          <w:color w:val="24292A"/>
        </w:rPr>
        <w:t>an investment that exceeds a 95% and 99% confidence level respectively.</w:t>
      </w:r>
    </w:p>
    <w:p>
      <w:pPr>
        <w:pStyle w:val="BodyText"/>
      </w:pPr>
    </w:p>
    <w:p>
      <w:pPr>
        <w:pStyle w:val="Heading2"/>
      </w:pPr>
      <w:r>
        <w:rPr>
          <w:color w:val="0D0D0D"/>
        </w:rPr>
        <w:t>Volatility</w:t>
      </w:r>
      <w:r>
        <w:rPr>
          <w:color w:val="0D0D0D"/>
          <w:spacing w:val="-2"/>
        </w:rPr>
        <w:t> </w:t>
      </w:r>
      <w:r>
        <w:rPr>
          <w:color w:val="0D0D0D"/>
        </w:rPr>
        <w:t>ratio</w:t>
      </w:r>
      <w:r>
        <w:rPr>
          <w:color w:val="0D0D0D"/>
          <w:spacing w:val="-1"/>
        </w:rPr>
        <w:t> </w:t>
      </w:r>
      <w:r>
        <w:rPr>
          <w:color w:val="0D0D0D"/>
        </w:rPr>
        <w:t>to</w:t>
      </w:r>
      <w:r>
        <w:rPr>
          <w:color w:val="0D0D0D"/>
          <w:spacing w:val="-1"/>
        </w:rPr>
        <w:t> </w:t>
      </w:r>
      <w:r>
        <w:rPr>
          <w:color w:val="0D0D0D"/>
          <w:spacing w:val="-2"/>
        </w:rPr>
        <w:t>sensex</w:t>
      </w:r>
    </w:p>
    <w:p>
      <w:pPr>
        <w:pStyle w:val="BodyText"/>
        <w:ind w:left="1015"/>
      </w:pPr>
      <w:r>
        <w:rPr>
          <w:color w:val="0D0D0D"/>
        </w:rPr>
        <w:t>It</w:t>
      </w:r>
      <w:r>
        <w:rPr>
          <w:color w:val="0D0D0D"/>
          <w:spacing w:val="-4"/>
        </w:rPr>
        <w:t> </w:t>
      </w:r>
      <w:r>
        <w:rPr>
          <w:color w:val="0D0D0D"/>
        </w:rPr>
        <w:t>measures</w:t>
      </w:r>
      <w:r>
        <w:rPr>
          <w:color w:val="0D0D0D"/>
          <w:spacing w:val="-1"/>
        </w:rPr>
        <w:t> </w:t>
      </w:r>
      <w:r>
        <w:rPr>
          <w:color w:val="0D0D0D"/>
        </w:rPr>
        <w:t>the relative</w:t>
      </w:r>
      <w:r>
        <w:rPr>
          <w:color w:val="0D0D0D"/>
          <w:spacing w:val="-1"/>
        </w:rPr>
        <w:t> </w:t>
      </w:r>
      <w:r>
        <w:rPr>
          <w:color w:val="0D0D0D"/>
        </w:rPr>
        <w:t>changes</w:t>
      </w:r>
      <w:r>
        <w:rPr>
          <w:color w:val="0D0D0D"/>
          <w:spacing w:val="-1"/>
        </w:rPr>
        <w:t> </w:t>
      </w:r>
      <w:r>
        <w:rPr>
          <w:color w:val="0D0D0D"/>
        </w:rPr>
        <w:t>in</w:t>
      </w:r>
      <w:r>
        <w:rPr>
          <w:color w:val="0D0D0D"/>
          <w:spacing w:val="-1"/>
        </w:rPr>
        <w:t> </w:t>
      </w:r>
      <w:r>
        <w:rPr>
          <w:color w:val="0D0D0D"/>
        </w:rPr>
        <w:t>the</w:t>
      </w:r>
      <w:r>
        <w:rPr>
          <w:color w:val="0D0D0D"/>
          <w:spacing w:val="-3"/>
        </w:rPr>
        <w:t> </w:t>
      </w:r>
      <w:r>
        <w:rPr>
          <w:color w:val="0D0D0D"/>
        </w:rPr>
        <w:t>portfolio’s price</w:t>
      </w:r>
      <w:r>
        <w:rPr>
          <w:color w:val="0D0D0D"/>
          <w:spacing w:val="-2"/>
        </w:rPr>
        <w:t> </w:t>
      </w:r>
      <w:r>
        <w:rPr>
          <w:color w:val="0D0D0D"/>
        </w:rPr>
        <w:t>relative</w:t>
      </w:r>
      <w:r>
        <w:rPr>
          <w:color w:val="0D0D0D"/>
          <w:spacing w:val="-2"/>
        </w:rPr>
        <w:t> </w:t>
      </w:r>
      <w:r>
        <w:rPr>
          <w:color w:val="0D0D0D"/>
        </w:rPr>
        <w:t>to</w:t>
      </w:r>
      <w:r>
        <w:rPr>
          <w:color w:val="0D0D0D"/>
          <w:spacing w:val="-1"/>
        </w:rPr>
        <w:t> </w:t>
      </w:r>
      <w:r>
        <w:rPr>
          <w:color w:val="0D0D0D"/>
        </w:rPr>
        <w:t>market</w:t>
      </w:r>
      <w:r>
        <w:rPr>
          <w:color w:val="0D0D0D"/>
          <w:spacing w:val="-1"/>
        </w:rPr>
        <w:t> </w:t>
      </w:r>
      <w:r>
        <w:rPr>
          <w:color w:val="0D0D0D"/>
        </w:rPr>
        <w:t>indicators</w:t>
      </w:r>
      <w:r>
        <w:rPr>
          <w:color w:val="0D0D0D"/>
          <w:spacing w:val="1"/>
        </w:rPr>
        <w:t> </w:t>
      </w:r>
      <w:r>
        <w:rPr>
          <w:color w:val="0D0D0D"/>
          <w:spacing w:val="-2"/>
        </w:rPr>
        <w:t>changes.</w:t>
      </w:r>
    </w:p>
    <w:p>
      <w:pPr>
        <w:pStyle w:val="BodyText"/>
      </w:pPr>
    </w:p>
    <w:p>
      <w:pPr>
        <w:pStyle w:val="Heading2"/>
      </w:pPr>
      <w:r>
        <w:rPr>
          <w:color w:val="0D0D0D"/>
        </w:rPr>
        <w:t>Cummulative </w:t>
      </w:r>
      <w:r>
        <w:rPr>
          <w:color w:val="0D0D0D"/>
          <w:spacing w:val="-2"/>
        </w:rPr>
        <w:t>returns</w:t>
      </w:r>
    </w:p>
    <w:p>
      <w:pPr>
        <w:pStyle w:val="BodyText"/>
        <w:ind w:left="1015"/>
      </w:pPr>
      <w:r>
        <w:rPr>
          <w:color w:val="0D0D0D"/>
        </w:rPr>
        <w:t>Aggregate</w:t>
      </w:r>
      <w:r>
        <w:rPr>
          <w:color w:val="0D0D0D"/>
          <w:spacing w:val="-3"/>
        </w:rPr>
        <w:t> </w:t>
      </w:r>
      <w:r>
        <w:rPr>
          <w:color w:val="0D0D0D"/>
        </w:rPr>
        <w:t>levels</w:t>
      </w:r>
      <w:r>
        <w:rPr>
          <w:color w:val="0D0D0D"/>
          <w:spacing w:val="-1"/>
        </w:rPr>
        <w:t> </w:t>
      </w:r>
      <w:r>
        <w:rPr>
          <w:color w:val="0D0D0D"/>
        </w:rPr>
        <w:t>of gain</w:t>
      </w:r>
      <w:r>
        <w:rPr>
          <w:color w:val="0D0D0D"/>
          <w:spacing w:val="1"/>
        </w:rPr>
        <w:t> </w:t>
      </w:r>
      <w:r>
        <w:rPr>
          <w:color w:val="0D0D0D"/>
        </w:rPr>
        <w:t>or loss</w:t>
      </w:r>
      <w:r>
        <w:rPr>
          <w:color w:val="0D0D0D"/>
          <w:spacing w:val="-1"/>
        </w:rPr>
        <w:t> </w:t>
      </w:r>
      <w:r>
        <w:rPr>
          <w:color w:val="0D0D0D"/>
        </w:rPr>
        <w:t>over a</w:t>
      </w:r>
      <w:r>
        <w:rPr>
          <w:color w:val="0D0D0D"/>
          <w:spacing w:val="-3"/>
        </w:rPr>
        <w:t> </w:t>
      </w:r>
      <w:r>
        <w:rPr>
          <w:color w:val="0D0D0D"/>
        </w:rPr>
        <w:t>period of</w:t>
      </w:r>
      <w:r>
        <w:rPr>
          <w:color w:val="0D0D0D"/>
          <w:spacing w:val="-2"/>
        </w:rPr>
        <w:t> </w:t>
      </w:r>
      <w:r>
        <w:rPr>
          <w:color w:val="0D0D0D"/>
        </w:rPr>
        <w:t>time (10</w:t>
      </w:r>
      <w:r>
        <w:rPr>
          <w:color w:val="0D0D0D"/>
          <w:spacing w:val="-1"/>
        </w:rPr>
        <w:t> </w:t>
      </w:r>
      <w:r>
        <w:rPr>
          <w:color w:val="0D0D0D"/>
        </w:rPr>
        <w:t>years </w:t>
      </w:r>
      <w:r>
        <w:rPr>
          <w:color w:val="0D0D0D"/>
          <w:spacing w:val="-2"/>
        </w:rPr>
        <w:t>here)</w:t>
      </w:r>
    </w:p>
    <w:p>
      <w:pPr>
        <w:pStyle w:val="BodyText"/>
      </w:pPr>
    </w:p>
    <w:p>
      <w:pPr>
        <w:pStyle w:val="BodyText"/>
      </w:pPr>
    </w:p>
    <w:p>
      <w:pPr>
        <w:pStyle w:val="BodyText"/>
        <w:ind w:left="1015" w:right="1174"/>
      </w:pPr>
      <w:r>
        <w:rPr>
          <w:color w:val="0D0D0D"/>
        </w:rPr>
        <w:t>On considering the annualised returns of the five portfolio the portfolio with all Nifty 50 companies optimised using mean variance optimisation seems to be the highest. Also the Clamar</w:t>
      </w:r>
      <w:r>
        <w:rPr>
          <w:color w:val="0D0D0D"/>
          <w:spacing w:val="-2"/>
        </w:rPr>
        <w:t> </w:t>
      </w:r>
      <w:r>
        <w:rPr>
          <w:color w:val="0D0D0D"/>
        </w:rPr>
        <w:t>ratio</w:t>
      </w:r>
      <w:r>
        <w:rPr>
          <w:color w:val="0D0D0D"/>
          <w:spacing w:val="-2"/>
        </w:rPr>
        <w:t> </w:t>
      </w:r>
      <w:r>
        <w:rPr>
          <w:color w:val="0D0D0D"/>
        </w:rPr>
        <w:t>of</w:t>
      </w:r>
      <w:r>
        <w:rPr>
          <w:color w:val="0D0D0D"/>
          <w:spacing w:val="-2"/>
        </w:rPr>
        <w:t> </w:t>
      </w:r>
      <w:r>
        <w:rPr>
          <w:color w:val="0D0D0D"/>
        </w:rPr>
        <w:t>the</w:t>
      </w:r>
      <w:r>
        <w:rPr>
          <w:color w:val="0D0D0D"/>
          <w:spacing w:val="-4"/>
        </w:rPr>
        <w:t> </w:t>
      </w:r>
      <w:r>
        <w:rPr>
          <w:color w:val="0D0D0D"/>
        </w:rPr>
        <w:t>of</w:t>
      </w:r>
      <w:r>
        <w:rPr>
          <w:color w:val="0D0D0D"/>
          <w:spacing w:val="-2"/>
        </w:rPr>
        <w:t> </w:t>
      </w:r>
      <w:r>
        <w:rPr>
          <w:color w:val="0D0D0D"/>
        </w:rPr>
        <w:t>the</w:t>
      </w:r>
      <w:r>
        <w:rPr>
          <w:color w:val="0D0D0D"/>
          <w:spacing w:val="-1"/>
        </w:rPr>
        <w:t> </w:t>
      </w:r>
      <w:r>
        <w:rPr>
          <w:color w:val="0D0D0D"/>
        </w:rPr>
        <w:t>portfolio</w:t>
      </w:r>
      <w:r>
        <w:rPr>
          <w:color w:val="0D0D0D"/>
          <w:spacing w:val="-2"/>
        </w:rPr>
        <w:t> </w:t>
      </w:r>
      <w:r>
        <w:rPr>
          <w:color w:val="0D0D0D"/>
        </w:rPr>
        <w:t>seems</w:t>
      </w:r>
      <w:r>
        <w:rPr>
          <w:color w:val="0D0D0D"/>
          <w:spacing w:val="-2"/>
        </w:rPr>
        <w:t> </w:t>
      </w:r>
      <w:r>
        <w:rPr>
          <w:color w:val="0D0D0D"/>
        </w:rPr>
        <w:t>to</w:t>
      </w:r>
      <w:r>
        <w:rPr>
          <w:color w:val="0D0D0D"/>
          <w:spacing w:val="-2"/>
        </w:rPr>
        <w:t> </w:t>
      </w:r>
      <w:r>
        <w:rPr>
          <w:color w:val="0D0D0D"/>
        </w:rPr>
        <w:t>be</w:t>
      </w:r>
      <w:r>
        <w:rPr>
          <w:color w:val="0D0D0D"/>
          <w:spacing w:val="-3"/>
        </w:rPr>
        <w:t> </w:t>
      </w:r>
      <w:r>
        <w:rPr>
          <w:color w:val="0D0D0D"/>
        </w:rPr>
        <w:t>the</w:t>
      </w:r>
      <w:r>
        <w:rPr>
          <w:color w:val="0D0D0D"/>
          <w:spacing w:val="-1"/>
        </w:rPr>
        <w:t> </w:t>
      </w:r>
      <w:r>
        <w:rPr>
          <w:color w:val="0D0D0D"/>
        </w:rPr>
        <w:t>highest</w:t>
      </w:r>
      <w:r>
        <w:rPr>
          <w:color w:val="0D0D0D"/>
          <w:spacing w:val="-2"/>
        </w:rPr>
        <w:t> </w:t>
      </w:r>
      <w:r>
        <w:rPr>
          <w:color w:val="0D0D0D"/>
        </w:rPr>
        <w:t>of</w:t>
      </w:r>
      <w:r>
        <w:rPr>
          <w:color w:val="0D0D0D"/>
          <w:spacing w:val="-2"/>
        </w:rPr>
        <w:t> </w:t>
      </w:r>
      <w:r>
        <w:rPr>
          <w:color w:val="0D0D0D"/>
        </w:rPr>
        <w:t>all</w:t>
      </w:r>
      <w:r>
        <w:rPr>
          <w:color w:val="0D0D0D"/>
          <w:spacing w:val="-2"/>
        </w:rPr>
        <w:t> </w:t>
      </w:r>
      <w:r>
        <w:rPr>
          <w:color w:val="0D0D0D"/>
        </w:rPr>
        <w:t>the</w:t>
      </w:r>
      <w:r>
        <w:rPr>
          <w:color w:val="0D0D0D"/>
          <w:spacing w:val="-2"/>
        </w:rPr>
        <w:t> </w:t>
      </w:r>
      <w:r>
        <w:rPr>
          <w:color w:val="0D0D0D"/>
        </w:rPr>
        <w:t>values and</w:t>
      </w:r>
      <w:r>
        <w:rPr>
          <w:color w:val="0D0D0D"/>
          <w:spacing w:val="-2"/>
        </w:rPr>
        <w:t> </w:t>
      </w:r>
      <w:r>
        <w:rPr>
          <w:color w:val="0D0D0D"/>
        </w:rPr>
        <w:t>the</w:t>
      </w:r>
      <w:r>
        <w:rPr>
          <w:color w:val="0D0D0D"/>
          <w:spacing w:val="-2"/>
        </w:rPr>
        <w:t> </w:t>
      </w:r>
      <w:r>
        <w:rPr>
          <w:color w:val="0D0D0D"/>
        </w:rPr>
        <w:t>maximum drawdown values in the table also conclude that this portfolio has the lowest maximum drawdown</w:t>
      </w:r>
      <w:r>
        <w:rPr>
          <w:color w:val="0D0D0D"/>
          <w:spacing w:val="-3"/>
        </w:rPr>
        <w:t> </w:t>
      </w:r>
      <w:r>
        <w:rPr>
          <w:color w:val="0D0D0D"/>
        </w:rPr>
        <w:t>.On</w:t>
      </w:r>
      <w:r>
        <w:rPr>
          <w:color w:val="0D0D0D"/>
          <w:spacing w:val="-2"/>
        </w:rPr>
        <w:t> </w:t>
      </w:r>
      <w:r>
        <w:rPr>
          <w:color w:val="0D0D0D"/>
        </w:rPr>
        <w:t>comparing</w:t>
      </w:r>
      <w:r>
        <w:rPr>
          <w:color w:val="0D0D0D"/>
          <w:spacing w:val="-3"/>
        </w:rPr>
        <w:t> </w:t>
      </w:r>
      <w:r>
        <w:rPr>
          <w:color w:val="0D0D0D"/>
        </w:rPr>
        <w:t>the</w:t>
      </w:r>
      <w:r>
        <w:rPr>
          <w:color w:val="0D0D0D"/>
          <w:spacing w:val="-3"/>
        </w:rPr>
        <w:t> </w:t>
      </w:r>
      <w:r>
        <w:rPr>
          <w:color w:val="0D0D0D"/>
        </w:rPr>
        <w:t>sharpe</w:t>
      </w:r>
      <w:r>
        <w:rPr>
          <w:color w:val="0D0D0D"/>
          <w:spacing w:val="-5"/>
        </w:rPr>
        <w:t> </w:t>
      </w:r>
      <w:r>
        <w:rPr>
          <w:color w:val="0D0D0D"/>
        </w:rPr>
        <w:t>ratio</w:t>
      </w:r>
      <w:r>
        <w:rPr>
          <w:color w:val="0D0D0D"/>
          <w:spacing w:val="-3"/>
        </w:rPr>
        <w:t> </w:t>
      </w:r>
      <w:r>
        <w:rPr>
          <w:color w:val="0D0D0D"/>
        </w:rPr>
        <w:t>of</w:t>
      </w:r>
      <w:r>
        <w:rPr>
          <w:color w:val="0D0D0D"/>
          <w:spacing w:val="-3"/>
        </w:rPr>
        <w:t> </w:t>
      </w:r>
      <w:r>
        <w:rPr>
          <w:color w:val="0D0D0D"/>
        </w:rPr>
        <w:t>the</w:t>
      </w:r>
      <w:r>
        <w:rPr>
          <w:color w:val="0D0D0D"/>
          <w:spacing w:val="-5"/>
        </w:rPr>
        <w:t> </w:t>
      </w:r>
      <w:r>
        <w:rPr>
          <w:color w:val="0D0D0D"/>
        </w:rPr>
        <w:t>five</w:t>
      </w:r>
      <w:r>
        <w:rPr>
          <w:color w:val="0D0D0D"/>
          <w:spacing w:val="-3"/>
        </w:rPr>
        <w:t> </w:t>
      </w:r>
      <w:r>
        <w:rPr>
          <w:color w:val="0D0D0D"/>
        </w:rPr>
        <w:t>portfolios ,</w:t>
      </w:r>
      <w:r>
        <w:rPr>
          <w:color w:val="0D0D0D"/>
          <w:spacing w:val="-3"/>
        </w:rPr>
        <w:t> </w:t>
      </w:r>
      <w:r>
        <w:rPr>
          <w:color w:val="0D0D0D"/>
        </w:rPr>
        <w:t>the</w:t>
      </w:r>
      <w:r>
        <w:rPr>
          <w:color w:val="0D0D0D"/>
          <w:spacing w:val="-3"/>
        </w:rPr>
        <w:t> </w:t>
      </w:r>
      <w:r>
        <w:rPr>
          <w:color w:val="0D0D0D"/>
        </w:rPr>
        <w:t>portfolio</w:t>
      </w:r>
      <w:r>
        <w:rPr>
          <w:color w:val="0D0D0D"/>
          <w:spacing w:val="-2"/>
        </w:rPr>
        <w:t> </w:t>
      </w:r>
      <w:r>
        <w:rPr>
          <w:color w:val="0D0D0D"/>
        </w:rPr>
        <w:t>which</w:t>
      </w:r>
      <w:r>
        <w:rPr>
          <w:color w:val="0D0D0D"/>
          <w:spacing w:val="-3"/>
        </w:rPr>
        <w:t> </w:t>
      </w:r>
      <w:r>
        <w:rPr>
          <w:color w:val="0D0D0D"/>
        </w:rPr>
        <w:t>has</w:t>
      </w:r>
      <w:r>
        <w:rPr>
          <w:color w:val="0D0D0D"/>
          <w:spacing w:val="-3"/>
        </w:rPr>
        <w:t> </w:t>
      </w:r>
      <w:r>
        <w:rPr>
          <w:color w:val="0D0D0D"/>
        </w:rPr>
        <w:t>been constructed using agglomerative hierarchcial clustering seems to have significantly higher sharpe ratio making it better pick in comparison with the other four portfolios as it yields higher risk adjusted returns.</w:t>
      </w:r>
    </w:p>
    <w:p>
      <w:pPr>
        <w:pStyle w:val="BodyText"/>
        <w:rPr>
          <w:sz w:val="20"/>
        </w:rPr>
      </w:pPr>
    </w:p>
    <w:p>
      <w:pPr>
        <w:pStyle w:val="BodyText"/>
        <w:spacing w:before="146"/>
        <w:rPr>
          <w:sz w:val="20"/>
        </w:rPr>
      </w:pPr>
      <w:r>
        <w:rPr>
          <w:sz w:val="20"/>
        </w:rPr>
        <w:drawing>
          <wp:anchor distT="0" distB="0" distL="0" distR="0" allowOverlap="1" layoutInCell="1" locked="0" behindDoc="1" simplePos="0" relativeHeight="487604224">
            <wp:simplePos x="0" y="0"/>
            <wp:positionH relativeFrom="page">
              <wp:posOffset>1529929</wp:posOffset>
            </wp:positionH>
            <wp:positionV relativeFrom="paragraph">
              <wp:posOffset>254051</wp:posOffset>
            </wp:positionV>
            <wp:extent cx="4009009" cy="2540603"/>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5" cstate="print"/>
                    <a:stretch>
                      <a:fillRect/>
                    </a:stretch>
                  </pic:blipFill>
                  <pic:spPr>
                    <a:xfrm>
                      <a:off x="0" y="0"/>
                      <a:ext cx="4009009" cy="2540603"/>
                    </a:xfrm>
                    <a:prstGeom prst="rect">
                      <a:avLst/>
                    </a:prstGeom>
                  </pic:spPr>
                </pic:pic>
              </a:graphicData>
            </a:graphic>
          </wp:anchor>
        </w:drawing>
      </w:r>
    </w:p>
    <w:p>
      <w:pPr>
        <w:pStyle w:val="BodyText"/>
        <w:spacing w:before="122"/>
        <w:ind w:left="960" w:right="1131"/>
        <w:jc w:val="center"/>
      </w:pPr>
      <w:r>
        <w:rPr>
          <w:color w:val="0D0D0D"/>
        </w:rPr>
        <w:t>Fig.34.</w:t>
      </w:r>
      <w:r>
        <w:rPr>
          <w:color w:val="0D0D0D"/>
          <w:spacing w:val="-1"/>
        </w:rPr>
        <w:t> </w:t>
      </w:r>
      <w:r>
        <w:rPr>
          <w:color w:val="0D0D0D"/>
        </w:rPr>
        <w:t>The</w:t>
      </w:r>
      <w:r>
        <w:rPr>
          <w:color w:val="0D0D0D"/>
          <w:spacing w:val="-2"/>
        </w:rPr>
        <w:t> </w:t>
      </w:r>
      <w:r>
        <w:rPr>
          <w:color w:val="0D0D0D"/>
        </w:rPr>
        <w:t>portfolio indices of the</w:t>
      </w:r>
      <w:r>
        <w:rPr>
          <w:color w:val="0D0D0D"/>
          <w:spacing w:val="-1"/>
        </w:rPr>
        <w:t> </w:t>
      </w:r>
      <w:r>
        <w:rPr>
          <w:color w:val="0D0D0D"/>
        </w:rPr>
        <w:t>five</w:t>
      </w:r>
      <w:r>
        <w:rPr>
          <w:color w:val="0D0D0D"/>
          <w:spacing w:val="-3"/>
        </w:rPr>
        <w:t> </w:t>
      </w:r>
      <w:r>
        <w:rPr>
          <w:color w:val="0D0D0D"/>
        </w:rPr>
        <w:t>portfolios for</w:t>
      </w:r>
      <w:r>
        <w:rPr>
          <w:color w:val="0D0D0D"/>
          <w:spacing w:val="-2"/>
        </w:rPr>
        <w:t> </w:t>
      </w:r>
      <w:r>
        <w:rPr>
          <w:color w:val="0D0D0D"/>
        </w:rPr>
        <w:t>the years 2014</w:t>
      </w:r>
      <w:r>
        <w:rPr>
          <w:color w:val="0D0D0D"/>
          <w:spacing w:val="3"/>
        </w:rPr>
        <w:t> </w:t>
      </w:r>
      <w:r>
        <w:rPr>
          <w:color w:val="0D0D0D"/>
        </w:rPr>
        <w:t>– </w:t>
      </w:r>
      <w:r>
        <w:rPr>
          <w:color w:val="0D0D0D"/>
          <w:spacing w:val="-4"/>
        </w:rPr>
        <w:t>2023</w:t>
      </w:r>
    </w:p>
    <w:p>
      <w:pPr>
        <w:pStyle w:val="BodyText"/>
      </w:pPr>
    </w:p>
    <w:p>
      <w:pPr>
        <w:pStyle w:val="BodyText"/>
      </w:pPr>
    </w:p>
    <w:p>
      <w:pPr>
        <w:pStyle w:val="BodyText"/>
      </w:pPr>
    </w:p>
    <w:p>
      <w:pPr>
        <w:spacing w:before="1"/>
        <w:ind w:left="1015" w:right="0" w:firstLine="0"/>
        <w:jc w:val="left"/>
        <w:rPr>
          <w:b/>
          <w:sz w:val="32"/>
        </w:rPr>
      </w:pPr>
      <w:r>
        <w:rPr>
          <w:b/>
          <w:spacing w:val="-2"/>
          <w:sz w:val="32"/>
          <w:u w:val="single"/>
        </w:rPr>
        <w:t>Conclusions</w:t>
      </w:r>
    </w:p>
    <w:p>
      <w:pPr>
        <w:pStyle w:val="BodyText"/>
        <w:spacing w:before="275"/>
        <w:rPr>
          <w:b/>
        </w:rPr>
      </w:pPr>
    </w:p>
    <w:p>
      <w:pPr>
        <w:pStyle w:val="BodyText"/>
        <w:ind w:left="1015" w:right="1190"/>
      </w:pPr>
      <w:r>
        <w:rPr/>
        <w:t>On considering the above criterions the portfolio obtained using agglomerative hierarchical clustering and weighted using hierarchical risk parity seems to be a considerably better pick as</w:t>
      </w:r>
      <w:r>
        <w:rPr>
          <w:spacing w:val="-3"/>
        </w:rPr>
        <w:t> </w:t>
      </w:r>
      <w:r>
        <w:rPr/>
        <w:t>it</w:t>
      </w:r>
      <w:r>
        <w:rPr>
          <w:spacing w:val="-3"/>
        </w:rPr>
        <w:t> </w:t>
      </w:r>
      <w:r>
        <w:rPr/>
        <w:t>has</w:t>
      </w:r>
      <w:r>
        <w:rPr>
          <w:spacing w:val="-3"/>
        </w:rPr>
        <w:t> </w:t>
      </w:r>
      <w:r>
        <w:rPr/>
        <w:t>a</w:t>
      </w:r>
      <w:r>
        <w:rPr>
          <w:spacing w:val="-4"/>
        </w:rPr>
        <w:t> </w:t>
      </w:r>
      <w:r>
        <w:rPr/>
        <w:t>significantly</w:t>
      </w:r>
      <w:r>
        <w:rPr>
          <w:spacing w:val="-3"/>
        </w:rPr>
        <w:t> </w:t>
      </w:r>
      <w:r>
        <w:rPr/>
        <w:t>higher</w:t>
      </w:r>
      <w:r>
        <w:rPr>
          <w:spacing w:val="-3"/>
        </w:rPr>
        <w:t> </w:t>
      </w:r>
      <w:r>
        <w:rPr/>
        <w:t>Sharpe</w:t>
      </w:r>
      <w:r>
        <w:rPr>
          <w:spacing w:val="-2"/>
        </w:rPr>
        <w:t> </w:t>
      </w:r>
      <w:r>
        <w:rPr/>
        <w:t>ratio</w:t>
      </w:r>
      <w:r>
        <w:rPr>
          <w:spacing w:val="-3"/>
        </w:rPr>
        <w:t> </w:t>
      </w:r>
      <w:r>
        <w:rPr/>
        <w:t>and</w:t>
      </w:r>
      <w:r>
        <w:rPr>
          <w:spacing w:val="-3"/>
        </w:rPr>
        <w:t> </w:t>
      </w:r>
      <w:r>
        <w:rPr/>
        <w:t>extremely</w:t>
      </w:r>
      <w:r>
        <w:rPr>
          <w:spacing w:val="-2"/>
        </w:rPr>
        <w:t> </w:t>
      </w:r>
      <w:r>
        <w:rPr/>
        <w:t>low</w:t>
      </w:r>
      <w:r>
        <w:rPr>
          <w:spacing w:val="-3"/>
        </w:rPr>
        <w:t> </w:t>
      </w:r>
      <w:r>
        <w:rPr/>
        <w:t>95%</w:t>
      </w:r>
      <w:r>
        <w:rPr>
          <w:spacing w:val="-4"/>
        </w:rPr>
        <w:t> </w:t>
      </w:r>
      <w:r>
        <w:rPr/>
        <w:t>cVar</w:t>
      </w:r>
      <w:r>
        <w:rPr>
          <w:spacing w:val="40"/>
        </w:rPr>
        <w:t> </w:t>
      </w:r>
      <w:r>
        <w:rPr/>
        <w:t>and</w:t>
      </w:r>
      <w:r>
        <w:rPr>
          <w:spacing w:val="-3"/>
        </w:rPr>
        <w:t> </w:t>
      </w:r>
      <w:r>
        <w:rPr/>
        <w:t>99%cVar.</w:t>
      </w:r>
      <w:r>
        <w:rPr>
          <w:spacing w:val="-3"/>
        </w:rPr>
        <w:t> </w:t>
      </w:r>
      <w:r>
        <w:rPr/>
        <w:t>Also the cumulative returns of this portfolio is</w:t>
      </w:r>
      <w:r>
        <w:rPr>
          <w:spacing w:val="40"/>
        </w:rPr>
        <w:t> </w:t>
      </w:r>
      <w:r>
        <w:rPr/>
        <w:t>32% and the standard deviation, volatility of this portfolio is significantly lower .The down side of this portfolio could be a lesser annualised return and higher volatility ratio. However if the Sortino ratio is to be considered as a metric then</w:t>
      </w:r>
      <w:r>
        <w:rPr>
          <w:spacing w:val="-1"/>
        </w:rPr>
        <w:t> </w:t>
      </w:r>
      <w:r>
        <w:rPr/>
        <w:t>the</w:t>
      </w:r>
      <w:r>
        <w:rPr>
          <w:spacing w:val="-2"/>
        </w:rPr>
        <w:t> </w:t>
      </w:r>
      <w:r>
        <w:rPr/>
        <w:t>portfolio</w:t>
      </w:r>
      <w:r>
        <w:rPr>
          <w:spacing w:val="-1"/>
        </w:rPr>
        <w:t> </w:t>
      </w:r>
      <w:r>
        <w:rPr/>
        <w:t>with</w:t>
      </w:r>
      <w:r>
        <w:rPr>
          <w:spacing w:val="-1"/>
        </w:rPr>
        <w:t> </w:t>
      </w:r>
      <w:r>
        <w:rPr/>
        <w:t>top</w:t>
      </w:r>
      <w:r>
        <w:rPr>
          <w:spacing w:val="-1"/>
        </w:rPr>
        <w:t> </w:t>
      </w:r>
      <w:r>
        <w:rPr/>
        <w:t>25%</w:t>
      </w:r>
      <w:r>
        <w:rPr>
          <w:spacing w:val="-2"/>
        </w:rPr>
        <w:t> </w:t>
      </w:r>
      <w:r>
        <w:rPr/>
        <w:t>stocks</w:t>
      </w:r>
      <w:r>
        <w:rPr>
          <w:spacing w:val="-1"/>
        </w:rPr>
        <w:t> </w:t>
      </w:r>
      <w:r>
        <w:rPr/>
        <w:t>with</w:t>
      </w:r>
      <w:r>
        <w:rPr>
          <w:spacing w:val="-1"/>
        </w:rPr>
        <w:t> </w:t>
      </w:r>
      <w:r>
        <w:rPr/>
        <w:t>lowest MAPE</w:t>
      </w:r>
      <w:r>
        <w:rPr>
          <w:spacing w:val="-1"/>
        </w:rPr>
        <w:t> </w:t>
      </w:r>
      <w:r>
        <w:rPr/>
        <w:t>could</w:t>
      </w:r>
      <w:r>
        <w:rPr>
          <w:spacing w:val="-1"/>
        </w:rPr>
        <w:t> </w:t>
      </w:r>
      <w:r>
        <w:rPr/>
        <w:t>be</w:t>
      </w:r>
      <w:r>
        <w:rPr>
          <w:spacing w:val="-1"/>
        </w:rPr>
        <w:t> </w:t>
      </w:r>
      <w:r>
        <w:rPr/>
        <w:t>considered.</w:t>
      </w:r>
      <w:r>
        <w:rPr>
          <w:spacing w:val="-1"/>
        </w:rPr>
        <w:t> </w:t>
      </w:r>
      <w:r>
        <w:rPr/>
        <w:t>The</w:t>
      </w:r>
      <w:r>
        <w:rPr>
          <w:spacing w:val="-3"/>
        </w:rPr>
        <w:t> </w:t>
      </w:r>
      <w:r>
        <w:rPr/>
        <w:t>portfolio</w:t>
      </w:r>
    </w:p>
    <w:p>
      <w:pPr>
        <w:pStyle w:val="BodyText"/>
        <w:spacing w:after="0"/>
        <w:sectPr>
          <w:pgSz w:w="11910" w:h="16840"/>
          <w:pgMar w:top="1360" w:bottom="280" w:left="425" w:right="283"/>
        </w:sectPr>
      </w:pPr>
    </w:p>
    <w:p>
      <w:pPr>
        <w:pStyle w:val="BodyText"/>
        <w:spacing w:before="60"/>
        <w:ind w:left="1015" w:right="1260"/>
      </w:pPr>
      <w:r>
        <w:rPr/>
        <w:t>with</w:t>
      </w:r>
      <w:r>
        <w:rPr>
          <w:spacing w:val="-3"/>
        </w:rPr>
        <w:t> </w:t>
      </w:r>
      <w:r>
        <w:rPr/>
        <w:t>the</w:t>
      </w:r>
      <w:r>
        <w:rPr>
          <w:spacing w:val="-4"/>
        </w:rPr>
        <w:t> </w:t>
      </w:r>
      <w:r>
        <w:rPr/>
        <w:t>top</w:t>
      </w:r>
      <w:r>
        <w:rPr>
          <w:spacing w:val="-3"/>
        </w:rPr>
        <w:t> </w:t>
      </w:r>
      <w:r>
        <w:rPr/>
        <w:t>25%</w:t>
      </w:r>
      <w:r>
        <w:rPr>
          <w:spacing w:val="-3"/>
        </w:rPr>
        <w:t> </w:t>
      </w:r>
      <w:r>
        <w:rPr/>
        <w:t>stocks</w:t>
      </w:r>
      <w:r>
        <w:rPr>
          <w:spacing w:val="-3"/>
        </w:rPr>
        <w:t> </w:t>
      </w:r>
      <w:r>
        <w:rPr/>
        <w:t>with</w:t>
      </w:r>
      <w:r>
        <w:rPr>
          <w:spacing w:val="-3"/>
        </w:rPr>
        <w:t> </w:t>
      </w:r>
      <w:r>
        <w:rPr/>
        <w:t>highest</w:t>
      </w:r>
      <w:r>
        <w:rPr>
          <w:spacing w:val="-2"/>
        </w:rPr>
        <w:t> </w:t>
      </w:r>
      <w:r>
        <w:rPr/>
        <w:t>Sharpe</w:t>
      </w:r>
      <w:r>
        <w:rPr>
          <w:spacing w:val="-5"/>
        </w:rPr>
        <w:t> </w:t>
      </w:r>
      <w:r>
        <w:rPr/>
        <w:t>ratio</w:t>
      </w:r>
      <w:r>
        <w:rPr>
          <w:spacing w:val="-1"/>
        </w:rPr>
        <w:t> </w:t>
      </w:r>
      <w:r>
        <w:rPr/>
        <w:t>and</w:t>
      </w:r>
      <w:r>
        <w:rPr>
          <w:spacing w:val="-3"/>
        </w:rPr>
        <w:t> </w:t>
      </w:r>
      <w:r>
        <w:rPr/>
        <w:t>weighted</w:t>
      </w:r>
      <w:r>
        <w:rPr>
          <w:spacing w:val="-3"/>
        </w:rPr>
        <w:t> </w:t>
      </w:r>
      <w:r>
        <w:rPr/>
        <w:t>using</w:t>
      </w:r>
      <w:r>
        <w:rPr>
          <w:spacing w:val="-3"/>
        </w:rPr>
        <w:t> </w:t>
      </w:r>
      <w:r>
        <w:rPr/>
        <w:t>of</w:t>
      </w:r>
      <w:r>
        <w:rPr>
          <w:spacing w:val="-4"/>
        </w:rPr>
        <w:t> </w:t>
      </w:r>
      <w:r>
        <w:rPr/>
        <w:t>mean</w:t>
      </w:r>
      <w:r>
        <w:rPr>
          <w:spacing w:val="-3"/>
        </w:rPr>
        <w:t> </w:t>
      </w:r>
      <w:r>
        <w:rPr/>
        <w:t>variance optimisation though has a sharpe a ratio of 1.885 which is quite less than the portfolio weighted using HRP it seems to have the lowest volatility ratio to the sensex.</w:t>
      </w:r>
    </w:p>
    <w:p>
      <w:pPr>
        <w:pStyle w:val="BodyText"/>
        <w:spacing w:before="1"/>
        <w:ind w:left="1015" w:right="1222"/>
      </w:pPr>
      <w:r>
        <w:rPr/>
        <w:t>What is considered a good portfolio is always a balance between how much risk one is willing</w:t>
      </w:r>
      <w:r>
        <w:rPr>
          <w:spacing w:val="-1"/>
        </w:rPr>
        <w:t> </w:t>
      </w:r>
      <w:r>
        <w:rPr/>
        <w:t>to take</w:t>
      </w:r>
      <w:r>
        <w:rPr>
          <w:spacing w:val="-2"/>
        </w:rPr>
        <w:t> </w:t>
      </w:r>
      <w:r>
        <w:rPr/>
        <w:t>in comparison</w:t>
      </w:r>
      <w:r>
        <w:rPr>
          <w:spacing w:val="-1"/>
        </w:rPr>
        <w:t> </w:t>
      </w:r>
      <w:r>
        <w:rPr/>
        <w:t>to the</w:t>
      </w:r>
      <w:r>
        <w:rPr>
          <w:spacing w:val="-2"/>
        </w:rPr>
        <w:t> </w:t>
      </w:r>
      <w:r>
        <w:rPr/>
        <w:t>return where</w:t>
      </w:r>
      <w:r>
        <w:rPr>
          <w:spacing w:val="-2"/>
        </w:rPr>
        <w:t> </w:t>
      </w:r>
      <w:r>
        <w:rPr/>
        <w:t>the</w:t>
      </w:r>
      <w:r>
        <w:rPr>
          <w:spacing w:val="-1"/>
        </w:rPr>
        <w:t> </w:t>
      </w:r>
      <w:r>
        <w:rPr/>
        <w:t>clamar ratio is</w:t>
      </w:r>
      <w:r>
        <w:rPr>
          <w:spacing w:val="-1"/>
        </w:rPr>
        <w:t> </w:t>
      </w:r>
      <w:r>
        <w:rPr/>
        <w:t>a good measured</w:t>
      </w:r>
      <w:r>
        <w:rPr>
          <w:spacing w:val="1"/>
        </w:rPr>
        <w:t> </w:t>
      </w:r>
      <w:r>
        <w:rPr/>
        <w:t>for </w:t>
      </w:r>
      <w:r>
        <w:rPr>
          <w:spacing w:val="-4"/>
        </w:rPr>
        <w:t>that</w:t>
      </w:r>
    </w:p>
    <w:p>
      <w:pPr>
        <w:pStyle w:val="BodyText"/>
        <w:ind w:left="1015" w:right="1222"/>
      </w:pPr>
      <w:r>
        <w:rPr/>
        <w:t>.In</w:t>
      </w:r>
      <w:r>
        <w:rPr>
          <w:spacing w:val="-3"/>
        </w:rPr>
        <w:t> </w:t>
      </w:r>
      <w:r>
        <w:rPr/>
        <w:t>that</w:t>
      </w:r>
      <w:r>
        <w:rPr>
          <w:spacing w:val="-1"/>
        </w:rPr>
        <w:t> </w:t>
      </w:r>
      <w:r>
        <w:rPr/>
        <w:t>case</w:t>
      </w:r>
      <w:r>
        <w:rPr>
          <w:spacing w:val="-4"/>
        </w:rPr>
        <w:t> </w:t>
      </w:r>
      <w:r>
        <w:rPr/>
        <w:t>the</w:t>
      </w:r>
      <w:r>
        <w:rPr>
          <w:spacing w:val="-4"/>
        </w:rPr>
        <w:t> </w:t>
      </w:r>
      <w:r>
        <w:rPr/>
        <w:t>portfolio</w:t>
      </w:r>
      <w:r>
        <w:rPr>
          <w:spacing w:val="-1"/>
        </w:rPr>
        <w:t> </w:t>
      </w:r>
      <w:r>
        <w:rPr/>
        <w:t>with</w:t>
      </w:r>
      <w:r>
        <w:rPr>
          <w:spacing w:val="-3"/>
        </w:rPr>
        <w:t> </w:t>
      </w:r>
      <w:r>
        <w:rPr/>
        <w:t>all</w:t>
      </w:r>
      <w:r>
        <w:rPr>
          <w:spacing w:val="-3"/>
        </w:rPr>
        <w:t> </w:t>
      </w:r>
      <w:r>
        <w:rPr/>
        <w:t>Nifty</w:t>
      </w:r>
      <w:r>
        <w:rPr>
          <w:spacing w:val="-3"/>
        </w:rPr>
        <w:t> </w:t>
      </w:r>
      <w:r>
        <w:rPr/>
        <w:t>50</w:t>
      </w:r>
      <w:r>
        <w:rPr>
          <w:spacing w:val="-1"/>
        </w:rPr>
        <w:t> </w:t>
      </w:r>
      <w:r>
        <w:rPr/>
        <w:t>stocks</w:t>
      </w:r>
      <w:r>
        <w:rPr>
          <w:spacing w:val="-3"/>
        </w:rPr>
        <w:t> </w:t>
      </w:r>
      <w:r>
        <w:rPr/>
        <w:t>weighted</w:t>
      </w:r>
      <w:r>
        <w:rPr>
          <w:spacing w:val="-3"/>
        </w:rPr>
        <w:t> </w:t>
      </w:r>
      <w:r>
        <w:rPr/>
        <w:t>using</w:t>
      </w:r>
      <w:r>
        <w:rPr>
          <w:spacing w:val="-3"/>
        </w:rPr>
        <w:t> </w:t>
      </w:r>
      <w:r>
        <w:rPr/>
        <w:t>mean</w:t>
      </w:r>
      <w:r>
        <w:rPr>
          <w:spacing w:val="-3"/>
        </w:rPr>
        <w:t> </w:t>
      </w:r>
      <w:r>
        <w:rPr/>
        <w:t>variance</w:t>
      </w:r>
      <w:r>
        <w:rPr>
          <w:spacing w:val="-4"/>
        </w:rPr>
        <w:t> </w:t>
      </w:r>
      <w:r>
        <w:rPr/>
        <w:t>optimisation seems to be a good pick .However, it all depends on the investors to consider whichever metric is suitable with respect to their goals and comfort levels of risk.</w:t>
      </w:r>
    </w:p>
    <w:p>
      <w:pPr>
        <w:pStyle w:val="BodyText"/>
      </w:pPr>
    </w:p>
    <w:p>
      <w:pPr>
        <w:pStyle w:val="BodyText"/>
        <w:spacing w:before="91"/>
      </w:pPr>
    </w:p>
    <w:p>
      <w:pPr>
        <w:spacing w:before="0"/>
        <w:ind w:left="1015" w:right="0" w:firstLine="0"/>
        <w:jc w:val="left"/>
        <w:rPr>
          <w:b/>
          <w:sz w:val="32"/>
        </w:rPr>
      </w:pPr>
      <w:r>
        <w:rPr>
          <w:b/>
          <w:spacing w:val="-2"/>
          <w:sz w:val="32"/>
          <w:u w:val="single"/>
        </w:rPr>
        <w:t>References</w:t>
      </w:r>
    </w:p>
    <w:p>
      <w:pPr>
        <w:pStyle w:val="BodyText"/>
        <w:spacing w:before="2"/>
        <w:rPr>
          <w:b/>
        </w:rPr>
      </w:pPr>
    </w:p>
    <w:p>
      <w:pPr>
        <w:pStyle w:val="BodyText"/>
        <w:ind w:left="1015"/>
      </w:pPr>
      <w:r>
        <w:rPr/>
        <w:t>Here</w:t>
      </w:r>
      <w:r>
        <w:rPr>
          <w:spacing w:val="-2"/>
        </w:rPr>
        <w:t> </w:t>
      </w:r>
      <w:r>
        <w:rPr/>
        <w:t>are</w:t>
      </w:r>
      <w:r>
        <w:rPr>
          <w:spacing w:val="-4"/>
        </w:rPr>
        <w:t> </w:t>
      </w:r>
      <w:r>
        <w:rPr/>
        <w:t>the</w:t>
      </w:r>
      <w:r>
        <w:rPr>
          <w:spacing w:val="-3"/>
        </w:rPr>
        <w:t> </w:t>
      </w:r>
      <w:r>
        <w:rPr/>
        <w:t>references arranged</w:t>
      </w:r>
      <w:r>
        <w:rPr>
          <w:spacing w:val="-2"/>
        </w:rPr>
        <w:t> </w:t>
      </w:r>
      <w:r>
        <w:rPr/>
        <w:t>in alphabetical</w:t>
      </w:r>
      <w:r>
        <w:rPr>
          <w:spacing w:val="-1"/>
        </w:rPr>
        <w:t> </w:t>
      </w:r>
      <w:r>
        <w:rPr>
          <w:spacing w:val="-2"/>
        </w:rPr>
        <w:t>order:</w:t>
      </w:r>
    </w:p>
    <w:p>
      <w:pPr>
        <w:pStyle w:val="BodyText"/>
      </w:pPr>
    </w:p>
    <w:p>
      <w:pPr>
        <w:pStyle w:val="ListParagraph"/>
        <w:numPr>
          <w:ilvl w:val="0"/>
          <w:numId w:val="1"/>
        </w:numPr>
        <w:tabs>
          <w:tab w:pos="1255" w:val="left" w:leader="none"/>
        </w:tabs>
        <w:spacing w:line="240" w:lineRule="auto" w:before="1" w:after="0"/>
        <w:ind w:left="1015" w:right="1329" w:firstLine="0"/>
        <w:jc w:val="left"/>
        <w:rPr>
          <w:sz w:val="24"/>
        </w:rPr>
      </w:pPr>
      <w:r>
        <w:rPr>
          <w:sz w:val="24"/>
        </w:rPr>
        <w:t>Behr,</w:t>
      </w:r>
      <w:r>
        <w:rPr>
          <w:spacing w:val="-3"/>
          <w:sz w:val="24"/>
        </w:rPr>
        <w:t> </w:t>
      </w:r>
      <w:r>
        <w:rPr>
          <w:sz w:val="24"/>
        </w:rPr>
        <w:t>P.,</w:t>
      </w:r>
      <w:r>
        <w:rPr>
          <w:spacing w:val="-3"/>
          <w:sz w:val="24"/>
        </w:rPr>
        <w:t> </w:t>
      </w:r>
      <w:r>
        <w:rPr>
          <w:sz w:val="24"/>
        </w:rPr>
        <w:t>Güttler,</w:t>
      </w:r>
      <w:r>
        <w:rPr>
          <w:spacing w:val="-3"/>
          <w:sz w:val="24"/>
        </w:rPr>
        <w:t> </w:t>
      </w:r>
      <w:r>
        <w:rPr>
          <w:sz w:val="24"/>
        </w:rPr>
        <w:t>A.,</w:t>
      </w:r>
      <w:r>
        <w:rPr>
          <w:spacing w:val="-2"/>
          <w:sz w:val="24"/>
        </w:rPr>
        <w:t> </w:t>
      </w:r>
      <w:r>
        <w:rPr>
          <w:sz w:val="24"/>
        </w:rPr>
        <w:t>&amp;</w:t>
      </w:r>
      <w:r>
        <w:rPr>
          <w:spacing w:val="-3"/>
          <w:sz w:val="24"/>
        </w:rPr>
        <w:t> </w:t>
      </w:r>
      <w:r>
        <w:rPr>
          <w:sz w:val="24"/>
        </w:rPr>
        <w:t>Miebs,</w:t>
      </w:r>
      <w:r>
        <w:rPr>
          <w:spacing w:val="-3"/>
          <w:sz w:val="24"/>
        </w:rPr>
        <w:t> </w:t>
      </w:r>
      <w:r>
        <w:rPr>
          <w:sz w:val="24"/>
        </w:rPr>
        <w:t>F.</w:t>
      </w:r>
      <w:r>
        <w:rPr>
          <w:spacing w:val="-3"/>
          <w:sz w:val="24"/>
        </w:rPr>
        <w:t> </w:t>
      </w:r>
      <w:r>
        <w:rPr>
          <w:sz w:val="24"/>
        </w:rPr>
        <w:t>(2008).</w:t>
      </w:r>
      <w:r>
        <w:rPr>
          <w:spacing w:val="-2"/>
          <w:sz w:val="24"/>
        </w:rPr>
        <w:t> </w:t>
      </w:r>
      <w:r>
        <w:rPr>
          <w:sz w:val="24"/>
        </w:rPr>
        <w:t>Is</w:t>
      </w:r>
      <w:r>
        <w:rPr>
          <w:spacing w:val="-3"/>
          <w:sz w:val="24"/>
        </w:rPr>
        <w:t> </w:t>
      </w:r>
      <w:r>
        <w:rPr>
          <w:sz w:val="24"/>
        </w:rPr>
        <w:t>minimum-variance</w:t>
      </w:r>
      <w:r>
        <w:rPr>
          <w:spacing w:val="-4"/>
          <w:sz w:val="24"/>
        </w:rPr>
        <w:t> </w:t>
      </w:r>
      <w:r>
        <w:rPr>
          <w:sz w:val="24"/>
        </w:rPr>
        <w:t>investing</w:t>
      </w:r>
      <w:r>
        <w:rPr>
          <w:spacing w:val="-3"/>
          <w:sz w:val="24"/>
        </w:rPr>
        <w:t> </w:t>
      </w:r>
      <w:r>
        <w:rPr>
          <w:sz w:val="24"/>
        </w:rPr>
        <w:t>really</w:t>
      </w:r>
      <w:r>
        <w:rPr>
          <w:spacing w:val="-3"/>
          <w:sz w:val="24"/>
        </w:rPr>
        <w:t> </w:t>
      </w:r>
      <w:r>
        <w:rPr>
          <w:sz w:val="24"/>
        </w:rPr>
        <w:t>worth</w:t>
      </w:r>
      <w:r>
        <w:rPr>
          <w:spacing w:val="-3"/>
          <w:sz w:val="24"/>
        </w:rPr>
        <w:t> </w:t>
      </w:r>
      <w:r>
        <w:rPr>
          <w:sz w:val="24"/>
        </w:rPr>
        <w:t>the while? An analysis with robust performance inference. EDHEC-Risk working paper.</w:t>
      </w:r>
    </w:p>
    <w:p>
      <w:pPr>
        <w:pStyle w:val="ListParagraph"/>
        <w:numPr>
          <w:ilvl w:val="0"/>
          <w:numId w:val="1"/>
        </w:numPr>
        <w:tabs>
          <w:tab w:pos="1255" w:val="left" w:leader="none"/>
        </w:tabs>
        <w:spacing w:line="240" w:lineRule="auto" w:before="273" w:after="0"/>
        <w:ind w:left="1015" w:right="1696" w:firstLine="0"/>
        <w:jc w:val="left"/>
        <w:rPr>
          <w:sz w:val="24"/>
        </w:rPr>
      </w:pPr>
      <w:r>
        <w:rPr>
          <w:sz w:val="24"/>
        </w:rPr>
        <w:t>Choueifaty,</w:t>
      </w:r>
      <w:r>
        <w:rPr>
          <w:spacing w:val="-4"/>
          <w:sz w:val="24"/>
        </w:rPr>
        <w:t> </w:t>
      </w:r>
      <w:r>
        <w:rPr>
          <w:sz w:val="24"/>
        </w:rPr>
        <w:t>Y.,</w:t>
      </w:r>
      <w:r>
        <w:rPr>
          <w:spacing w:val="-4"/>
          <w:sz w:val="24"/>
        </w:rPr>
        <w:t> </w:t>
      </w:r>
      <w:r>
        <w:rPr>
          <w:sz w:val="24"/>
        </w:rPr>
        <w:t>&amp;</w:t>
      </w:r>
      <w:r>
        <w:rPr>
          <w:spacing w:val="-4"/>
          <w:sz w:val="24"/>
        </w:rPr>
        <w:t> </w:t>
      </w:r>
      <w:r>
        <w:rPr>
          <w:sz w:val="24"/>
        </w:rPr>
        <w:t>Coignard,</w:t>
      </w:r>
      <w:r>
        <w:rPr>
          <w:spacing w:val="-4"/>
          <w:sz w:val="24"/>
        </w:rPr>
        <w:t> </w:t>
      </w:r>
      <w:r>
        <w:rPr>
          <w:sz w:val="24"/>
        </w:rPr>
        <w:t>Y.</w:t>
      </w:r>
      <w:r>
        <w:rPr>
          <w:spacing w:val="-4"/>
          <w:sz w:val="24"/>
        </w:rPr>
        <w:t> </w:t>
      </w:r>
      <w:r>
        <w:rPr>
          <w:sz w:val="24"/>
        </w:rPr>
        <w:t>(2008).</w:t>
      </w:r>
      <w:r>
        <w:rPr>
          <w:spacing w:val="-4"/>
          <w:sz w:val="24"/>
        </w:rPr>
        <w:t> </w:t>
      </w:r>
      <w:r>
        <w:rPr>
          <w:sz w:val="24"/>
        </w:rPr>
        <w:t>Toward</w:t>
      </w:r>
      <w:r>
        <w:rPr>
          <w:spacing w:val="-4"/>
          <w:sz w:val="24"/>
        </w:rPr>
        <w:t> </w:t>
      </w:r>
      <w:r>
        <w:rPr>
          <w:sz w:val="24"/>
        </w:rPr>
        <w:t>Maximum</w:t>
      </w:r>
      <w:r>
        <w:rPr>
          <w:spacing w:val="-4"/>
          <w:sz w:val="24"/>
        </w:rPr>
        <w:t> </w:t>
      </w:r>
      <w:r>
        <w:rPr>
          <w:sz w:val="24"/>
        </w:rPr>
        <w:t>Diversification.</w:t>
      </w:r>
      <w:r>
        <w:rPr>
          <w:spacing w:val="-4"/>
          <w:sz w:val="24"/>
        </w:rPr>
        <w:t> </w:t>
      </w:r>
      <w:r>
        <w:rPr>
          <w:sz w:val="24"/>
        </w:rPr>
        <w:t>Journal</w:t>
      </w:r>
      <w:r>
        <w:rPr>
          <w:spacing w:val="-4"/>
          <w:sz w:val="24"/>
        </w:rPr>
        <w:t> </w:t>
      </w:r>
      <w:r>
        <w:rPr>
          <w:sz w:val="24"/>
        </w:rPr>
        <w:t>of Portfolio Management - J PORTFOLIO MANAGE, 35(Oct).</w:t>
      </w:r>
    </w:p>
    <w:p>
      <w:pPr>
        <w:pStyle w:val="BodyText"/>
      </w:pPr>
    </w:p>
    <w:p>
      <w:pPr>
        <w:pStyle w:val="ListParagraph"/>
        <w:numPr>
          <w:ilvl w:val="0"/>
          <w:numId w:val="1"/>
        </w:numPr>
        <w:tabs>
          <w:tab w:pos="1255" w:val="left" w:leader="none"/>
        </w:tabs>
        <w:spacing w:line="240" w:lineRule="auto" w:before="0" w:after="0"/>
        <w:ind w:left="1015" w:right="2013" w:firstLine="0"/>
        <w:jc w:val="left"/>
        <w:rPr>
          <w:sz w:val="24"/>
        </w:rPr>
      </w:pPr>
      <w:r>
        <w:rPr>
          <w:sz w:val="24"/>
        </w:rPr>
        <w:t>Christoffersen, P., et al. (2012). Is the Potential for International Diversification Disappearing?</w:t>
      </w:r>
      <w:r>
        <w:rPr>
          <w:spacing w:val="-6"/>
          <w:sz w:val="24"/>
        </w:rPr>
        <w:t> </w:t>
      </w:r>
      <w:r>
        <w:rPr>
          <w:sz w:val="24"/>
        </w:rPr>
        <w:t>A</w:t>
      </w:r>
      <w:r>
        <w:rPr>
          <w:spacing w:val="-5"/>
          <w:sz w:val="24"/>
        </w:rPr>
        <w:t> </w:t>
      </w:r>
      <w:r>
        <w:rPr>
          <w:sz w:val="24"/>
        </w:rPr>
        <w:t>Dynamic</w:t>
      </w:r>
      <w:r>
        <w:rPr>
          <w:spacing w:val="-6"/>
          <w:sz w:val="24"/>
        </w:rPr>
        <w:t> </w:t>
      </w:r>
      <w:r>
        <w:rPr>
          <w:sz w:val="24"/>
        </w:rPr>
        <w:t>Copula</w:t>
      </w:r>
      <w:r>
        <w:rPr>
          <w:spacing w:val="-5"/>
          <w:sz w:val="24"/>
        </w:rPr>
        <w:t> </w:t>
      </w:r>
      <w:r>
        <w:rPr>
          <w:sz w:val="24"/>
        </w:rPr>
        <w:t>Approach.</w:t>
      </w:r>
      <w:r>
        <w:rPr>
          <w:spacing w:val="-5"/>
          <w:sz w:val="24"/>
        </w:rPr>
        <w:t> </w:t>
      </w:r>
      <w:r>
        <w:rPr>
          <w:sz w:val="24"/>
        </w:rPr>
        <w:t>Review</w:t>
      </w:r>
      <w:r>
        <w:rPr>
          <w:spacing w:val="-6"/>
          <w:sz w:val="24"/>
        </w:rPr>
        <w:t> </w:t>
      </w:r>
      <w:r>
        <w:rPr>
          <w:sz w:val="24"/>
        </w:rPr>
        <w:t>of</w:t>
      </w:r>
      <w:r>
        <w:rPr>
          <w:spacing w:val="-4"/>
          <w:sz w:val="24"/>
        </w:rPr>
        <w:t> </w:t>
      </w:r>
      <w:r>
        <w:rPr>
          <w:sz w:val="24"/>
        </w:rPr>
        <w:t>Financial</w:t>
      </w:r>
      <w:r>
        <w:rPr>
          <w:spacing w:val="-5"/>
          <w:sz w:val="24"/>
        </w:rPr>
        <w:t> </w:t>
      </w:r>
      <w:r>
        <w:rPr>
          <w:sz w:val="24"/>
        </w:rPr>
        <w:t>Studies,</w:t>
      </w:r>
      <w:r>
        <w:rPr>
          <w:spacing w:val="-3"/>
          <w:sz w:val="24"/>
        </w:rPr>
        <w:t> </w:t>
      </w:r>
      <w:r>
        <w:rPr>
          <w:sz w:val="24"/>
        </w:rPr>
        <w:t>25(May).</w:t>
      </w:r>
    </w:p>
    <w:p>
      <w:pPr>
        <w:pStyle w:val="BodyText"/>
      </w:pPr>
    </w:p>
    <w:p>
      <w:pPr>
        <w:pStyle w:val="ListParagraph"/>
        <w:numPr>
          <w:ilvl w:val="0"/>
          <w:numId w:val="1"/>
        </w:numPr>
        <w:tabs>
          <w:tab w:pos="1255" w:val="left" w:leader="none"/>
        </w:tabs>
        <w:spacing w:line="240" w:lineRule="auto" w:before="0" w:after="0"/>
        <w:ind w:left="1015" w:right="2547" w:firstLine="0"/>
        <w:jc w:val="left"/>
        <w:rPr>
          <w:sz w:val="24"/>
        </w:rPr>
      </w:pPr>
      <w:r>
        <w:rPr>
          <w:sz w:val="24"/>
        </w:rPr>
        <w:t>Eidenvall,</w:t>
      </w:r>
      <w:r>
        <w:rPr>
          <w:spacing w:val="-5"/>
          <w:sz w:val="24"/>
        </w:rPr>
        <w:t> </w:t>
      </w:r>
      <w:r>
        <w:rPr>
          <w:sz w:val="24"/>
        </w:rPr>
        <w:t>A.</w:t>
      </w:r>
      <w:r>
        <w:rPr>
          <w:spacing w:val="-5"/>
          <w:sz w:val="24"/>
        </w:rPr>
        <w:t> </w:t>
      </w:r>
      <w:r>
        <w:rPr>
          <w:sz w:val="24"/>
        </w:rPr>
        <w:t>(2021).</w:t>
      </w:r>
      <w:r>
        <w:rPr>
          <w:spacing w:val="-3"/>
          <w:sz w:val="24"/>
        </w:rPr>
        <w:t> </w:t>
      </w:r>
      <w:r>
        <w:rPr>
          <w:sz w:val="24"/>
        </w:rPr>
        <w:t>Hierarchical</w:t>
      </w:r>
      <w:r>
        <w:rPr>
          <w:spacing w:val="-5"/>
          <w:sz w:val="24"/>
        </w:rPr>
        <w:t> </w:t>
      </w:r>
      <w:r>
        <w:rPr>
          <w:sz w:val="24"/>
        </w:rPr>
        <w:t>Clustering</w:t>
      </w:r>
      <w:r>
        <w:rPr>
          <w:spacing w:val="-5"/>
          <w:sz w:val="24"/>
        </w:rPr>
        <w:t> </w:t>
      </w:r>
      <w:r>
        <w:rPr>
          <w:sz w:val="24"/>
        </w:rPr>
        <w:t>To</w:t>
      </w:r>
      <w:r>
        <w:rPr>
          <w:spacing w:val="-5"/>
          <w:sz w:val="24"/>
        </w:rPr>
        <w:t> </w:t>
      </w:r>
      <w:r>
        <w:rPr>
          <w:sz w:val="24"/>
        </w:rPr>
        <w:t>Improve</w:t>
      </w:r>
      <w:r>
        <w:rPr>
          <w:spacing w:val="-6"/>
          <w:sz w:val="24"/>
        </w:rPr>
        <w:t> </w:t>
      </w:r>
      <w:r>
        <w:rPr>
          <w:sz w:val="24"/>
        </w:rPr>
        <w:t>Portfolio</w:t>
      </w:r>
      <w:r>
        <w:rPr>
          <w:spacing w:val="-5"/>
          <w:sz w:val="24"/>
        </w:rPr>
        <w:t> </w:t>
      </w:r>
      <w:r>
        <w:rPr>
          <w:sz w:val="24"/>
        </w:rPr>
        <w:t>Tail</w:t>
      </w:r>
      <w:r>
        <w:rPr>
          <w:spacing w:val="-5"/>
          <w:sz w:val="24"/>
        </w:rPr>
        <w:t> </w:t>
      </w:r>
      <w:r>
        <w:rPr>
          <w:sz w:val="24"/>
        </w:rPr>
        <w:t>Risk Characteristics. LUTFMS-3409-2021.</w:t>
      </w:r>
    </w:p>
    <w:p>
      <w:pPr>
        <w:pStyle w:val="BodyText"/>
        <w:spacing w:before="1"/>
      </w:pPr>
    </w:p>
    <w:p>
      <w:pPr>
        <w:pStyle w:val="ListParagraph"/>
        <w:numPr>
          <w:ilvl w:val="0"/>
          <w:numId w:val="1"/>
        </w:numPr>
        <w:tabs>
          <w:tab w:pos="1255" w:val="left" w:leader="none"/>
        </w:tabs>
        <w:spacing w:line="240" w:lineRule="auto" w:before="0" w:after="0"/>
        <w:ind w:left="1015" w:right="1192" w:firstLine="0"/>
        <w:jc w:val="left"/>
        <w:rPr>
          <w:sz w:val="24"/>
        </w:rPr>
      </w:pPr>
      <w:r>
        <w:rPr>
          <w:sz w:val="24"/>
        </w:rPr>
        <w:t>Hansen,</w:t>
      </w:r>
      <w:r>
        <w:rPr>
          <w:spacing w:val="-3"/>
          <w:sz w:val="24"/>
        </w:rPr>
        <w:t> </w:t>
      </w:r>
      <w:r>
        <w:rPr>
          <w:sz w:val="24"/>
        </w:rPr>
        <w:t>K.</w:t>
      </w:r>
      <w:r>
        <w:rPr>
          <w:spacing w:val="-3"/>
          <w:sz w:val="24"/>
        </w:rPr>
        <w:t> </w:t>
      </w:r>
      <w:r>
        <w:rPr>
          <w:sz w:val="24"/>
        </w:rPr>
        <w:t>B.</w:t>
      </w:r>
      <w:r>
        <w:rPr>
          <w:spacing w:val="-3"/>
          <w:sz w:val="24"/>
        </w:rPr>
        <w:t> </w:t>
      </w:r>
      <w:r>
        <w:rPr>
          <w:sz w:val="24"/>
        </w:rPr>
        <w:t>(2020).</w:t>
      </w:r>
      <w:r>
        <w:rPr>
          <w:spacing w:val="-1"/>
          <w:sz w:val="24"/>
        </w:rPr>
        <w:t> </w:t>
      </w:r>
      <w:r>
        <w:rPr>
          <w:sz w:val="24"/>
        </w:rPr>
        <w:t>The</w:t>
      </w:r>
      <w:r>
        <w:rPr>
          <w:spacing w:val="-5"/>
          <w:sz w:val="24"/>
        </w:rPr>
        <w:t> </w:t>
      </w:r>
      <w:r>
        <w:rPr>
          <w:sz w:val="24"/>
        </w:rPr>
        <w:t>virtue</w:t>
      </w:r>
      <w:r>
        <w:rPr>
          <w:spacing w:val="-4"/>
          <w:sz w:val="24"/>
        </w:rPr>
        <w:t> </w:t>
      </w:r>
      <w:r>
        <w:rPr>
          <w:sz w:val="24"/>
        </w:rPr>
        <w:t>of</w:t>
      </w:r>
      <w:r>
        <w:rPr>
          <w:spacing w:val="-3"/>
          <w:sz w:val="24"/>
        </w:rPr>
        <w:t> </w:t>
      </w:r>
      <w:r>
        <w:rPr>
          <w:sz w:val="24"/>
        </w:rPr>
        <w:t>simplicity:</w:t>
      </w:r>
      <w:r>
        <w:rPr>
          <w:spacing w:val="-3"/>
          <w:sz w:val="24"/>
        </w:rPr>
        <w:t> </w:t>
      </w:r>
      <w:r>
        <w:rPr>
          <w:sz w:val="24"/>
        </w:rPr>
        <w:t>On</w:t>
      </w:r>
      <w:r>
        <w:rPr>
          <w:spacing w:val="-3"/>
          <w:sz w:val="24"/>
        </w:rPr>
        <w:t> </w:t>
      </w:r>
      <w:r>
        <w:rPr>
          <w:sz w:val="24"/>
        </w:rPr>
        <w:t>machine</w:t>
      </w:r>
      <w:r>
        <w:rPr>
          <w:spacing w:val="-3"/>
          <w:sz w:val="24"/>
        </w:rPr>
        <w:t> </w:t>
      </w:r>
      <w:r>
        <w:rPr>
          <w:sz w:val="24"/>
        </w:rPr>
        <w:t>learning</w:t>
      </w:r>
      <w:r>
        <w:rPr>
          <w:spacing w:val="-3"/>
          <w:sz w:val="24"/>
        </w:rPr>
        <w:t> </w:t>
      </w:r>
      <w:r>
        <w:rPr>
          <w:sz w:val="24"/>
        </w:rPr>
        <w:t>models</w:t>
      </w:r>
      <w:r>
        <w:rPr>
          <w:spacing w:val="-3"/>
          <w:sz w:val="24"/>
        </w:rPr>
        <w:t> </w:t>
      </w:r>
      <w:r>
        <w:rPr>
          <w:sz w:val="24"/>
        </w:rPr>
        <w:t>in</w:t>
      </w:r>
      <w:r>
        <w:rPr>
          <w:spacing w:val="-3"/>
          <w:sz w:val="24"/>
        </w:rPr>
        <w:t> </w:t>
      </w:r>
      <w:r>
        <w:rPr>
          <w:sz w:val="24"/>
        </w:rPr>
        <w:t>algorithmic trading. Big Data &amp; Soc., 7(1), 2053951720926558.</w:t>
      </w:r>
    </w:p>
    <w:p>
      <w:pPr>
        <w:pStyle w:val="BodyText"/>
      </w:pPr>
    </w:p>
    <w:p>
      <w:pPr>
        <w:pStyle w:val="ListParagraph"/>
        <w:numPr>
          <w:ilvl w:val="0"/>
          <w:numId w:val="1"/>
        </w:numPr>
        <w:tabs>
          <w:tab w:pos="1255" w:val="left" w:leader="none"/>
        </w:tabs>
        <w:spacing w:line="240" w:lineRule="auto" w:before="0" w:after="0"/>
        <w:ind w:left="1015" w:right="1587" w:firstLine="0"/>
        <w:jc w:val="left"/>
        <w:rPr>
          <w:sz w:val="24"/>
        </w:rPr>
      </w:pPr>
      <w:r>
        <w:rPr>
          <w:sz w:val="24"/>
        </w:rPr>
        <w:t>Karina</w:t>
      </w:r>
      <w:r>
        <w:rPr>
          <w:spacing w:val="-6"/>
          <w:sz w:val="24"/>
        </w:rPr>
        <w:t> </w:t>
      </w:r>
      <w:r>
        <w:rPr>
          <w:sz w:val="24"/>
        </w:rPr>
        <w:t>Marvin.</w:t>
      </w:r>
      <w:r>
        <w:rPr>
          <w:spacing w:val="-5"/>
          <w:sz w:val="24"/>
        </w:rPr>
        <w:t> </w:t>
      </w:r>
      <w:r>
        <w:rPr>
          <w:sz w:val="24"/>
        </w:rPr>
        <w:t>(2015).</w:t>
      </w:r>
      <w:r>
        <w:rPr>
          <w:spacing w:val="-5"/>
          <w:sz w:val="24"/>
        </w:rPr>
        <w:t> </w:t>
      </w:r>
      <w:r>
        <w:rPr>
          <w:sz w:val="24"/>
        </w:rPr>
        <w:t>Creating</w:t>
      </w:r>
      <w:r>
        <w:rPr>
          <w:spacing w:val="-5"/>
          <w:sz w:val="24"/>
        </w:rPr>
        <w:t> </w:t>
      </w:r>
      <w:r>
        <w:rPr>
          <w:sz w:val="24"/>
        </w:rPr>
        <w:t>diversified</w:t>
      </w:r>
      <w:r>
        <w:rPr>
          <w:spacing w:val="-5"/>
          <w:sz w:val="24"/>
        </w:rPr>
        <w:t> </w:t>
      </w:r>
      <w:r>
        <w:rPr>
          <w:sz w:val="24"/>
        </w:rPr>
        <w:t>portfolios</w:t>
      </w:r>
      <w:r>
        <w:rPr>
          <w:spacing w:val="-5"/>
          <w:sz w:val="24"/>
        </w:rPr>
        <w:t> </w:t>
      </w:r>
      <w:r>
        <w:rPr>
          <w:sz w:val="24"/>
        </w:rPr>
        <w:t>using</w:t>
      </w:r>
      <w:r>
        <w:rPr>
          <w:spacing w:val="-5"/>
          <w:sz w:val="24"/>
        </w:rPr>
        <w:t> </w:t>
      </w:r>
      <w:r>
        <w:rPr>
          <w:sz w:val="24"/>
        </w:rPr>
        <w:t>cluster</w:t>
      </w:r>
      <w:r>
        <w:rPr>
          <w:spacing w:val="-5"/>
          <w:sz w:val="24"/>
        </w:rPr>
        <w:t> </w:t>
      </w:r>
      <w:r>
        <w:rPr>
          <w:sz w:val="24"/>
        </w:rPr>
        <w:t>analysis.</w:t>
      </w:r>
      <w:r>
        <w:rPr>
          <w:spacing w:val="-5"/>
          <w:sz w:val="24"/>
        </w:rPr>
        <w:t> </w:t>
      </w:r>
      <w:r>
        <w:rPr>
          <w:sz w:val="24"/>
        </w:rPr>
        <w:t>Princeton </w:t>
      </w:r>
      <w:r>
        <w:rPr>
          <w:spacing w:val="-2"/>
          <w:sz w:val="24"/>
        </w:rPr>
        <w:t>University.</w:t>
      </w:r>
    </w:p>
    <w:p>
      <w:pPr>
        <w:pStyle w:val="BodyText"/>
      </w:pPr>
    </w:p>
    <w:p>
      <w:pPr>
        <w:pStyle w:val="ListParagraph"/>
        <w:numPr>
          <w:ilvl w:val="0"/>
          <w:numId w:val="1"/>
        </w:numPr>
        <w:tabs>
          <w:tab w:pos="1255" w:val="left" w:leader="none"/>
        </w:tabs>
        <w:spacing w:line="240" w:lineRule="auto" w:before="0" w:after="0"/>
        <w:ind w:left="1015" w:right="1850" w:firstLine="0"/>
        <w:jc w:val="left"/>
        <w:rPr>
          <w:sz w:val="24"/>
        </w:rPr>
      </w:pPr>
      <w:r>
        <w:rPr>
          <w:sz w:val="24"/>
        </w:rPr>
        <w:t>Kaufman,</w:t>
      </w:r>
      <w:r>
        <w:rPr>
          <w:spacing w:val="-3"/>
          <w:sz w:val="24"/>
        </w:rPr>
        <w:t> </w:t>
      </w:r>
      <w:r>
        <w:rPr>
          <w:sz w:val="24"/>
        </w:rPr>
        <w:t>L.,</w:t>
      </w:r>
      <w:r>
        <w:rPr>
          <w:spacing w:val="-3"/>
          <w:sz w:val="24"/>
        </w:rPr>
        <w:t> </w:t>
      </w:r>
      <w:r>
        <w:rPr>
          <w:sz w:val="24"/>
        </w:rPr>
        <w:t>&amp;</w:t>
      </w:r>
      <w:r>
        <w:rPr>
          <w:spacing w:val="-3"/>
          <w:sz w:val="24"/>
        </w:rPr>
        <w:t> </w:t>
      </w:r>
      <w:r>
        <w:rPr>
          <w:sz w:val="24"/>
        </w:rPr>
        <w:t>Rousseeuw,</w:t>
      </w:r>
      <w:r>
        <w:rPr>
          <w:spacing w:val="-3"/>
          <w:sz w:val="24"/>
        </w:rPr>
        <w:t> </w:t>
      </w:r>
      <w:r>
        <w:rPr>
          <w:sz w:val="24"/>
        </w:rPr>
        <w:t>P.</w:t>
      </w:r>
      <w:r>
        <w:rPr>
          <w:spacing w:val="-3"/>
          <w:sz w:val="24"/>
        </w:rPr>
        <w:t> </w:t>
      </w:r>
      <w:r>
        <w:rPr>
          <w:sz w:val="24"/>
        </w:rPr>
        <w:t>J.</w:t>
      </w:r>
      <w:r>
        <w:rPr>
          <w:spacing w:val="-3"/>
          <w:sz w:val="24"/>
        </w:rPr>
        <w:t> </w:t>
      </w:r>
      <w:r>
        <w:rPr>
          <w:sz w:val="24"/>
        </w:rPr>
        <w:t>(1990).</w:t>
      </w:r>
      <w:r>
        <w:rPr>
          <w:spacing w:val="-2"/>
          <w:sz w:val="24"/>
        </w:rPr>
        <w:t> </w:t>
      </w:r>
      <w:r>
        <w:rPr>
          <w:sz w:val="24"/>
        </w:rPr>
        <w:t>Finding</w:t>
      </w:r>
      <w:r>
        <w:rPr>
          <w:spacing w:val="-3"/>
          <w:sz w:val="24"/>
        </w:rPr>
        <w:t> </w:t>
      </w:r>
      <w:r>
        <w:rPr>
          <w:sz w:val="24"/>
        </w:rPr>
        <w:t>groups</w:t>
      </w:r>
      <w:r>
        <w:rPr>
          <w:spacing w:val="-3"/>
          <w:sz w:val="24"/>
        </w:rPr>
        <w:t> </w:t>
      </w:r>
      <w:r>
        <w:rPr>
          <w:sz w:val="24"/>
        </w:rPr>
        <w:t>in</w:t>
      </w:r>
      <w:r>
        <w:rPr>
          <w:spacing w:val="-3"/>
          <w:sz w:val="24"/>
        </w:rPr>
        <w:t> </w:t>
      </w:r>
      <w:r>
        <w:rPr>
          <w:sz w:val="24"/>
        </w:rPr>
        <w:t>data:</w:t>
      </w:r>
      <w:r>
        <w:rPr>
          <w:spacing w:val="-3"/>
          <w:sz w:val="24"/>
        </w:rPr>
        <w:t> </w:t>
      </w:r>
      <w:r>
        <w:rPr>
          <w:sz w:val="24"/>
        </w:rPr>
        <w:t>An</w:t>
      </w:r>
      <w:r>
        <w:rPr>
          <w:spacing w:val="-3"/>
          <w:sz w:val="24"/>
        </w:rPr>
        <w:t> </w:t>
      </w:r>
      <w:r>
        <w:rPr>
          <w:sz w:val="24"/>
        </w:rPr>
        <w:t>introduction</w:t>
      </w:r>
      <w:r>
        <w:rPr>
          <w:spacing w:val="-3"/>
          <w:sz w:val="24"/>
        </w:rPr>
        <w:t> </w:t>
      </w:r>
      <w:r>
        <w:rPr>
          <w:sz w:val="24"/>
        </w:rPr>
        <w:t>to cluster analysis. Wiley, New York.</w:t>
      </w:r>
    </w:p>
    <w:p>
      <w:pPr>
        <w:pStyle w:val="BodyText"/>
      </w:pPr>
    </w:p>
    <w:p>
      <w:pPr>
        <w:pStyle w:val="ListParagraph"/>
        <w:numPr>
          <w:ilvl w:val="0"/>
          <w:numId w:val="1"/>
        </w:numPr>
        <w:tabs>
          <w:tab w:pos="1255" w:val="left" w:leader="none"/>
        </w:tabs>
        <w:spacing w:line="240" w:lineRule="auto" w:before="0" w:after="0"/>
        <w:ind w:left="1015" w:right="2165" w:firstLine="0"/>
        <w:jc w:val="left"/>
        <w:rPr>
          <w:sz w:val="24"/>
        </w:rPr>
      </w:pPr>
      <w:r>
        <w:rPr>
          <w:sz w:val="24"/>
        </w:rPr>
        <w:t>Kuchler,</w:t>
      </w:r>
      <w:r>
        <w:rPr>
          <w:spacing w:val="-4"/>
          <w:sz w:val="24"/>
        </w:rPr>
        <w:t> </w:t>
      </w:r>
      <w:r>
        <w:rPr>
          <w:sz w:val="24"/>
        </w:rPr>
        <w:t>T.,</w:t>
      </w:r>
      <w:r>
        <w:rPr>
          <w:spacing w:val="-4"/>
          <w:sz w:val="24"/>
        </w:rPr>
        <w:t> </w:t>
      </w:r>
      <w:r>
        <w:rPr>
          <w:sz w:val="24"/>
        </w:rPr>
        <w:t>Piazzesi,</w:t>
      </w:r>
      <w:r>
        <w:rPr>
          <w:spacing w:val="-2"/>
          <w:sz w:val="24"/>
        </w:rPr>
        <w:t> </w:t>
      </w:r>
      <w:r>
        <w:rPr>
          <w:sz w:val="24"/>
        </w:rPr>
        <w:t>M.,</w:t>
      </w:r>
      <w:r>
        <w:rPr>
          <w:spacing w:val="-4"/>
          <w:sz w:val="24"/>
        </w:rPr>
        <w:t> </w:t>
      </w:r>
      <w:r>
        <w:rPr>
          <w:sz w:val="24"/>
        </w:rPr>
        <w:t>&amp;</w:t>
      </w:r>
      <w:r>
        <w:rPr>
          <w:spacing w:val="-4"/>
          <w:sz w:val="24"/>
        </w:rPr>
        <w:t> </w:t>
      </w:r>
      <w:r>
        <w:rPr>
          <w:sz w:val="24"/>
        </w:rPr>
        <w:t>Stroebel,</w:t>
      </w:r>
      <w:r>
        <w:rPr>
          <w:spacing w:val="-4"/>
          <w:sz w:val="24"/>
        </w:rPr>
        <w:t> </w:t>
      </w:r>
      <w:r>
        <w:rPr>
          <w:sz w:val="24"/>
        </w:rPr>
        <w:t>J.</w:t>
      </w:r>
      <w:r>
        <w:rPr>
          <w:spacing w:val="-4"/>
          <w:sz w:val="24"/>
        </w:rPr>
        <w:t> </w:t>
      </w:r>
      <w:r>
        <w:rPr>
          <w:sz w:val="24"/>
        </w:rPr>
        <w:t>(2023).</w:t>
      </w:r>
      <w:r>
        <w:rPr>
          <w:spacing w:val="-4"/>
          <w:sz w:val="24"/>
        </w:rPr>
        <w:t> </w:t>
      </w:r>
      <w:r>
        <w:rPr>
          <w:sz w:val="24"/>
        </w:rPr>
        <w:t>Housing</w:t>
      </w:r>
      <w:r>
        <w:rPr>
          <w:spacing w:val="-4"/>
          <w:sz w:val="24"/>
        </w:rPr>
        <w:t> </w:t>
      </w:r>
      <w:r>
        <w:rPr>
          <w:sz w:val="24"/>
        </w:rPr>
        <w:t>market</w:t>
      </w:r>
      <w:r>
        <w:rPr>
          <w:spacing w:val="-4"/>
          <w:sz w:val="24"/>
        </w:rPr>
        <w:t> </w:t>
      </w:r>
      <w:r>
        <w:rPr>
          <w:sz w:val="24"/>
        </w:rPr>
        <w:t>expectations.</w:t>
      </w:r>
      <w:r>
        <w:rPr>
          <w:spacing w:val="-4"/>
          <w:sz w:val="24"/>
        </w:rPr>
        <w:t> </w:t>
      </w:r>
      <w:r>
        <w:rPr>
          <w:sz w:val="24"/>
        </w:rPr>
        <w:t>In Handbook of Economic Expectations. Academic Press, pp. 163-191.</w:t>
      </w:r>
    </w:p>
    <w:p>
      <w:pPr>
        <w:pStyle w:val="BodyText"/>
      </w:pPr>
    </w:p>
    <w:p>
      <w:pPr>
        <w:pStyle w:val="ListParagraph"/>
        <w:numPr>
          <w:ilvl w:val="0"/>
          <w:numId w:val="1"/>
        </w:numPr>
        <w:tabs>
          <w:tab w:pos="1255" w:val="left" w:leader="none"/>
        </w:tabs>
        <w:spacing w:line="240" w:lineRule="auto" w:before="0" w:after="0"/>
        <w:ind w:left="1015" w:right="2086" w:firstLine="0"/>
        <w:jc w:val="left"/>
        <w:rPr>
          <w:sz w:val="24"/>
        </w:rPr>
      </w:pPr>
      <w:r>
        <w:rPr>
          <w:sz w:val="24"/>
        </w:rPr>
        <w:t>May,</w:t>
      </w:r>
      <w:r>
        <w:rPr>
          <w:spacing w:val="-5"/>
          <w:sz w:val="24"/>
        </w:rPr>
        <w:t> </w:t>
      </w:r>
      <w:r>
        <w:rPr>
          <w:sz w:val="24"/>
        </w:rPr>
        <w:t>K.</w:t>
      </w:r>
      <w:r>
        <w:rPr>
          <w:spacing w:val="-5"/>
          <w:sz w:val="24"/>
        </w:rPr>
        <w:t> </w:t>
      </w:r>
      <w:r>
        <w:rPr>
          <w:sz w:val="24"/>
        </w:rPr>
        <w:t>(2022).</w:t>
      </w:r>
      <w:r>
        <w:rPr>
          <w:spacing w:val="-3"/>
          <w:sz w:val="24"/>
        </w:rPr>
        <w:t> </w:t>
      </w:r>
      <w:r>
        <w:rPr>
          <w:sz w:val="24"/>
        </w:rPr>
        <w:t>Forecast</w:t>
      </w:r>
      <w:r>
        <w:rPr>
          <w:spacing w:val="-5"/>
          <w:sz w:val="24"/>
        </w:rPr>
        <w:t> </w:t>
      </w:r>
      <w:r>
        <w:rPr>
          <w:sz w:val="24"/>
        </w:rPr>
        <w:t>Based</w:t>
      </w:r>
      <w:r>
        <w:rPr>
          <w:spacing w:val="-5"/>
          <w:sz w:val="24"/>
        </w:rPr>
        <w:t> </w:t>
      </w:r>
      <w:r>
        <w:rPr>
          <w:sz w:val="24"/>
        </w:rPr>
        <w:t>Portfolio</w:t>
      </w:r>
      <w:r>
        <w:rPr>
          <w:spacing w:val="-5"/>
          <w:sz w:val="24"/>
        </w:rPr>
        <w:t> </w:t>
      </w:r>
      <w:r>
        <w:rPr>
          <w:sz w:val="24"/>
        </w:rPr>
        <w:t>Optimisation</w:t>
      </w:r>
      <w:r>
        <w:rPr>
          <w:spacing w:val="-5"/>
          <w:sz w:val="24"/>
        </w:rPr>
        <w:t> </w:t>
      </w:r>
      <w:r>
        <w:rPr>
          <w:sz w:val="24"/>
        </w:rPr>
        <w:t>Using</w:t>
      </w:r>
      <w:r>
        <w:rPr>
          <w:spacing w:val="-5"/>
          <w:sz w:val="24"/>
        </w:rPr>
        <w:t> </w:t>
      </w:r>
      <w:r>
        <w:rPr>
          <w:sz w:val="24"/>
        </w:rPr>
        <w:t>XGBoost.</w:t>
      </w:r>
      <w:r>
        <w:rPr>
          <w:spacing w:val="-5"/>
          <w:sz w:val="24"/>
        </w:rPr>
        <w:t> </w:t>
      </w:r>
      <w:r>
        <w:rPr>
          <w:sz w:val="24"/>
        </w:rPr>
        <w:t>Doctoral dissertation, University of the Witwatersrand, Johannesburg.</w:t>
      </w:r>
    </w:p>
    <w:p>
      <w:pPr>
        <w:pStyle w:val="BodyText"/>
        <w:spacing w:before="1"/>
      </w:pPr>
    </w:p>
    <w:p>
      <w:pPr>
        <w:pStyle w:val="ListParagraph"/>
        <w:numPr>
          <w:ilvl w:val="0"/>
          <w:numId w:val="1"/>
        </w:numPr>
        <w:tabs>
          <w:tab w:pos="1375" w:val="left" w:leader="none"/>
        </w:tabs>
        <w:spacing w:line="240" w:lineRule="auto" w:before="0" w:after="0"/>
        <w:ind w:left="1015" w:right="1697" w:firstLine="0"/>
        <w:jc w:val="left"/>
        <w:rPr>
          <w:sz w:val="24"/>
        </w:rPr>
      </w:pPr>
      <w:r>
        <w:rPr>
          <w:sz w:val="24"/>
        </w:rPr>
        <w:t>Molyboga,</w:t>
      </w:r>
      <w:r>
        <w:rPr>
          <w:spacing w:val="-4"/>
          <w:sz w:val="24"/>
        </w:rPr>
        <w:t> </w:t>
      </w:r>
      <w:r>
        <w:rPr>
          <w:sz w:val="24"/>
        </w:rPr>
        <w:t>M.</w:t>
      </w:r>
      <w:r>
        <w:rPr>
          <w:spacing w:val="-4"/>
          <w:sz w:val="24"/>
        </w:rPr>
        <w:t> </w:t>
      </w:r>
      <w:r>
        <w:rPr>
          <w:sz w:val="24"/>
        </w:rPr>
        <w:t>(2020).</w:t>
      </w:r>
      <w:r>
        <w:rPr>
          <w:spacing w:val="-4"/>
          <w:sz w:val="24"/>
        </w:rPr>
        <w:t> </w:t>
      </w:r>
      <w:r>
        <w:rPr>
          <w:sz w:val="24"/>
        </w:rPr>
        <w:t>A</w:t>
      </w:r>
      <w:r>
        <w:rPr>
          <w:spacing w:val="-4"/>
          <w:sz w:val="24"/>
        </w:rPr>
        <w:t> </w:t>
      </w:r>
      <w:r>
        <w:rPr>
          <w:sz w:val="24"/>
        </w:rPr>
        <w:t>Modified</w:t>
      </w:r>
      <w:r>
        <w:rPr>
          <w:spacing w:val="-4"/>
          <w:sz w:val="24"/>
        </w:rPr>
        <w:t> </w:t>
      </w:r>
      <w:r>
        <w:rPr>
          <w:sz w:val="24"/>
        </w:rPr>
        <w:t>Hierarchical</w:t>
      </w:r>
      <w:r>
        <w:rPr>
          <w:spacing w:val="-4"/>
          <w:sz w:val="24"/>
        </w:rPr>
        <w:t> </w:t>
      </w:r>
      <w:r>
        <w:rPr>
          <w:sz w:val="24"/>
        </w:rPr>
        <w:t>Risk</w:t>
      </w:r>
      <w:r>
        <w:rPr>
          <w:spacing w:val="-4"/>
          <w:sz w:val="24"/>
        </w:rPr>
        <w:t> </w:t>
      </w:r>
      <w:r>
        <w:rPr>
          <w:sz w:val="24"/>
        </w:rPr>
        <w:t>Parity</w:t>
      </w:r>
      <w:r>
        <w:rPr>
          <w:spacing w:val="-4"/>
          <w:sz w:val="24"/>
        </w:rPr>
        <w:t> </w:t>
      </w:r>
      <w:r>
        <w:rPr>
          <w:sz w:val="24"/>
        </w:rPr>
        <w:t>Framework</w:t>
      </w:r>
      <w:r>
        <w:rPr>
          <w:spacing w:val="-3"/>
          <w:sz w:val="24"/>
        </w:rPr>
        <w:t> </w:t>
      </w:r>
      <w:r>
        <w:rPr>
          <w:sz w:val="24"/>
        </w:rPr>
        <w:t>for</w:t>
      </w:r>
      <w:r>
        <w:rPr>
          <w:spacing w:val="-6"/>
          <w:sz w:val="24"/>
        </w:rPr>
        <w:t> </w:t>
      </w:r>
      <w:r>
        <w:rPr>
          <w:sz w:val="24"/>
        </w:rPr>
        <w:t>Portfolio Management. The Journal of Financial Data Science, 2(3).</w:t>
      </w:r>
    </w:p>
    <w:p>
      <w:pPr>
        <w:pStyle w:val="BodyText"/>
      </w:pPr>
    </w:p>
    <w:p>
      <w:pPr>
        <w:pStyle w:val="ListParagraph"/>
        <w:numPr>
          <w:ilvl w:val="0"/>
          <w:numId w:val="1"/>
        </w:numPr>
        <w:tabs>
          <w:tab w:pos="1375" w:val="left" w:leader="none"/>
        </w:tabs>
        <w:spacing w:line="240" w:lineRule="auto" w:before="0" w:after="0"/>
        <w:ind w:left="1015" w:right="1514" w:firstLine="0"/>
        <w:jc w:val="left"/>
        <w:rPr>
          <w:sz w:val="24"/>
        </w:rPr>
      </w:pPr>
      <w:r>
        <w:rPr>
          <w:sz w:val="24"/>
        </w:rPr>
        <w:t>Nanakorn,</w:t>
      </w:r>
      <w:r>
        <w:rPr>
          <w:spacing w:val="-3"/>
          <w:sz w:val="24"/>
        </w:rPr>
        <w:t> </w:t>
      </w:r>
      <w:r>
        <w:rPr>
          <w:sz w:val="24"/>
        </w:rPr>
        <w:t>N.,</w:t>
      </w:r>
      <w:r>
        <w:rPr>
          <w:spacing w:val="-4"/>
          <w:sz w:val="24"/>
        </w:rPr>
        <w:t> </w:t>
      </w:r>
      <w:r>
        <w:rPr>
          <w:sz w:val="24"/>
        </w:rPr>
        <w:t>&amp;</w:t>
      </w:r>
      <w:r>
        <w:rPr>
          <w:spacing w:val="-4"/>
          <w:sz w:val="24"/>
        </w:rPr>
        <w:t> </w:t>
      </w:r>
      <w:r>
        <w:rPr>
          <w:sz w:val="24"/>
        </w:rPr>
        <w:t>Palmgren,</w:t>
      </w:r>
      <w:r>
        <w:rPr>
          <w:spacing w:val="-4"/>
          <w:sz w:val="24"/>
        </w:rPr>
        <w:t> </w:t>
      </w:r>
      <w:r>
        <w:rPr>
          <w:sz w:val="24"/>
        </w:rPr>
        <w:t>E.</w:t>
      </w:r>
      <w:r>
        <w:rPr>
          <w:spacing w:val="-4"/>
          <w:sz w:val="24"/>
        </w:rPr>
        <w:t> </w:t>
      </w:r>
      <w:r>
        <w:rPr>
          <w:sz w:val="24"/>
        </w:rPr>
        <w:t>(2021).</w:t>
      </w:r>
      <w:r>
        <w:rPr>
          <w:spacing w:val="-4"/>
          <w:sz w:val="24"/>
        </w:rPr>
        <w:t> </w:t>
      </w:r>
      <w:r>
        <w:rPr>
          <w:sz w:val="24"/>
        </w:rPr>
        <w:t>Hierarchical</w:t>
      </w:r>
      <w:r>
        <w:rPr>
          <w:spacing w:val="-4"/>
          <w:sz w:val="24"/>
        </w:rPr>
        <w:t> </w:t>
      </w:r>
      <w:r>
        <w:rPr>
          <w:sz w:val="24"/>
        </w:rPr>
        <w:t>Clustering</w:t>
      </w:r>
      <w:r>
        <w:rPr>
          <w:spacing w:val="-4"/>
          <w:sz w:val="24"/>
        </w:rPr>
        <w:t> </w:t>
      </w:r>
      <w:r>
        <w:rPr>
          <w:sz w:val="24"/>
        </w:rPr>
        <w:t>in</w:t>
      </w:r>
      <w:r>
        <w:rPr>
          <w:spacing w:val="-4"/>
          <w:sz w:val="24"/>
        </w:rPr>
        <w:t> </w:t>
      </w:r>
      <w:r>
        <w:rPr>
          <w:sz w:val="24"/>
        </w:rPr>
        <w:t>Risk-Based</w:t>
      </w:r>
      <w:r>
        <w:rPr>
          <w:spacing w:val="-4"/>
          <w:sz w:val="24"/>
        </w:rPr>
        <w:t> </w:t>
      </w:r>
      <w:r>
        <w:rPr>
          <w:sz w:val="24"/>
        </w:rPr>
        <w:t>Portfolio </w:t>
      </w:r>
      <w:r>
        <w:rPr>
          <w:spacing w:val="-2"/>
          <w:sz w:val="24"/>
        </w:rPr>
        <w:t>Construction.</w:t>
      </w:r>
    </w:p>
    <w:p>
      <w:pPr>
        <w:pStyle w:val="BodyText"/>
      </w:pPr>
    </w:p>
    <w:p>
      <w:pPr>
        <w:pStyle w:val="ListParagraph"/>
        <w:numPr>
          <w:ilvl w:val="0"/>
          <w:numId w:val="1"/>
        </w:numPr>
        <w:tabs>
          <w:tab w:pos="1375" w:val="left" w:leader="none"/>
        </w:tabs>
        <w:spacing w:line="240" w:lineRule="auto" w:before="0" w:after="0"/>
        <w:ind w:left="1015" w:right="1508" w:firstLine="0"/>
        <w:jc w:val="left"/>
        <w:rPr>
          <w:sz w:val="24"/>
        </w:rPr>
      </w:pPr>
      <w:r>
        <w:rPr>
          <w:sz w:val="24"/>
        </w:rPr>
        <w:t>Obeidat,</w:t>
      </w:r>
      <w:r>
        <w:rPr>
          <w:spacing w:val="-4"/>
          <w:sz w:val="24"/>
        </w:rPr>
        <w:t> </w:t>
      </w:r>
      <w:r>
        <w:rPr>
          <w:sz w:val="24"/>
        </w:rPr>
        <w:t>S.,</w:t>
      </w:r>
      <w:r>
        <w:rPr>
          <w:spacing w:val="-4"/>
          <w:sz w:val="24"/>
        </w:rPr>
        <w:t> </w:t>
      </w:r>
      <w:r>
        <w:rPr>
          <w:sz w:val="24"/>
        </w:rPr>
        <w:t>et</w:t>
      </w:r>
      <w:r>
        <w:rPr>
          <w:spacing w:val="-4"/>
          <w:sz w:val="24"/>
        </w:rPr>
        <w:t> </w:t>
      </w:r>
      <w:r>
        <w:rPr>
          <w:sz w:val="24"/>
        </w:rPr>
        <w:t>al.</w:t>
      </w:r>
      <w:r>
        <w:rPr>
          <w:spacing w:val="-4"/>
          <w:sz w:val="24"/>
        </w:rPr>
        <w:t> </w:t>
      </w:r>
      <w:r>
        <w:rPr>
          <w:sz w:val="24"/>
        </w:rPr>
        <w:t>(2018).</w:t>
      </w:r>
      <w:r>
        <w:rPr>
          <w:spacing w:val="-4"/>
          <w:sz w:val="24"/>
        </w:rPr>
        <w:t> </w:t>
      </w:r>
      <w:r>
        <w:rPr>
          <w:sz w:val="24"/>
        </w:rPr>
        <w:t>Adaptive</w:t>
      </w:r>
      <w:r>
        <w:rPr>
          <w:spacing w:val="-5"/>
          <w:sz w:val="24"/>
        </w:rPr>
        <w:t> </w:t>
      </w:r>
      <w:r>
        <w:rPr>
          <w:sz w:val="24"/>
        </w:rPr>
        <w:t>Portfolio</w:t>
      </w:r>
      <w:r>
        <w:rPr>
          <w:spacing w:val="-4"/>
          <w:sz w:val="24"/>
        </w:rPr>
        <w:t> </w:t>
      </w:r>
      <w:r>
        <w:rPr>
          <w:sz w:val="24"/>
        </w:rPr>
        <w:t>Asset</w:t>
      </w:r>
      <w:r>
        <w:rPr>
          <w:spacing w:val="-4"/>
          <w:sz w:val="24"/>
        </w:rPr>
        <w:t> </w:t>
      </w:r>
      <w:r>
        <w:rPr>
          <w:sz w:val="24"/>
        </w:rPr>
        <w:t>Allocation</w:t>
      </w:r>
      <w:r>
        <w:rPr>
          <w:spacing w:val="-4"/>
          <w:sz w:val="24"/>
        </w:rPr>
        <w:t> </w:t>
      </w:r>
      <w:r>
        <w:rPr>
          <w:sz w:val="24"/>
        </w:rPr>
        <w:t>Optimization</w:t>
      </w:r>
      <w:r>
        <w:rPr>
          <w:spacing w:val="-4"/>
          <w:sz w:val="24"/>
        </w:rPr>
        <w:t> </w:t>
      </w:r>
      <w:r>
        <w:rPr>
          <w:sz w:val="24"/>
        </w:rPr>
        <w:t>with</w:t>
      </w:r>
      <w:r>
        <w:rPr>
          <w:spacing w:val="-4"/>
          <w:sz w:val="24"/>
        </w:rPr>
        <w:t> </w:t>
      </w:r>
      <w:r>
        <w:rPr>
          <w:sz w:val="24"/>
        </w:rPr>
        <w:t>Deep Learning. International Journal On Advances in Intelligent Systems, 11(1 and 2), 25–34.</w:t>
      </w:r>
    </w:p>
    <w:p>
      <w:pPr>
        <w:pStyle w:val="ListParagraph"/>
        <w:spacing w:after="0" w:line="240" w:lineRule="auto"/>
        <w:jc w:val="left"/>
        <w:rPr>
          <w:sz w:val="24"/>
        </w:rPr>
        <w:sectPr>
          <w:pgSz w:w="11910" w:h="16840"/>
          <w:pgMar w:top="1360" w:bottom="280" w:left="425" w:right="283"/>
        </w:sectPr>
      </w:pPr>
    </w:p>
    <w:p>
      <w:pPr>
        <w:pStyle w:val="ListParagraph"/>
        <w:numPr>
          <w:ilvl w:val="0"/>
          <w:numId w:val="1"/>
        </w:numPr>
        <w:tabs>
          <w:tab w:pos="1375" w:val="left" w:leader="none"/>
        </w:tabs>
        <w:spacing w:line="240" w:lineRule="auto" w:before="77" w:after="0"/>
        <w:ind w:left="1015" w:right="1311" w:firstLine="0"/>
        <w:jc w:val="left"/>
        <w:rPr>
          <w:sz w:val="24"/>
        </w:rPr>
      </w:pPr>
      <w:r>
        <w:rPr>
          <w:sz w:val="24"/>
        </w:rPr>
        <w:t>Pardo.</w:t>
      </w:r>
      <w:r>
        <w:rPr>
          <w:spacing w:val="-4"/>
          <w:sz w:val="24"/>
        </w:rPr>
        <w:t> </w:t>
      </w:r>
      <w:r>
        <w:rPr>
          <w:sz w:val="24"/>
        </w:rPr>
        <w:t>(2008).</w:t>
      </w:r>
      <w:r>
        <w:rPr>
          <w:spacing w:val="-4"/>
          <w:sz w:val="24"/>
        </w:rPr>
        <w:t> </w:t>
      </w:r>
      <w:r>
        <w:rPr>
          <w:sz w:val="24"/>
        </w:rPr>
        <w:t>The</w:t>
      </w:r>
      <w:r>
        <w:rPr>
          <w:spacing w:val="-4"/>
          <w:sz w:val="24"/>
        </w:rPr>
        <w:t> </w:t>
      </w:r>
      <w:r>
        <w:rPr>
          <w:sz w:val="24"/>
        </w:rPr>
        <w:t>Evaluation</w:t>
      </w:r>
      <w:r>
        <w:rPr>
          <w:spacing w:val="-4"/>
          <w:sz w:val="24"/>
        </w:rPr>
        <w:t> </w:t>
      </w:r>
      <w:r>
        <w:rPr>
          <w:sz w:val="24"/>
        </w:rPr>
        <w:t>and</w:t>
      </w:r>
      <w:r>
        <w:rPr>
          <w:spacing w:val="-4"/>
          <w:sz w:val="24"/>
        </w:rPr>
        <w:t> </w:t>
      </w:r>
      <w:r>
        <w:rPr>
          <w:sz w:val="24"/>
        </w:rPr>
        <w:t>Optimization</w:t>
      </w:r>
      <w:r>
        <w:rPr>
          <w:spacing w:val="-4"/>
          <w:sz w:val="24"/>
        </w:rPr>
        <w:t> </w:t>
      </w:r>
      <w:r>
        <w:rPr>
          <w:sz w:val="24"/>
        </w:rPr>
        <w:t>of</w:t>
      </w:r>
      <w:r>
        <w:rPr>
          <w:spacing w:val="-5"/>
          <w:sz w:val="24"/>
        </w:rPr>
        <w:t> </w:t>
      </w:r>
      <w:r>
        <w:rPr>
          <w:sz w:val="24"/>
        </w:rPr>
        <w:t>Trading</w:t>
      </w:r>
      <w:r>
        <w:rPr>
          <w:spacing w:val="-4"/>
          <w:sz w:val="24"/>
        </w:rPr>
        <w:t> </w:t>
      </w:r>
      <w:r>
        <w:rPr>
          <w:sz w:val="24"/>
        </w:rPr>
        <w:t>Strategies,</w:t>
      </w:r>
      <w:r>
        <w:rPr>
          <w:spacing w:val="-2"/>
          <w:sz w:val="24"/>
        </w:rPr>
        <w:t> </w:t>
      </w:r>
      <w:r>
        <w:rPr>
          <w:sz w:val="24"/>
        </w:rPr>
        <w:t>2nd</w:t>
      </w:r>
      <w:r>
        <w:rPr>
          <w:spacing w:val="-4"/>
          <w:sz w:val="24"/>
        </w:rPr>
        <w:t> </w:t>
      </w:r>
      <w:r>
        <w:rPr>
          <w:sz w:val="24"/>
        </w:rPr>
        <w:t>edition.</w:t>
      </w:r>
      <w:r>
        <w:rPr>
          <w:spacing w:val="-4"/>
          <w:sz w:val="24"/>
        </w:rPr>
        <w:t> </w:t>
      </w:r>
      <w:r>
        <w:rPr>
          <w:sz w:val="24"/>
        </w:rPr>
        <w:t>John Wiley &amp; Sons, Inc.</w:t>
      </w:r>
    </w:p>
    <w:p>
      <w:pPr>
        <w:pStyle w:val="BodyText"/>
      </w:pPr>
    </w:p>
    <w:p>
      <w:pPr>
        <w:pStyle w:val="ListParagraph"/>
        <w:numPr>
          <w:ilvl w:val="0"/>
          <w:numId w:val="1"/>
        </w:numPr>
        <w:tabs>
          <w:tab w:pos="1375" w:val="left" w:leader="none"/>
        </w:tabs>
        <w:spacing w:line="240" w:lineRule="auto" w:before="0" w:after="0"/>
        <w:ind w:left="1015" w:right="1431" w:firstLine="0"/>
        <w:jc w:val="left"/>
        <w:rPr>
          <w:sz w:val="24"/>
        </w:rPr>
      </w:pPr>
      <w:r>
        <w:rPr>
          <w:sz w:val="24"/>
        </w:rPr>
        <w:t>Ren,</w:t>
      </w:r>
      <w:r>
        <w:rPr>
          <w:spacing w:val="-4"/>
          <w:sz w:val="24"/>
        </w:rPr>
        <w:t> </w:t>
      </w:r>
      <w:r>
        <w:rPr>
          <w:sz w:val="24"/>
        </w:rPr>
        <w:t>Z.</w:t>
      </w:r>
      <w:r>
        <w:rPr>
          <w:spacing w:val="-4"/>
          <w:sz w:val="24"/>
        </w:rPr>
        <w:t> </w:t>
      </w:r>
      <w:r>
        <w:rPr>
          <w:sz w:val="24"/>
        </w:rPr>
        <w:t>(2005).</w:t>
      </w:r>
      <w:r>
        <w:rPr>
          <w:spacing w:val="-4"/>
          <w:sz w:val="24"/>
        </w:rPr>
        <w:t> </w:t>
      </w:r>
      <w:r>
        <w:rPr>
          <w:sz w:val="24"/>
        </w:rPr>
        <w:t>Portfolio</w:t>
      </w:r>
      <w:r>
        <w:rPr>
          <w:spacing w:val="-4"/>
          <w:sz w:val="24"/>
        </w:rPr>
        <w:t> </w:t>
      </w:r>
      <w:r>
        <w:rPr>
          <w:sz w:val="24"/>
        </w:rPr>
        <w:t>construction</w:t>
      </w:r>
      <w:r>
        <w:rPr>
          <w:spacing w:val="-4"/>
          <w:sz w:val="24"/>
        </w:rPr>
        <w:t> </w:t>
      </w:r>
      <w:r>
        <w:rPr>
          <w:sz w:val="24"/>
        </w:rPr>
        <w:t>using</w:t>
      </w:r>
      <w:r>
        <w:rPr>
          <w:spacing w:val="-4"/>
          <w:sz w:val="24"/>
        </w:rPr>
        <w:t> </w:t>
      </w:r>
      <w:r>
        <w:rPr>
          <w:sz w:val="24"/>
        </w:rPr>
        <w:t>clustering</w:t>
      </w:r>
      <w:r>
        <w:rPr>
          <w:spacing w:val="-4"/>
          <w:sz w:val="24"/>
        </w:rPr>
        <w:t> </w:t>
      </w:r>
      <w:r>
        <w:rPr>
          <w:sz w:val="24"/>
        </w:rPr>
        <w:t>methods.</w:t>
      </w:r>
      <w:r>
        <w:rPr>
          <w:spacing w:val="-4"/>
          <w:sz w:val="24"/>
        </w:rPr>
        <w:t> </w:t>
      </w:r>
      <w:r>
        <w:rPr>
          <w:sz w:val="24"/>
        </w:rPr>
        <w:t>Worcester</w:t>
      </w:r>
      <w:r>
        <w:rPr>
          <w:spacing w:val="-5"/>
          <w:sz w:val="24"/>
        </w:rPr>
        <w:t> </w:t>
      </w:r>
      <w:r>
        <w:rPr>
          <w:sz w:val="24"/>
        </w:rPr>
        <w:t>Polytechnic </w:t>
      </w:r>
      <w:r>
        <w:rPr>
          <w:spacing w:val="-2"/>
          <w:sz w:val="24"/>
        </w:rPr>
        <w:t>Insitute.</w:t>
      </w:r>
    </w:p>
    <w:p>
      <w:pPr>
        <w:pStyle w:val="BodyText"/>
      </w:pPr>
    </w:p>
    <w:p>
      <w:pPr>
        <w:pStyle w:val="ListParagraph"/>
        <w:numPr>
          <w:ilvl w:val="0"/>
          <w:numId w:val="1"/>
        </w:numPr>
        <w:tabs>
          <w:tab w:pos="1375" w:val="left" w:leader="none"/>
        </w:tabs>
        <w:spacing w:line="240" w:lineRule="auto" w:before="0" w:after="0"/>
        <w:ind w:left="1375" w:right="0" w:hanging="360"/>
        <w:jc w:val="left"/>
        <w:rPr>
          <w:sz w:val="24"/>
        </w:rPr>
      </w:pPr>
      <w:r>
        <w:rPr>
          <w:sz w:val="24"/>
        </w:rPr>
        <w:t>Scott-Ram,</w:t>
      </w:r>
      <w:r>
        <w:rPr>
          <w:spacing w:val="-1"/>
          <w:sz w:val="24"/>
        </w:rPr>
        <w:t> </w:t>
      </w:r>
      <w:r>
        <w:rPr>
          <w:sz w:val="24"/>
        </w:rPr>
        <w:t>R. (2000).</w:t>
      </w:r>
      <w:r>
        <w:rPr>
          <w:spacing w:val="-1"/>
          <w:sz w:val="24"/>
        </w:rPr>
        <w:t> </w:t>
      </w:r>
      <w:r>
        <w:rPr>
          <w:sz w:val="24"/>
        </w:rPr>
        <w:t>Managing portfolio</w:t>
      </w:r>
      <w:r>
        <w:rPr>
          <w:spacing w:val="-1"/>
          <w:sz w:val="24"/>
        </w:rPr>
        <w:t> </w:t>
      </w:r>
      <w:r>
        <w:rPr>
          <w:sz w:val="24"/>
        </w:rPr>
        <w:t>risk for</w:t>
      </w:r>
      <w:r>
        <w:rPr>
          <w:spacing w:val="-2"/>
          <w:sz w:val="24"/>
        </w:rPr>
        <w:t> </w:t>
      </w:r>
      <w:r>
        <w:rPr>
          <w:sz w:val="24"/>
        </w:rPr>
        <w:t>periods of</w:t>
      </w:r>
      <w:r>
        <w:rPr>
          <w:spacing w:val="-2"/>
          <w:sz w:val="24"/>
        </w:rPr>
        <w:t> </w:t>
      </w:r>
      <w:r>
        <w:rPr>
          <w:sz w:val="24"/>
        </w:rPr>
        <w:t>stress. World</w:t>
      </w:r>
      <w:r>
        <w:rPr>
          <w:spacing w:val="-1"/>
          <w:sz w:val="24"/>
        </w:rPr>
        <w:t> </w:t>
      </w:r>
      <w:r>
        <w:rPr>
          <w:sz w:val="24"/>
        </w:rPr>
        <w:t>Gold </w:t>
      </w:r>
      <w:r>
        <w:rPr>
          <w:spacing w:val="-2"/>
          <w:sz w:val="24"/>
        </w:rPr>
        <w:t>Council.</w:t>
      </w:r>
    </w:p>
    <w:p>
      <w:pPr>
        <w:pStyle w:val="BodyText"/>
      </w:pPr>
    </w:p>
    <w:p>
      <w:pPr>
        <w:pStyle w:val="ListParagraph"/>
        <w:numPr>
          <w:ilvl w:val="0"/>
          <w:numId w:val="1"/>
        </w:numPr>
        <w:tabs>
          <w:tab w:pos="1375" w:val="left" w:leader="none"/>
        </w:tabs>
        <w:spacing w:line="240" w:lineRule="auto" w:before="0" w:after="0"/>
        <w:ind w:left="1375" w:right="0" w:hanging="360"/>
        <w:jc w:val="left"/>
        <w:rPr>
          <w:sz w:val="24"/>
        </w:rPr>
      </w:pPr>
      <w:r>
        <w:rPr>
          <w:sz w:val="24"/>
        </w:rPr>
        <w:t>Stein,</w:t>
      </w:r>
      <w:r>
        <w:rPr>
          <w:spacing w:val="-4"/>
          <w:sz w:val="24"/>
        </w:rPr>
        <w:t> </w:t>
      </w:r>
      <w:r>
        <w:rPr>
          <w:sz w:val="24"/>
        </w:rPr>
        <w:t>D.</w:t>
      </w:r>
      <w:r>
        <w:rPr>
          <w:spacing w:val="-1"/>
          <w:sz w:val="24"/>
        </w:rPr>
        <w:t> </w:t>
      </w:r>
      <w:r>
        <w:rPr>
          <w:sz w:val="24"/>
        </w:rPr>
        <w:t>M.,</w:t>
      </w:r>
      <w:r>
        <w:rPr>
          <w:spacing w:val="-1"/>
          <w:sz w:val="24"/>
        </w:rPr>
        <w:t> </w:t>
      </w:r>
      <w:r>
        <w:rPr>
          <w:sz w:val="24"/>
        </w:rPr>
        <w:t>&amp;</w:t>
      </w:r>
      <w:r>
        <w:rPr>
          <w:spacing w:val="-1"/>
          <w:sz w:val="24"/>
        </w:rPr>
        <w:t> </w:t>
      </w:r>
      <w:r>
        <w:rPr>
          <w:sz w:val="24"/>
        </w:rPr>
        <w:t>Garland,</w:t>
      </w:r>
      <w:r>
        <w:rPr>
          <w:spacing w:val="-2"/>
          <w:sz w:val="24"/>
        </w:rPr>
        <w:t> </w:t>
      </w:r>
      <w:r>
        <w:rPr>
          <w:sz w:val="24"/>
        </w:rPr>
        <w:t>J.</w:t>
      </w:r>
      <w:r>
        <w:rPr>
          <w:spacing w:val="-1"/>
          <w:sz w:val="24"/>
        </w:rPr>
        <w:t> </w:t>
      </w:r>
      <w:r>
        <w:rPr>
          <w:sz w:val="24"/>
        </w:rPr>
        <w:t>P.</w:t>
      </w:r>
      <w:r>
        <w:rPr>
          <w:spacing w:val="-1"/>
          <w:sz w:val="24"/>
        </w:rPr>
        <w:t> </w:t>
      </w:r>
      <w:r>
        <w:rPr>
          <w:sz w:val="24"/>
        </w:rPr>
        <w:t>(2008).</w:t>
      </w:r>
      <w:r>
        <w:rPr>
          <w:spacing w:val="-1"/>
          <w:sz w:val="24"/>
        </w:rPr>
        <w:t> </w:t>
      </w:r>
      <w:r>
        <w:rPr>
          <w:sz w:val="24"/>
        </w:rPr>
        <w:t>Investment</w:t>
      </w:r>
      <w:r>
        <w:rPr>
          <w:spacing w:val="-2"/>
          <w:sz w:val="24"/>
        </w:rPr>
        <w:t> </w:t>
      </w:r>
      <w:r>
        <w:rPr>
          <w:sz w:val="24"/>
        </w:rPr>
        <w:t>Management</w:t>
      </w:r>
      <w:r>
        <w:rPr>
          <w:spacing w:val="1"/>
          <w:sz w:val="24"/>
        </w:rPr>
        <w:t> </w:t>
      </w:r>
      <w:r>
        <w:rPr>
          <w:sz w:val="24"/>
        </w:rPr>
        <w:t>for</w:t>
      </w:r>
      <w:r>
        <w:rPr>
          <w:spacing w:val="-3"/>
          <w:sz w:val="24"/>
        </w:rPr>
        <w:t> </w:t>
      </w:r>
      <w:r>
        <w:rPr>
          <w:sz w:val="24"/>
        </w:rPr>
        <w:t>Taxable Investors.</w:t>
      </w:r>
      <w:r>
        <w:rPr>
          <w:spacing w:val="1"/>
          <w:sz w:val="24"/>
        </w:rPr>
        <w:t> </w:t>
      </w:r>
      <w:r>
        <w:rPr>
          <w:spacing w:val="-5"/>
          <w:sz w:val="24"/>
        </w:rPr>
        <w:t>In</w:t>
      </w:r>
    </w:p>
    <w:p>
      <w:pPr>
        <w:pStyle w:val="BodyText"/>
        <w:ind w:left="1015"/>
      </w:pPr>
      <w:r>
        <w:rPr/>
        <w:t>F.J.</w:t>
      </w:r>
      <w:r>
        <w:rPr>
          <w:spacing w:val="-1"/>
        </w:rPr>
        <w:t> </w:t>
      </w:r>
      <w:r>
        <w:rPr/>
        <w:t>Fabozzi.</w:t>
      </w:r>
      <w:r>
        <w:rPr>
          <w:spacing w:val="-1"/>
        </w:rPr>
        <w:t> </w:t>
      </w:r>
      <w:r>
        <w:rPr/>
        <w:t>Handbook of finance</w:t>
      </w:r>
      <w:r>
        <w:rPr>
          <w:spacing w:val="-2"/>
        </w:rPr>
        <w:t> </w:t>
      </w:r>
      <w:r>
        <w:rPr/>
        <w:t>(Vol. II). John</w:t>
      </w:r>
      <w:r>
        <w:rPr>
          <w:spacing w:val="-1"/>
        </w:rPr>
        <w:t> </w:t>
      </w:r>
      <w:r>
        <w:rPr/>
        <w:t>Wiley</w:t>
      </w:r>
      <w:r>
        <w:rPr>
          <w:spacing w:val="-1"/>
        </w:rPr>
        <w:t> </w:t>
      </w:r>
      <w:r>
        <w:rPr/>
        <w:t>&amp; Sons</w:t>
      </w:r>
      <w:r>
        <w:rPr>
          <w:spacing w:val="-1"/>
        </w:rPr>
        <w:t> </w:t>
      </w:r>
      <w:r>
        <w:rPr>
          <w:spacing w:val="-4"/>
        </w:rPr>
        <w:t>Inc.</w:t>
      </w:r>
    </w:p>
    <w:p>
      <w:pPr>
        <w:pStyle w:val="BodyText"/>
      </w:pPr>
    </w:p>
    <w:p>
      <w:pPr>
        <w:pStyle w:val="ListParagraph"/>
        <w:numPr>
          <w:ilvl w:val="0"/>
          <w:numId w:val="1"/>
        </w:numPr>
        <w:tabs>
          <w:tab w:pos="1375" w:val="left" w:leader="none"/>
        </w:tabs>
        <w:spacing w:line="240" w:lineRule="auto" w:before="0" w:after="0"/>
        <w:ind w:left="1015" w:right="1504" w:firstLine="0"/>
        <w:jc w:val="left"/>
        <w:rPr>
          <w:sz w:val="24"/>
        </w:rPr>
      </w:pPr>
      <w:r>
        <w:rPr>
          <w:sz w:val="24"/>
        </w:rPr>
        <w:t>Tatsat, H., Puri, S., &amp; Lookabaugh, B. (2020). Machine Learning and Data Science Blueprints</w:t>
      </w:r>
      <w:r>
        <w:rPr>
          <w:spacing w:val="-3"/>
          <w:sz w:val="24"/>
        </w:rPr>
        <w:t> </w:t>
      </w:r>
      <w:r>
        <w:rPr>
          <w:sz w:val="24"/>
        </w:rPr>
        <w:t>for</w:t>
      </w:r>
      <w:r>
        <w:rPr>
          <w:spacing w:val="-5"/>
          <w:sz w:val="24"/>
        </w:rPr>
        <w:t> </w:t>
      </w:r>
      <w:r>
        <w:rPr>
          <w:sz w:val="24"/>
        </w:rPr>
        <w:t>Finance</w:t>
      </w:r>
      <w:r>
        <w:rPr>
          <w:spacing w:val="-4"/>
          <w:sz w:val="24"/>
        </w:rPr>
        <w:t> </w:t>
      </w:r>
      <w:r>
        <w:rPr>
          <w:sz w:val="24"/>
        </w:rPr>
        <w:t>From</w:t>
      </w:r>
      <w:r>
        <w:rPr>
          <w:spacing w:val="-3"/>
          <w:sz w:val="24"/>
        </w:rPr>
        <w:t> </w:t>
      </w:r>
      <w:r>
        <w:rPr>
          <w:sz w:val="24"/>
        </w:rPr>
        <w:t>Building</w:t>
      </w:r>
      <w:r>
        <w:rPr>
          <w:spacing w:val="-3"/>
          <w:sz w:val="24"/>
        </w:rPr>
        <w:t> </w:t>
      </w:r>
      <w:r>
        <w:rPr>
          <w:sz w:val="24"/>
        </w:rPr>
        <w:t>Trading</w:t>
      </w:r>
      <w:r>
        <w:rPr>
          <w:spacing w:val="-3"/>
          <w:sz w:val="24"/>
        </w:rPr>
        <w:t> </w:t>
      </w:r>
      <w:r>
        <w:rPr>
          <w:sz w:val="24"/>
        </w:rPr>
        <w:t>Strategies</w:t>
      </w:r>
      <w:r>
        <w:rPr>
          <w:spacing w:val="-3"/>
          <w:sz w:val="24"/>
        </w:rPr>
        <w:t> </w:t>
      </w:r>
      <w:r>
        <w:rPr>
          <w:sz w:val="24"/>
        </w:rPr>
        <w:t>to</w:t>
      </w:r>
      <w:r>
        <w:rPr>
          <w:spacing w:val="-3"/>
          <w:sz w:val="24"/>
        </w:rPr>
        <w:t> </w:t>
      </w:r>
      <w:r>
        <w:rPr>
          <w:sz w:val="24"/>
        </w:rPr>
        <w:t>Robo-Advisors</w:t>
      </w:r>
      <w:r>
        <w:rPr>
          <w:spacing w:val="-2"/>
          <w:sz w:val="24"/>
        </w:rPr>
        <w:t> </w:t>
      </w:r>
      <w:r>
        <w:rPr>
          <w:sz w:val="24"/>
        </w:rPr>
        <w:t>Using</w:t>
      </w:r>
      <w:r>
        <w:rPr>
          <w:spacing w:val="-3"/>
          <w:sz w:val="24"/>
        </w:rPr>
        <w:t> </w:t>
      </w:r>
      <w:r>
        <w:rPr>
          <w:sz w:val="24"/>
        </w:rPr>
        <w:t>Python. O’Reilly Media, Inc, California, United States.</w:t>
      </w:r>
    </w:p>
    <w:p>
      <w:pPr>
        <w:pStyle w:val="BodyText"/>
        <w:spacing w:before="1"/>
      </w:pPr>
    </w:p>
    <w:p>
      <w:pPr>
        <w:pStyle w:val="ListParagraph"/>
        <w:numPr>
          <w:ilvl w:val="0"/>
          <w:numId w:val="1"/>
        </w:numPr>
        <w:tabs>
          <w:tab w:pos="1375" w:val="left" w:leader="none"/>
        </w:tabs>
        <w:spacing w:line="240" w:lineRule="auto" w:before="0" w:after="0"/>
        <w:ind w:left="1015" w:right="1303" w:firstLine="0"/>
        <w:jc w:val="left"/>
        <w:rPr>
          <w:sz w:val="24"/>
        </w:rPr>
      </w:pPr>
      <w:r>
        <w:rPr>
          <w:sz w:val="24"/>
        </w:rPr>
        <w:t>Thuraisingham,</w:t>
      </w:r>
      <w:r>
        <w:rPr>
          <w:spacing w:val="-3"/>
          <w:sz w:val="24"/>
        </w:rPr>
        <w:t> </w:t>
      </w:r>
      <w:r>
        <w:rPr>
          <w:sz w:val="24"/>
        </w:rPr>
        <w:t>B.</w:t>
      </w:r>
      <w:r>
        <w:rPr>
          <w:spacing w:val="-3"/>
          <w:sz w:val="24"/>
        </w:rPr>
        <w:t> </w:t>
      </w:r>
      <w:r>
        <w:rPr>
          <w:sz w:val="24"/>
        </w:rPr>
        <w:t>M.,</w:t>
      </w:r>
      <w:r>
        <w:rPr>
          <w:spacing w:val="-3"/>
          <w:sz w:val="24"/>
        </w:rPr>
        <w:t> </w:t>
      </w:r>
      <w:r>
        <w:rPr>
          <w:sz w:val="24"/>
        </w:rPr>
        <w:t>&amp;</w:t>
      </w:r>
      <w:r>
        <w:rPr>
          <w:spacing w:val="-3"/>
          <w:sz w:val="24"/>
        </w:rPr>
        <w:t> </w:t>
      </w:r>
      <w:r>
        <w:rPr>
          <w:sz w:val="24"/>
        </w:rPr>
        <w:t>Ceruti,</w:t>
      </w:r>
      <w:r>
        <w:rPr>
          <w:spacing w:val="-3"/>
          <w:sz w:val="24"/>
        </w:rPr>
        <w:t> </w:t>
      </w:r>
      <w:r>
        <w:rPr>
          <w:sz w:val="24"/>
        </w:rPr>
        <w:t>M.</w:t>
      </w:r>
      <w:r>
        <w:rPr>
          <w:spacing w:val="-3"/>
          <w:sz w:val="24"/>
        </w:rPr>
        <w:t> </w:t>
      </w:r>
      <w:r>
        <w:rPr>
          <w:sz w:val="24"/>
        </w:rPr>
        <w:t>G.</w:t>
      </w:r>
      <w:r>
        <w:rPr>
          <w:spacing w:val="-3"/>
          <w:sz w:val="24"/>
        </w:rPr>
        <w:t> </w:t>
      </w:r>
      <w:r>
        <w:rPr>
          <w:sz w:val="24"/>
        </w:rPr>
        <w:t>(2000).</w:t>
      </w:r>
      <w:r>
        <w:rPr>
          <w:spacing w:val="-3"/>
          <w:sz w:val="24"/>
        </w:rPr>
        <w:t> </w:t>
      </w:r>
      <w:r>
        <w:rPr>
          <w:sz w:val="24"/>
        </w:rPr>
        <w:t>Understanding</w:t>
      </w:r>
      <w:r>
        <w:rPr>
          <w:spacing w:val="-3"/>
          <w:sz w:val="24"/>
        </w:rPr>
        <w:t> </w:t>
      </w:r>
      <w:r>
        <w:rPr>
          <w:sz w:val="24"/>
        </w:rPr>
        <w:t>data</w:t>
      </w:r>
      <w:r>
        <w:rPr>
          <w:spacing w:val="-4"/>
          <w:sz w:val="24"/>
        </w:rPr>
        <w:t> </w:t>
      </w:r>
      <w:r>
        <w:rPr>
          <w:sz w:val="24"/>
        </w:rPr>
        <w:t>mining</w:t>
      </w:r>
      <w:r>
        <w:rPr>
          <w:spacing w:val="-3"/>
          <w:sz w:val="24"/>
        </w:rPr>
        <w:t> </w:t>
      </w:r>
      <w:r>
        <w:rPr>
          <w:sz w:val="24"/>
        </w:rPr>
        <w:t>and</w:t>
      </w:r>
      <w:r>
        <w:rPr>
          <w:spacing w:val="-3"/>
          <w:sz w:val="24"/>
        </w:rPr>
        <w:t> </w:t>
      </w:r>
      <w:r>
        <w:rPr>
          <w:sz w:val="24"/>
        </w:rPr>
        <w:t>applying it to command, control, communications and intelligence environments. Proceedings 24th Annual International Computer Software and Applications Conference, Taipei, Taiwan, pp. </w:t>
      </w:r>
      <w:r>
        <w:rPr>
          <w:spacing w:val="-2"/>
          <w:sz w:val="24"/>
        </w:rPr>
        <w:t>171–175.</w:t>
      </w:r>
    </w:p>
    <w:p>
      <w:pPr>
        <w:pStyle w:val="BodyText"/>
      </w:pPr>
    </w:p>
    <w:p>
      <w:pPr>
        <w:pStyle w:val="ListParagraph"/>
        <w:numPr>
          <w:ilvl w:val="0"/>
          <w:numId w:val="1"/>
        </w:numPr>
        <w:tabs>
          <w:tab w:pos="1375" w:val="left" w:leader="none"/>
        </w:tabs>
        <w:spacing w:line="240" w:lineRule="auto" w:before="0" w:after="0"/>
        <w:ind w:left="1015" w:right="1728" w:firstLine="0"/>
        <w:jc w:val="left"/>
        <w:rPr>
          <w:sz w:val="24"/>
        </w:rPr>
      </w:pPr>
      <w:r>
        <w:rPr>
          <w:sz w:val="24"/>
        </w:rPr>
        <w:t>Uysal,</w:t>
      </w:r>
      <w:r>
        <w:rPr>
          <w:spacing w:val="-4"/>
          <w:sz w:val="24"/>
        </w:rPr>
        <w:t> </w:t>
      </w:r>
      <w:r>
        <w:rPr>
          <w:sz w:val="24"/>
        </w:rPr>
        <w:t>E.,</w:t>
      </w:r>
      <w:r>
        <w:rPr>
          <w:spacing w:val="-4"/>
          <w:sz w:val="24"/>
        </w:rPr>
        <w:t> </w:t>
      </w:r>
      <w:r>
        <w:rPr>
          <w:sz w:val="24"/>
        </w:rPr>
        <w:t>Trainer,</w:t>
      </w:r>
      <w:r>
        <w:rPr>
          <w:spacing w:val="-4"/>
          <w:sz w:val="24"/>
        </w:rPr>
        <w:t> </w:t>
      </w:r>
      <w:r>
        <w:rPr>
          <w:sz w:val="24"/>
        </w:rPr>
        <w:t>F.</w:t>
      </w:r>
      <w:r>
        <w:rPr>
          <w:spacing w:val="-2"/>
          <w:sz w:val="24"/>
        </w:rPr>
        <w:t> </w:t>
      </w:r>
      <w:r>
        <w:rPr>
          <w:sz w:val="24"/>
        </w:rPr>
        <w:t>H.,</w:t>
      </w:r>
      <w:r>
        <w:rPr>
          <w:spacing w:val="-4"/>
          <w:sz w:val="24"/>
        </w:rPr>
        <w:t> </w:t>
      </w:r>
      <w:r>
        <w:rPr>
          <w:sz w:val="24"/>
        </w:rPr>
        <w:t>&amp;</w:t>
      </w:r>
      <w:r>
        <w:rPr>
          <w:spacing w:val="-4"/>
          <w:sz w:val="24"/>
        </w:rPr>
        <w:t> </w:t>
      </w:r>
      <w:r>
        <w:rPr>
          <w:sz w:val="24"/>
        </w:rPr>
        <w:t>Reiss,</w:t>
      </w:r>
      <w:r>
        <w:rPr>
          <w:spacing w:val="-4"/>
          <w:sz w:val="24"/>
        </w:rPr>
        <w:t> </w:t>
      </w:r>
      <w:r>
        <w:rPr>
          <w:sz w:val="24"/>
        </w:rPr>
        <w:t>J.</w:t>
      </w:r>
      <w:r>
        <w:rPr>
          <w:spacing w:val="-4"/>
          <w:sz w:val="24"/>
        </w:rPr>
        <w:t> </w:t>
      </w:r>
      <w:r>
        <w:rPr>
          <w:sz w:val="24"/>
        </w:rPr>
        <w:t>(2001).</w:t>
      </w:r>
      <w:r>
        <w:rPr>
          <w:spacing w:val="-4"/>
          <w:sz w:val="24"/>
        </w:rPr>
        <w:t> </w:t>
      </w:r>
      <w:r>
        <w:rPr>
          <w:sz w:val="24"/>
        </w:rPr>
        <w:t>Revisiting</w:t>
      </w:r>
      <w:r>
        <w:rPr>
          <w:spacing w:val="-4"/>
          <w:sz w:val="24"/>
        </w:rPr>
        <w:t> </w:t>
      </w:r>
      <w:r>
        <w:rPr>
          <w:sz w:val="24"/>
        </w:rPr>
        <w:t>mean-variance</w:t>
      </w:r>
      <w:r>
        <w:rPr>
          <w:spacing w:val="-3"/>
          <w:sz w:val="24"/>
        </w:rPr>
        <w:t> </w:t>
      </w:r>
      <w:r>
        <w:rPr>
          <w:sz w:val="24"/>
        </w:rPr>
        <w:t>optimization. Journal of Portfolio Management, 27(4), 71-82.</w:t>
      </w:r>
    </w:p>
    <w:p>
      <w:pPr>
        <w:pStyle w:val="BodyText"/>
      </w:pPr>
    </w:p>
    <w:p>
      <w:pPr>
        <w:pStyle w:val="ListParagraph"/>
        <w:numPr>
          <w:ilvl w:val="0"/>
          <w:numId w:val="1"/>
        </w:numPr>
        <w:tabs>
          <w:tab w:pos="1375" w:val="left" w:leader="none"/>
        </w:tabs>
        <w:spacing w:line="240" w:lineRule="auto" w:before="0" w:after="0"/>
        <w:ind w:left="1015" w:right="1333" w:firstLine="0"/>
        <w:jc w:val="left"/>
        <w:rPr>
          <w:sz w:val="24"/>
        </w:rPr>
      </w:pPr>
      <w:r>
        <w:rPr>
          <w:sz w:val="24"/>
        </w:rPr>
        <w:t>Wang, M. (2022, December). A Portfolio Strategy Based on XGBoost Regression and Monte</w:t>
      </w:r>
      <w:r>
        <w:rPr>
          <w:spacing w:val="-5"/>
          <w:sz w:val="24"/>
        </w:rPr>
        <w:t> </w:t>
      </w:r>
      <w:r>
        <w:rPr>
          <w:sz w:val="24"/>
        </w:rPr>
        <w:t>Carlo</w:t>
      </w:r>
      <w:r>
        <w:rPr>
          <w:spacing w:val="-4"/>
          <w:sz w:val="24"/>
        </w:rPr>
        <w:t> </w:t>
      </w:r>
      <w:r>
        <w:rPr>
          <w:sz w:val="24"/>
        </w:rPr>
        <w:t>Method.</w:t>
      </w:r>
      <w:r>
        <w:rPr>
          <w:spacing w:val="-2"/>
          <w:sz w:val="24"/>
        </w:rPr>
        <w:t> </w:t>
      </w:r>
      <w:r>
        <w:rPr>
          <w:sz w:val="24"/>
        </w:rPr>
        <w:t>In</w:t>
      </w:r>
      <w:r>
        <w:rPr>
          <w:spacing w:val="-2"/>
          <w:sz w:val="24"/>
        </w:rPr>
        <w:t> </w:t>
      </w:r>
      <w:r>
        <w:rPr>
          <w:sz w:val="24"/>
        </w:rPr>
        <w:t>2022</w:t>
      </w:r>
      <w:r>
        <w:rPr>
          <w:spacing w:val="-4"/>
          <w:sz w:val="24"/>
        </w:rPr>
        <w:t> </w:t>
      </w:r>
      <w:r>
        <w:rPr>
          <w:sz w:val="24"/>
        </w:rPr>
        <w:t>2nd</w:t>
      </w:r>
      <w:r>
        <w:rPr>
          <w:spacing w:val="-4"/>
          <w:sz w:val="24"/>
        </w:rPr>
        <w:t> </w:t>
      </w:r>
      <w:r>
        <w:rPr>
          <w:sz w:val="24"/>
        </w:rPr>
        <w:t>International</w:t>
      </w:r>
      <w:r>
        <w:rPr>
          <w:spacing w:val="-4"/>
          <w:sz w:val="24"/>
        </w:rPr>
        <w:t> </w:t>
      </w:r>
      <w:r>
        <w:rPr>
          <w:sz w:val="24"/>
        </w:rPr>
        <w:t>Conference</w:t>
      </w:r>
      <w:r>
        <w:rPr>
          <w:spacing w:val="-5"/>
          <w:sz w:val="24"/>
        </w:rPr>
        <w:t> </w:t>
      </w:r>
      <w:r>
        <w:rPr>
          <w:sz w:val="24"/>
        </w:rPr>
        <w:t>on</w:t>
      </w:r>
      <w:r>
        <w:rPr>
          <w:spacing w:val="-4"/>
          <w:sz w:val="24"/>
        </w:rPr>
        <w:t> </w:t>
      </w:r>
      <w:r>
        <w:rPr>
          <w:sz w:val="24"/>
        </w:rPr>
        <w:t>Economic</w:t>
      </w:r>
      <w:r>
        <w:rPr>
          <w:spacing w:val="-3"/>
          <w:sz w:val="24"/>
        </w:rPr>
        <w:t> </w:t>
      </w:r>
      <w:r>
        <w:rPr>
          <w:sz w:val="24"/>
        </w:rPr>
        <w:t>Development</w:t>
      </w:r>
      <w:r>
        <w:rPr>
          <w:spacing w:val="-4"/>
          <w:sz w:val="24"/>
        </w:rPr>
        <w:t> </w:t>
      </w:r>
      <w:r>
        <w:rPr>
          <w:sz w:val="24"/>
        </w:rPr>
        <w:t>and Business Culture (ICEDBC 2022) (pp. 896-902). Atlantis Press.</w:t>
      </w:r>
    </w:p>
    <w:sectPr>
      <w:pgSz w:w="11910" w:h="16840"/>
      <w:pgMar w:top="1620" w:bottom="280" w:left="425"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Math">
    <w:altName w:val="Cambria Math"/>
    <w:charset w:val="1"/>
    <w:family w:val="roman"/>
    <w:pitch w:val="variable"/>
  </w:font>
  <w:font w:name="Courier New">
    <w:altName w:val="Courier New"/>
    <w:charset w:val="1"/>
    <w:family w:val="modern"/>
    <w:pitch w:val="default"/>
  </w:font>
  <w:font w:name="Segoe UI">
    <w:altName w:val="Segoe UI"/>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015"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037" w:hanging="240"/>
      </w:pPr>
      <w:rPr>
        <w:rFonts w:hint="default"/>
        <w:lang w:val="en-US" w:eastAsia="en-US" w:bidi="ar-SA"/>
      </w:rPr>
    </w:lvl>
    <w:lvl w:ilvl="2">
      <w:start w:val="0"/>
      <w:numFmt w:val="bullet"/>
      <w:lvlText w:val="•"/>
      <w:lvlJc w:val="left"/>
      <w:pPr>
        <w:ind w:left="3055" w:hanging="240"/>
      </w:pPr>
      <w:rPr>
        <w:rFonts w:hint="default"/>
        <w:lang w:val="en-US" w:eastAsia="en-US" w:bidi="ar-SA"/>
      </w:rPr>
    </w:lvl>
    <w:lvl w:ilvl="3">
      <w:start w:val="0"/>
      <w:numFmt w:val="bullet"/>
      <w:lvlText w:val="•"/>
      <w:lvlJc w:val="left"/>
      <w:pPr>
        <w:ind w:left="4073" w:hanging="240"/>
      </w:pPr>
      <w:rPr>
        <w:rFonts w:hint="default"/>
        <w:lang w:val="en-US" w:eastAsia="en-US" w:bidi="ar-SA"/>
      </w:rPr>
    </w:lvl>
    <w:lvl w:ilvl="4">
      <w:start w:val="0"/>
      <w:numFmt w:val="bullet"/>
      <w:lvlText w:val="•"/>
      <w:lvlJc w:val="left"/>
      <w:pPr>
        <w:ind w:left="5091" w:hanging="240"/>
      </w:pPr>
      <w:rPr>
        <w:rFonts w:hint="default"/>
        <w:lang w:val="en-US" w:eastAsia="en-US" w:bidi="ar-SA"/>
      </w:rPr>
    </w:lvl>
    <w:lvl w:ilvl="5">
      <w:start w:val="0"/>
      <w:numFmt w:val="bullet"/>
      <w:lvlText w:val="•"/>
      <w:lvlJc w:val="left"/>
      <w:pPr>
        <w:ind w:left="6109" w:hanging="240"/>
      </w:pPr>
      <w:rPr>
        <w:rFonts w:hint="default"/>
        <w:lang w:val="en-US" w:eastAsia="en-US" w:bidi="ar-SA"/>
      </w:rPr>
    </w:lvl>
    <w:lvl w:ilvl="6">
      <w:start w:val="0"/>
      <w:numFmt w:val="bullet"/>
      <w:lvlText w:val="•"/>
      <w:lvlJc w:val="left"/>
      <w:pPr>
        <w:ind w:left="7127" w:hanging="240"/>
      </w:pPr>
      <w:rPr>
        <w:rFonts w:hint="default"/>
        <w:lang w:val="en-US" w:eastAsia="en-US" w:bidi="ar-SA"/>
      </w:rPr>
    </w:lvl>
    <w:lvl w:ilvl="7">
      <w:start w:val="0"/>
      <w:numFmt w:val="bullet"/>
      <w:lvlText w:val="•"/>
      <w:lvlJc w:val="left"/>
      <w:pPr>
        <w:ind w:left="8144" w:hanging="240"/>
      </w:pPr>
      <w:rPr>
        <w:rFonts w:hint="default"/>
        <w:lang w:val="en-US" w:eastAsia="en-US" w:bidi="ar-SA"/>
      </w:rPr>
    </w:lvl>
    <w:lvl w:ilvl="8">
      <w:start w:val="0"/>
      <w:numFmt w:val="bullet"/>
      <w:lvlText w:val="•"/>
      <w:lvlJc w:val="left"/>
      <w:pPr>
        <w:ind w:left="9162" w:hanging="24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015"/>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015"/>
      <w:outlineLvl w:val="2"/>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01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17"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jpeg"/><Relationship Id="rId33" Type="http://schemas.openxmlformats.org/officeDocument/2006/relationships/image" Target="media/image29.jpe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37" Type="http://schemas.openxmlformats.org/officeDocument/2006/relationships/image" Target="media/image33.jpe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jpeg"/><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 RAJ</dc:creator>
  <dcterms:created xsi:type="dcterms:W3CDTF">2025-03-26T04:55:34Z</dcterms:created>
  <dcterms:modified xsi:type="dcterms:W3CDTF">2025-03-26T04:55:34Z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2024-02-20T00:00:00Z</vt:filetime>
  </property>
  <property fmtid="{D5CDD505-2E9C-101B-9397-08002B2CF9AE}" pid="3" name="Creator">
    <vt:lpwstr>Microsoft® Word 2021</vt:lpwstr>
  </property>
  <property fmtid="{D5CDD505-2E9C-101B-9397-08002B2CF9AE}" pid="4" name="LastSaved">
    <vt:filetime>2025-03-26T00:00:00Z</vt:filetime>
  </property>
  <property fmtid="{D5CDD505-2E9C-101B-9397-08002B2CF9AE}" pid="5" name="Producer">
    <vt:lpwstr>Microsoft® Word 2021</vt:lpwstr>
  </property>
</Properties>
</file>