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284C7"/>
          <w:sz w:val="52"/>
        </w:rPr>
        <w:t>🦅 ApexPilot AI</w:t>
      </w:r>
    </w:p>
    <w:p>
      <w:pPr>
        <w:spacing w:before="0" w:after="120"/>
      </w:pPr>
      <w:r>
        <w:rPr>
          <w:b/>
          <w:color w:val="475569"/>
          <w:sz w:val="28"/>
        </w:rPr>
        <w:t>Comprehensive System Manual: Capabilities, Installation &amp; Setup Guide</w:t>
      </w:r>
    </w:p>
    <w:p>
      <w:pPr>
        <w:spacing w:before="0" w:after="280"/>
      </w:pPr>
      <w:r>
        <w:rPr>
          <w:i/>
          <w:color w:val="64748B"/>
          <w:sz w:val="19"/>
        </w:rPr>
        <w:t>Version 2.0.0 • Windows 10/11 64-bit Edition • Published: September 23, 2026</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left w:val="single" w:sz="24" w:space="0" w:color="0284C7"/>
              <w:top w:val="none"/>
              <w:right w:val="none"/>
              <w:bottom w:val="none"/>
            </w:tcBorders>
          </w:tcPr>
          <w:p>
            <w:pPr>
              <w:spacing w:before="40" w:after="40" w:line="276" w:lineRule="auto"/>
            </w:pPr>
            <w:r>
              <w:rPr>
                <w:b/>
                <w:color w:val="0284C7"/>
                <w:sz w:val="21"/>
              </w:rPr>
              <w:t xml:space="preserve">📌 EXECUTIVE OVERVIEW: </w:t>
            </w:r>
            <w:r>
              <w:rPr>
                <w:color w:val="1E293B"/>
                <w:sz w:val="20"/>
              </w:rPr>
              <w:t>ApexPilot AI is an ultra-low-latency, 100% undetectable stealth interview and meeting copilot for Windows. It combines the flagship features of GhostPilot AI (screen-share invisibility &amp; webcam teleprompter), StealthCoder (&lt;25ms native OCR coding copilot), Parakeet AI (dual-channel WASAPI live audio capture + VAD), HuddleMate (meeting executive summaries), and Final Round AI (resume-powered STAR behavioral &amp; system design answers).</w:t>
            </w:r>
          </w:p>
        </w:tc>
      </w:tr>
    </w:tbl>
    <w:p>
      <w:pPr>
        <w:spacing w:after="160"/>
      </w:pPr>
    </w:p>
    <w:p>
      <w:pPr>
        <w:pStyle w:val="Heading1"/>
        <w:spacing w:before="280" w:after="120"/>
      </w:pPr>
      <w:r>
        <w:t>1. Unified Feature Matrix vs. Market Alternatives</w:t>
      </w:r>
    </w:p>
    <w:p>
      <w:r>
        <w:t>ApexPilot AI unifies the strengths of competing tools while eliminating their detection risks, cloud latency bottlenecks, and subscription paywalls: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284C7"/>
            <w:tcMar>
              <w:top w:w="120" w:type="dxa"/>
              <w:bottom w:w="120" w:type="dxa"/>
              <w:left w:w="140" w:type="dxa"/>
              <w:right w:w="140" w:type="dxa"/>
            </w:tcMar>
          </w:tcPr>
          <w:p>
            <w:pPr>
              <w:jc w:val="left"/>
            </w:pPr>
            <w:r>
              <w:rPr>
                <w:b/>
                <w:color w:val="FFFFFF"/>
                <w:sz w:val="20"/>
              </w:rPr>
              <w:t>Capability</w:t>
            </w:r>
          </w:p>
        </w:tc>
        <w:tc>
          <w:tcPr>
            <w:tcW w:type="dxa" w:w="1872"/>
            <w:shd w:fill="0284C7"/>
            <w:tcMar>
              <w:top w:w="120" w:type="dxa"/>
              <w:bottom w:w="120" w:type="dxa"/>
              <w:left w:w="140" w:type="dxa"/>
              <w:right w:w="140" w:type="dxa"/>
            </w:tcMar>
          </w:tcPr>
          <w:p>
            <w:pPr>
              <w:jc w:val="left"/>
            </w:pPr>
            <w:r>
              <w:rPr>
                <w:b/>
                <w:color w:val="FFFFFF"/>
                <w:sz w:val="20"/>
              </w:rPr>
              <w:t>Market Pioneer</w:t>
            </w:r>
          </w:p>
        </w:tc>
        <w:tc>
          <w:tcPr>
            <w:tcW w:type="dxa" w:w="4896"/>
            <w:shd w:fill="0284C7"/>
            <w:tcMar>
              <w:top w:w="120" w:type="dxa"/>
              <w:bottom w:w="120" w:type="dxa"/>
              <w:left w:w="140" w:type="dxa"/>
              <w:right w:w="140" w:type="dxa"/>
            </w:tcMar>
          </w:tcPr>
          <w:p>
            <w:pPr>
              <w:jc w:val="left"/>
            </w:pPr>
            <w:r>
              <w:rPr>
                <w:b/>
                <w:color w:val="FFFFFF"/>
                <w:sz w:val="20"/>
              </w:rPr>
              <w:t>ApexPilot AI Superpower &amp; Implementation</w:t>
            </w:r>
          </w:p>
        </w:tc>
      </w:tr>
      <w:tr>
        <w:tc>
          <w:tcPr>
            <w:tcW w:type="dxa" w:w="2592"/>
            <w:shd w:fill="FFFFFF"/>
            <w:tcMar>
              <w:top w:w="100" w:type="dxa"/>
              <w:bottom w:w="100" w:type="dxa"/>
              <w:left w:w="140" w:type="dxa"/>
              <w:right w:w="140" w:type="dxa"/>
            </w:tcMar>
          </w:tcPr>
          <w:p>
            <w:r>
              <w:rPr>
                <w:color w:val="1E293B"/>
                <w:sz w:val="19"/>
              </w:rPr>
              <w:t>Screen-Share Invisibility</w:t>
            </w:r>
          </w:p>
        </w:tc>
        <w:tc>
          <w:tcPr>
            <w:tcW w:type="dxa" w:w="1872"/>
            <w:shd w:fill="FFFFFF"/>
            <w:tcMar>
              <w:top w:w="100" w:type="dxa"/>
              <w:bottom w:w="100" w:type="dxa"/>
              <w:left w:w="140" w:type="dxa"/>
              <w:right w:w="140" w:type="dxa"/>
            </w:tcMar>
          </w:tcPr>
          <w:p>
            <w:r>
              <w:rPr>
                <w:color w:val="1E293B"/>
                <w:sz w:val="19"/>
              </w:rPr>
              <w:t>GhostPilot AI</w:t>
            </w:r>
          </w:p>
        </w:tc>
        <w:tc>
          <w:tcPr>
            <w:tcW w:type="dxa" w:w="4896"/>
            <w:shd w:fill="FFFFFF"/>
            <w:tcMar>
              <w:top w:w="100" w:type="dxa"/>
              <w:bottom w:w="100" w:type="dxa"/>
              <w:left w:w="140" w:type="dxa"/>
              <w:right w:w="140" w:type="dxa"/>
            </w:tcMar>
          </w:tcPr>
          <w:p>
            <w:r>
              <w:rPr>
                <w:color w:val="1E293B"/>
                <w:sz w:val="19"/>
              </w:rPr>
              <w:t>Win32 SetWindowDisplayAffinity (WDA_EXCLUDEFROMCAPTURE: 0x11). 100% invisible to Zoom, Teams, Meet, Discord, OBS.</w:t>
            </w:r>
          </w:p>
        </w:tc>
      </w:tr>
      <w:tr>
        <w:tc>
          <w:tcPr>
            <w:tcW w:type="dxa" w:w="2592"/>
            <w:shd w:fill="F8FAFC"/>
            <w:tcMar>
              <w:top w:w="100" w:type="dxa"/>
              <w:bottom w:w="100" w:type="dxa"/>
              <w:left w:w="140" w:type="dxa"/>
              <w:right w:w="140" w:type="dxa"/>
            </w:tcMar>
          </w:tcPr>
          <w:p>
            <w:r>
              <w:rPr>
                <w:color w:val="1E293B"/>
                <w:sz w:val="19"/>
              </w:rPr>
              <w:t>Webcam Teleprompter</w:t>
            </w:r>
          </w:p>
        </w:tc>
        <w:tc>
          <w:tcPr>
            <w:tcW w:type="dxa" w:w="1872"/>
            <w:shd w:fill="F8FAFC"/>
            <w:tcMar>
              <w:top w:w="100" w:type="dxa"/>
              <w:bottom w:w="100" w:type="dxa"/>
              <w:left w:w="140" w:type="dxa"/>
              <w:right w:w="140" w:type="dxa"/>
            </w:tcMar>
          </w:tcPr>
          <w:p>
            <w:r>
              <w:rPr>
                <w:color w:val="1E293B"/>
                <w:sz w:val="19"/>
              </w:rPr>
              <w:t>GhostPilot AI</w:t>
            </w:r>
          </w:p>
        </w:tc>
        <w:tc>
          <w:tcPr>
            <w:tcW w:type="dxa" w:w="4896"/>
            <w:shd w:fill="F8FAFC"/>
            <w:tcMar>
              <w:top w:w="100" w:type="dxa"/>
              <w:bottom w:w="100" w:type="dxa"/>
              <w:left w:w="140" w:type="dxa"/>
              <w:right w:w="140" w:type="dxa"/>
            </w:tcMar>
          </w:tcPr>
          <w:p>
            <w:r>
              <w:rPr>
                <w:color w:val="1E293B"/>
                <w:sz w:val="19"/>
              </w:rPr>
              <w:t>Horizontal reader bar anchored to top monitor bezel so you maintain direct eye contact while reading talking points.</w:t>
            </w:r>
          </w:p>
        </w:tc>
      </w:tr>
      <w:tr>
        <w:tc>
          <w:tcPr>
            <w:tcW w:type="dxa" w:w="2592"/>
            <w:shd w:fill="FFFFFF"/>
            <w:tcMar>
              <w:top w:w="100" w:type="dxa"/>
              <w:bottom w:w="100" w:type="dxa"/>
              <w:left w:w="140" w:type="dxa"/>
              <w:right w:w="140" w:type="dxa"/>
            </w:tcMar>
          </w:tcPr>
          <w:p>
            <w:r>
              <w:rPr>
                <w:color w:val="1E293B"/>
                <w:sz w:val="19"/>
              </w:rPr>
              <w:t>Native Screen OCR</w:t>
            </w:r>
          </w:p>
        </w:tc>
        <w:tc>
          <w:tcPr>
            <w:tcW w:type="dxa" w:w="1872"/>
            <w:shd w:fill="FFFFFF"/>
            <w:tcMar>
              <w:top w:w="100" w:type="dxa"/>
              <w:bottom w:w="100" w:type="dxa"/>
              <w:left w:w="140" w:type="dxa"/>
              <w:right w:w="140" w:type="dxa"/>
            </w:tcMar>
          </w:tcPr>
          <w:p>
            <w:r>
              <w:rPr>
                <w:color w:val="1E293B"/>
                <w:sz w:val="19"/>
              </w:rPr>
              <w:t>StealthCoder</w:t>
            </w:r>
          </w:p>
        </w:tc>
        <w:tc>
          <w:tcPr>
            <w:tcW w:type="dxa" w:w="4896"/>
            <w:shd w:fill="FFFFFF"/>
            <w:tcMar>
              <w:top w:w="100" w:type="dxa"/>
              <w:bottom w:w="100" w:type="dxa"/>
              <w:left w:w="140" w:type="dxa"/>
              <w:right w:w="140" w:type="dxa"/>
            </w:tcMar>
          </w:tcPr>
          <w:p>
            <w:r>
              <w:rPr>
                <w:color w:val="1E293B"/>
                <w:sz w:val="19"/>
              </w:rPr>
              <w:t>Sub-25ms native hardware OCR via Windows.Media.Ocr. No heavy Python or Tesseract dependencies.</w:t>
            </w:r>
          </w:p>
        </w:tc>
      </w:tr>
      <w:tr>
        <w:tc>
          <w:tcPr>
            <w:tcW w:type="dxa" w:w="2592"/>
            <w:shd w:fill="F8FAFC"/>
            <w:tcMar>
              <w:top w:w="100" w:type="dxa"/>
              <w:bottom w:w="100" w:type="dxa"/>
              <w:left w:w="140" w:type="dxa"/>
              <w:right w:w="140" w:type="dxa"/>
            </w:tcMar>
          </w:tcPr>
          <w:p>
            <w:r>
              <w:rPr>
                <w:color w:val="1E293B"/>
                <w:sz w:val="19"/>
              </w:rPr>
              <w:t>Algorithmic Solver</w:t>
            </w:r>
          </w:p>
        </w:tc>
        <w:tc>
          <w:tcPr>
            <w:tcW w:type="dxa" w:w="1872"/>
            <w:shd w:fill="F8FAFC"/>
            <w:tcMar>
              <w:top w:w="100" w:type="dxa"/>
              <w:bottom w:w="100" w:type="dxa"/>
              <w:left w:w="140" w:type="dxa"/>
              <w:right w:w="140" w:type="dxa"/>
            </w:tcMar>
          </w:tcPr>
          <w:p>
            <w:r>
              <w:rPr>
                <w:color w:val="1E293B"/>
                <w:sz w:val="19"/>
              </w:rPr>
              <w:t>StealthCoder</w:t>
            </w:r>
          </w:p>
        </w:tc>
        <w:tc>
          <w:tcPr>
            <w:tcW w:type="dxa" w:w="4896"/>
            <w:shd w:fill="F8FAFC"/>
            <w:tcMar>
              <w:top w:w="100" w:type="dxa"/>
              <w:bottom w:w="100" w:type="dxa"/>
              <w:left w:w="140" w:type="dxa"/>
              <w:right w:w="140" w:type="dxa"/>
            </w:tcMar>
          </w:tcPr>
          <w:p>
            <w:r>
              <w:rPr>
                <w:color w:val="1E293B"/>
                <w:sz w:val="19"/>
              </w:rPr>
              <w:t>Generates optimal approach, Big-O Time &amp; Space complexity, speakable step-by-step points, and edge cases.</w:t>
            </w:r>
          </w:p>
        </w:tc>
      </w:tr>
      <w:tr>
        <w:tc>
          <w:tcPr>
            <w:tcW w:type="dxa" w:w="2592"/>
            <w:shd w:fill="FFFFFF"/>
            <w:tcMar>
              <w:top w:w="100" w:type="dxa"/>
              <w:bottom w:w="100" w:type="dxa"/>
              <w:left w:w="140" w:type="dxa"/>
              <w:right w:w="140" w:type="dxa"/>
            </w:tcMar>
          </w:tcPr>
          <w:p>
            <w:r>
              <w:rPr>
                <w:color w:val="1E293B"/>
                <w:sz w:val="19"/>
              </w:rPr>
              <w:t>Dual-Channel Audio &amp; VAD</w:t>
            </w:r>
          </w:p>
        </w:tc>
        <w:tc>
          <w:tcPr>
            <w:tcW w:type="dxa" w:w="1872"/>
            <w:shd w:fill="FFFFFF"/>
            <w:tcMar>
              <w:top w:w="100" w:type="dxa"/>
              <w:bottom w:w="100" w:type="dxa"/>
              <w:left w:w="140" w:type="dxa"/>
              <w:right w:w="140" w:type="dxa"/>
            </w:tcMar>
          </w:tcPr>
          <w:p>
            <w:r>
              <w:rPr>
                <w:color w:val="1E293B"/>
                <w:sz w:val="19"/>
              </w:rPr>
              <w:t>Parakeet AI</w:t>
            </w:r>
          </w:p>
        </w:tc>
        <w:tc>
          <w:tcPr>
            <w:tcW w:type="dxa" w:w="4896"/>
            <w:shd w:fill="FFFFFF"/>
            <w:tcMar>
              <w:top w:w="100" w:type="dxa"/>
              <w:bottom w:w="100" w:type="dxa"/>
              <w:left w:w="140" w:type="dxa"/>
              <w:right w:w="140" w:type="dxa"/>
            </w:tcMar>
          </w:tcPr>
          <w:p>
            <w:r>
              <w:rPr>
                <w:color w:val="1E293B"/>
                <w:sz w:val="19"/>
              </w:rPr>
              <w:t>WASAPI loopback (interviewer voice) + microphone (candidate voice) with real-time Voice Activity Detection.</w:t>
            </w:r>
          </w:p>
        </w:tc>
      </w:tr>
      <w:tr>
        <w:tc>
          <w:tcPr>
            <w:tcW w:type="dxa" w:w="2592"/>
            <w:shd w:fill="F8FAFC"/>
            <w:tcMar>
              <w:top w:w="100" w:type="dxa"/>
              <w:bottom w:w="100" w:type="dxa"/>
              <w:left w:w="140" w:type="dxa"/>
              <w:right w:w="140" w:type="dxa"/>
            </w:tcMar>
          </w:tcPr>
          <w:p>
            <w:r>
              <w:rPr>
                <w:color w:val="1E293B"/>
                <w:sz w:val="19"/>
              </w:rPr>
              <w:t>Audio Question Detection</w:t>
            </w:r>
          </w:p>
        </w:tc>
        <w:tc>
          <w:tcPr>
            <w:tcW w:type="dxa" w:w="1872"/>
            <w:shd w:fill="F8FAFC"/>
            <w:tcMar>
              <w:top w:w="100" w:type="dxa"/>
              <w:bottom w:w="100" w:type="dxa"/>
              <w:left w:w="140" w:type="dxa"/>
              <w:right w:w="140" w:type="dxa"/>
            </w:tcMar>
          </w:tcPr>
          <w:p>
            <w:r>
              <w:rPr>
                <w:color w:val="1E293B"/>
                <w:sz w:val="19"/>
              </w:rPr>
              <w:t>Parakeet AI</w:t>
            </w:r>
          </w:p>
        </w:tc>
        <w:tc>
          <w:tcPr>
            <w:tcW w:type="dxa" w:w="4896"/>
            <w:shd w:fill="F8FAFC"/>
            <w:tcMar>
              <w:top w:w="100" w:type="dxa"/>
              <w:bottom w:w="100" w:type="dxa"/>
              <w:left w:w="140" w:type="dxa"/>
              <w:right w:w="140" w:type="dxa"/>
            </w:tcMar>
          </w:tcPr>
          <w:p>
            <w:r>
              <w:rPr>
                <w:color w:val="1E293B"/>
                <w:sz w:val="19"/>
              </w:rPr>
              <w:t>NLP heuristic regex engine detects interview questions ('How would you scale...', 'Can you explain...') in real time.</w:t>
            </w:r>
          </w:p>
        </w:tc>
      </w:tr>
      <w:tr>
        <w:tc>
          <w:tcPr>
            <w:tcW w:type="dxa" w:w="2592"/>
            <w:shd w:fill="FFFFFF"/>
            <w:tcMar>
              <w:top w:w="100" w:type="dxa"/>
              <w:bottom w:w="100" w:type="dxa"/>
              <w:left w:w="140" w:type="dxa"/>
              <w:right w:w="140" w:type="dxa"/>
            </w:tcMar>
          </w:tcPr>
          <w:p>
            <w:r>
              <w:rPr>
                <w:color w:val="1E293B"/>
                <w:sz w:val="19"/>
              </w:rPr>
              <w:t>Meeting Executive Notes</w:t>
            </w:r>
          </w:p>
        </w:tc>
        <w:tc>
          <w:tcPr>
            <w:tcW w:type="dxa" w:w="1872"/>
            <w:shd w:fill="FFFFFF"/>
            <w:tcMar>
              <w:top w:w="100" w:type="dxa"/>
              <w:bottom w:w="100" w:type="dxa"/>
              <w:left w:w="140" w:type="dxa"/>
              <w:right w:w="140" w:type="dxa"/>
            </w:tcMar>
          </w:tcPr>
          <w:p>
            <w:r>
              <w:rPr>
                <w:color w:val="1E293B"/>
                <w:sz w:val="19"/>
              </w:rPr>
              <w:t>HuddleMate</w:t>
            </w:r>
          </w:p>
        </w:tc>
        <w:tc>
          <w:tcPr>
            <w:tcW w:type="dxa" w:w="4896"/>
            <w:shd w:fill="FFFFFF"/>
            <w:tcMar>
              <w:top w:w="100" w:type="dxa"/>
              <w:bottom w:w="100" w:type="dxa"/>
              <w:left w:w="140" w:type="dxa"/>
              <w:right w:w="140" w:type="dxa"/>
            </w:tcMar>
          </w:tcPr>
          <w:p>
            <w:r>
              <w:rPr>
                <w:color w:val="1E293B"/>
                <w:sz w:val="19"/>
              </w:rPr>
              <w:t>Auto-generates meeting summaries, key decisions, action items, and live proactive talking points.</w:t>
            </w:r>
          </w:p>
        </w:tc>
      </w:tr>
      <w:tr>
        <w:tc>
          <w:tcPr>
            <w:tcW w:type="dxa" w:w="2592"/>
            <w:shd w:fill="F8FAFC"/>
            <w:tcMar>
              <w:top w:w="100" w:type="dxa"/>
              <w:bottom w:w="100" w:type="dxa"/>
              <w:left w:w="140" w:type="dxa"/>
              <w:right w:w="140" w:type="dxa"/>
            </w:tcMar>
          </w:tcPr>
          <w:p>
            <w:r>
              <w:rPr>
                <w:color w:val="1E293B"/>
                <w:sz w:val="19"/>
              </w:rPr>
              <w:t>Resume &amp; JD Personalization</w:t>
            </w:r>
          </w:p>
        </w:tc>
        <w:tc>
          <w:tcPr>
            <w:tcW w:type="dxa" w:w="1872"/>
            <w:shd w:fill="F8FAFC"/>
            <w:tcMar>
              <w:top w:w="100" w:type="dxa"/>
              <w:bottom w:w="100" w:type="dxa"/>
              <w:left w:w="140" w:type="dxa"/>
              <w:right w:w="140" w:type="dxa"/>
            </w:tcMar>
          </w:tcPr>
          <w:p>
            <w:r>
              <w:rPr>
                <w:color w:val="1E293B"/>
                <w:sz w:val="19"/>
              </w:rPr>
              <w:t>Final Round AI</w:t>
            </w:r>
          </w:p>
        </w:tc>
        <w:tc>
          <w:tcPr>
            <w:tcW w:type="dxa" w:w="4896"/>
            <w:shd w:fill="F8FAFC"/>
            <w:tcMar>
              <w:top w:w="100" w:type="dxa"/>
              <w:bottom w:w="100" w:type="dxa"/>
              <w:left w:w="140" w:type="dxa"/>
              <w:right w:w="140" w:type="dxa"/>
            </w:tcMar>
          </w:tcPr>
          <w:p>
            <w:r>
              <w:rPr>
                <w:color w:val="1E293B"/>
                <w:sz w:val="19"/>
              </w:rPr>
              <w:t>1-click PDF/TXT/MD document loaders ingest candidate resume and target JD to ground answers in authentic past metrics.</w:t>
            </w:r>
          </w:p>
        </w:tc>
      </w:tr>
      <w:tr>
        <w:tc>
          <w:tcPr>
            <w:tcW w:type="dxa" w:w="2592"/>
            <w:shd w:fill="FFFFFF"/>
            <w:tcMar>
              <w:top w:w="100" w:type="dxa"/>
              <w:bottom w:w="100" w:type="dxa"/>
              <w:left w:w="140" w:type="dxa"/>
              <w:right w:w="140" w:type="dxa"/>
            </w:tcMar>
          </w:tcPr>
          <w:p>
            <w:r>
              <w:rPr>
                <w:color w:val="1E293B"/>
                <w:sz w:val="19"/>
              </w:rPr>
              <w:t>STAR Behavioral Engine</w:t>
            </w:r>
          </w:p>
        </w:tc>
        <w:tc>
          <w:tcPr>
            <w:tcW w:type="dxa" w:w="1872"/>
            <w:shd w:fill="FFFFFF"/>
            <w:tcMar>
              <w:top w:w="100" w:type="dxa"/>
              <w:bottom w:w="100" w:type="dxa"/>
              <w:left w:w="140" w:type="dxa"/>
              <w:right w:w="140" w:type="dxa"/>
            </w:tcMar>
          </w:tcPr>
          <w:p>
            <w:r>
              <w:rPr>
                <w:color w:val="1E293B"/>
                <w:sz w:val="19"/>
              </w:rPr>
              <w:t>Final Round AI</w:t>
            </w:r>
          </w:p>
        </w:tc>
        <w:tc>
          <w:tcPr>
            <w:tcW w:type="dxa" w:w="4896"/>
            <w:shd w:fill="FFFFFF"/>
            <w:tcMar>
              <w:top w:w="100" w:type="dxa"/>
              <w:bottom w:w="100" w:type="dxa"/>
              <w:left w:w="140" w:type="dxa"/>
              <w:right w:w="140" w:type="dxa"/>
            </w:tcMar>
          </w:tcPr>
          <w:p>
            <w:r>
              <w:rPr>
                <w:color w:val="1E293B"/>
                <w:sz w:val="19"/>
              </w:rPr>
              <w:t>Structures behavioral answers strictly as Situation, Task, Action, Result, and Key Takeaway.</w:t>
            </w:r>
          </w:p>
        </w:tc>
      </w:tr>
      <w:tr>
        <w:tc>
          <w:tcPr>
            <w:tcW w:type="dxa" w:w="2592"/>
            <w:shd w:fill="F8FAFC"/>
            <w:tcMar>
              <w:top w:w="100" w:type="dxa"/>
              <w:bottom w:w="100" w:type="dxa"/>
              <w:left w:w="140" w:type="dxa"/>
              <w:right w:w="140" w:type="dxa"/>
            </w:tcMar>
          </w:tcPr>
          <w:p>
            <w:r>
              <w:rPr>
                <w:color w:val="1E293B"/>
                <w:sz w:val="19"/>
              </w:rPr>
              <w:t>Offline Local LLMs</w:t>
            </w:r>
          </w:p>
        </w:tc>
        <w:tc>
          <w:tcPr>
            <w:tcW w:type="dxa" w:w="1872"/>
            <w:shd w:fill="F8FAFC"/>
            <w:tcMar>
              <w:top w:w="100" w:type="dxa"/>
              <w:bottom w:w="100" w:type="dxa"/>
              <w:left w:w="140" w:type="dxa"/>
              <w:right w:w="140" w:type="dxa"/>
            </w:tcMar>
          </w:tcPr>
          <w:p>
            <w:r>
              <w:rPr>
                <w:color w:val="1E293B"/>
                <w:sz w:val="19"/>
              </w:rPr>
              <w:t>ApexPilot Core</w:t>
            </w:r>
          </w:p>
        </w:tc>
        <w:tc>
          <w:tcPr>
            <w:tcW w:type="dxa" w:w="4896"/>
            <w:shd w:fill="F8FAFC"/>
            <w:tcMar>
              <w:top w:w="100" w:type="dxa"/>
              <w:bottom w:w="100" w:type="dxa"/>
              <w:left w:w="140" w:type="dxa"/>
              <w:right w:w="140" w:type="dxa"/>
            </w:tcMar>
          </w:tcPr>
          <w:p>
            <w:r>
              <w:rPr>
                <w:color w:val="1E293B"/>
                <w:sz w:val="19"/>
              </w:rPr>
              <w:t>Sub-second streaming connectors for Ollama (qwen2.5-coder, llama3.2), LM Studio, llama.cpp, and built-in Mock.</w:t>
            </w:r>
          </w:p>
        </w:tc>
      </w:tr>
      <w:tr>
        <w:tc>
          <w:tcPr>
            <w:tcW w:type="dxa" w:w="2592"/>
            <w:shd w:fill="FFFFFF"/>
            <w:tcMar>
              <w:top w:w="100" w:type="dxa"/>
              <w:bottom w:w="100" w:type="dxa"/>
              <w:left w:w="140" w:type="dxa"/>
              <w:right w:w="140" w:type="dxa"/>
            </w:tcMar>
          </w:tcPr>
          <w:p>
            <w:r>
              <w:rPr>
                <w:color w:val="1E293B"/>
                <w:sz w:val="19"/>
              </w:rPr>
              <w:t>Speculative Race Duel</w:t>
            </w:r>
          </w:p>
        </w:tc>
        <w:tc>
          <w:tcPr>
            <w:tcW w:type="dxa" w:w="1872"/>
            <w:shd w:fill="FFFFFF"/>
            <w:tcMar>
              <w:top w:w="100" w:type="dxa"/>
              <w:bottom w:w="100" w:type="dxa"/>
              <w:left w:w="140" w:type="dxa"/>
              <w:right w:w="140" w:type="dxa"/>
            </w:tcMar>
          </w:tcPr>
          <w:p>
            <w:r>
              <w:rPr>
                <w:color w:val="1E293B"/>
                <w:sz w:val="19"/>
              </w:rPr>
              <w:t>ApexPilot Core</w:t>
            </w:r>
          </w:p>
        </w:tc>
        <w:tc>
          <w:tcPr>
            <w:tcW w:type="dxa" w:w="4896"/>
            <w:shd w:fill="FFFFFF"/>
            <w:tcMar>
              <w:top w:w="100" w:type="dxa"/>
              <w:bottom w:w="100" w:type="dxa"/>
              <w:left w:w="140" w:type="dxa"/>
              <w:right w:w="140" w:type="dxa"/>
            </w:tcMar>
          </w:tcPr>
          <w:p>
            <w:r>
              <w:rPr>
                <w:color w:val="1E293B"/>
                <w:sz w:val="19"/>
              </w:rPr>
              <w:t>Concurrently races Local LLM vs Online LLM; fastest to stream first token wins and displays.</w:t>
            </w:r>
          </w:p>
        </w:tc>
      </w:tr>
      <w:tr>
        <w:tc>
          <w:tcPr>
            <w:tcW w:type="dxa" w:w="2592"/>
            <w:shd w:fill="F8FAFC"/>
            <w:tcMar>
              <w:top w:w="100" w:type="dxa"/>
              <w:bottom w:w="100" w:type="dxa"/>
              <w:left w:w="140" w:type="dxa"/>
              <w:right w:w="140" w:type="dxa"/>
            </w:tcMar>
          </w:tcPr>
          <w:p>
            <w:r>
              <w:rPr>
                <w:color w:val="1E293B"/>
                <w:sz w:val="19"/>
              </w:rPr>
              <w:t>Automatic 429 Failover</w:t>
            </w:r>
          </w:p>
        </w:tc>
        <w:tc>
          <w:tcPr>
            <w:tcW w:type="dxa" w:w="1872"/>
            <w:shd w:fill="F8FAFC"/>
            <w:tcMar>
              <w:top w:w="100" w:type="dxa"/>
              <w:bottom w:w="100" w:type="dxa"/>
              <w:left w:w="140" w:type="dxa"/>
              <w:right w:w="140" w:type="dxa"/>
            </w:tcMar>
          </w:tcPr>
          <w:p>
            <w:r>
              <w:rPr>
                <w:color w:val="1E293B"/>
                <w:sz w:val="19"/>
              </w:rPr>
              <w:t>ApexPilot Core</w:t>
            </w:r>
          </w:p>
        </w:tc>
        <w:tc>
          <w:tcPr>
            <w:tcW w:type="dxa" w:w="4896"/>
            <w:shd w:fill="F8FAFC"/>
            <w:tcMar>
              <w:top w:w="100" w:type="dxa"/>
              <w:bottom w:w="100" w:type="dxa"/>
              <w:left w:w="140" w:type="dxa"/>
              <w:right w:w="140" w:type="dxa"/>
            </w:tcMar>
          </w:tcPr>
          <w:p>
            <w:r>
              <w:rPr>
                <w:color w:val="1E293B"/>
                <w:sz w:val="19"/>
              </w:rPr>
              <w:t>Automatically rotates through unlimited online providers (OpenAI, Grok, Groq, Claude, Gemini) on rate limits.</w:t>
            </w:r>
          </w:p>
        </w:tc>
      </w:tr>
      <w:tr>
        <w:tc>
          <w:tcPr>
            <w:tcW w:type="dxa" w:w="2592"/>
            <w:shd w:fill="FFFFFF"/>
            <w:tcMar>
              <w:top w:w="100" w:type="dxa"/>
              <w:bottom w:w="100" w:type="dxa"/>
              <w:left w:w="140" w:type="dxa"/>
              <w:right w:w="140" w:type="dxa"/>
            </w:tcMar>
          </w:tcPr>
          <w:p>
            <w:r>
              <w:rPr>
                <w:color w:val="1E293B"/>
                <w:sz w:val="19"/>
              </w:rPr>
              <w:t>0ms Response Q&amp;A Cache</w:t>
            </w:r>
          </w:p>
        </w:tc>
        <w:tc>
          <w:tcPr>
            <w:tcW w:type="dxa" w:w="1872"/>
            <w:shd w:fill="FFFFFF"/>
            <w:tcMar>
              <w:top w:w="100" w:type="dxa"/>
              <w:bottom w:w="100" w:type="dxa"/>
              <w:left w:w="140" w:type="dxa"/>
              <w:right w:w="140" w:type="dxa"/>
            </w:tcMar>
          </w:tcPr>
          <w:p>
            <w:r>
              <w:rPr>
                <w:color w:val="1E293B"/>
                <w:sz w:val="19"/>
              </w:rPr>
              <w:t>ApexPilot Core</w:t>
            </w:r>
          </w:p>
        </w:tc>
        <w:tc>
          <w:tcPr>
            <w:tcW w:type="dxa" w:w="4896"/>
            <w:shd w:fill="FFFFFF"/>
            <w:tcMar>
              <w:top w:w="100" w:type="dxa"/>
              <w:bottom w:w="100" w:type="dxa"/>
              <w:left w:w="140" w:type="dxa"/>
              <w:right w:w="140" w:type="dxa"/>
            </w:tcMar>
          </w:tcPr>
          <w:p>
            <w:r>
              <w:rPr>
                <w:color w:val="1E293B"/>
                <w:sz w:val="19"/>
              </w:rPr>
              <w:t>Exact &amp; Jaccard token similarity matching against prior questions to serve answers in 0ms with zero token cost.</w:t>
            </w:r>
          </w:p>
        </w:tc>
      </w:tr>
      <w:tr>
        <w:tc>
          <w:tcPr>
            <w:tcW w:type="dxa" w:w="2592"/>
            <w:shd w:fill="F8FAFC"/>
            <w:tcMar>
              <w:top w:w="100" w:type="dxa"/>
              <w:bottom w:w="100" w:type="dxa"/>
              <w:left w:w="140" w:type="dxa"/>
              <w:right w:w="140" w:type="dxa"/>
            </w:tcMar>
          </w:tcPr>
          <w:p>
            <w:r>
              <w:rPr>
                <w:color w:val="1E293B"/>
                <w:sz w:val="19"/>
              </w:rPr>
              <w:t>Vector PDF Archiving</w:t>
            </w:r>
          </w:p>
        </w:tc>
        <w:tc>
          <w:tcPr>
            <w:tcW w:type="dxa" w:w="1872"/>
            <w:shd w:fill="F8FAFC"/>
            <w:tcMar>
              <w:top w:w="100" w:type="dxa"/>
              <w:bottom w:w="100" w:type="dxa"/>
              <w:left w:w="140" w:type="dxa"/>
              <w:right w:w="140" w:type="dxa"/>
            </w:tcMar>
          </w:tcPr>
          <w:p>
            <w:r>
              <w:rPr>
                <w:color w:val="1E293B"/>
                <w:sz w:val="19"/>
              </w:rPr>
              <w:t>ApexPilot Core</w:t>
            </w:r>
          </w:p>
        </w:tc>
        <w:tc>
          <w:tcPr>
            <w:tcW w:type="dxa" w:w="4896"/>
            <w:shd w:fill="F8FAFC"/>
            <w:tcMar>
              <w:top w:w="100" w:type="dxa"/>
              <w:bottom w:w="100" w:type="dxa"/>
              <w:left w:w="140" w:type="dxa"/>
              <w:right w:w="140" w:type="dxa"/>
            </w:tcMar>
          </w:tcPr>
          <w:p>
            <w:r>
              <w:rPr>
                <w:color w:val="1E293B"/>
                <w:sz w:val="19"/>
              </w:rPr>
              <w:t>Every question and solution is automatically compiled into high-resolution vector PDFs in saved_interviews/.</w:t>
            </w:r>
          </w:p>
        </w:tc>
      </w:tr>
    </w:tbl>
    <w:p>
      <w:pPr>
        <w:spacing w:after="240"/>
      </w:pPr>
    </w:p>
    <w:p>
      <w:pPr>
        <w:pStyle w:val="Heading1"/>
        <w:spacing w:before="280" w:after="120"/>
      </w:pPr>
      <w:r>
        <w:t>2. See-Through Transparency &amp; Click-Through Meeting Interaction</w:t>
      </w:r>
    </w:p>
    <w:p>
      <w:r>
        <w:t>A common challenge with desktop interview assistants is managing screen real estate. When placed over a Zoom call, Microsoft Teams grid, or code editor, normal windows block your view and intercept mouse clicks. ApexPilot AI incorporates a dedicated dual-layer transparency and click-through engine:</w:t>
      </w:r>
    </w:p>
    <w:p>
      <w:pPr>
        <w:pStyle w:val="Heading2"/>
      </w:pPr>
      <w:r>
        <w:t>2.1 See-Through Transparency (Opacity Slider)</w:t>
      </w:r>
    </w:p>
    <w:p>
      <w:r>
        <w:t>• Located on the top toolbar of the HUD is a smooth Opacity Slider adjustable from 20% to 100%.</w:t>
        <w:br/>
        <w:t>• By dragging the slider down to 50%–70%, the dark obsidian interface becomes translucent.</w:t>
        <w:br/>
        <w:t>• You can clearly see meeting participants, shared presentations, web documentation, or code editor lines directly underneath the AI solution window without having to minimize or reposition it.</w:t>
      </w:r>
    </w:p>
    <w:p>
      <w:pPr>
        <w:pStyle w:val="Heading2"/>
      </w:pPr>
      <w:r>
        <w:t>2.2 Click-Through Mode (Ctrl + Alt + X)</w:t>
      </w:r>
    </w:p>
    <w:p>
      <w:r>
        <w:t>• When an overlay floats over a meeting, it normally captures your mouse clicks. ApexPilot AI uses the Windows WS_EX_TRANSPARENT extended style to enable complete Click-Through Mode.</w:t>
        <w:br/>
        <w:t>• Pressing Ctrl + Alt + X toggles Click-Through Mode ON and OFF instantly.</w:t>
        <w:br/>
        <w:t>• While ON, all mouse events (clicks, scrolls, selections, double-clicks) pass completely through ApexPilot AI into whatever window is behind it.</w:t>
        <w:br/>
        <w:t>• You can mute/unmute your microphone in Zoom, click buttons in Microsoft Teams, scroll through meeting chat, or write code in VS Code right through the floating AI answer window!</w:t>
        <w:br/>
        <w:t>• Pressing Ctrl + Alt + X again instantly restores full mouse interaction with the HUD.</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left w:val="single" w:sz="24" w:space="0" w:color="0284C7"/>
              <w:top w:val="none"/>
              <w:right w:val="none"/>
              <w:bottom w:val="none"/>
            </w:tcBorders>
          </w:tcPr>
          <w:p>
            <w:pPr>
              <w:spacing w:before="40" w:after="40" w:line="276" w:lineRule="auto"/>
            </w:pPr>
            <w:r>
              <w:rPr>
                <w:b/>
                <w:color w:val="0284C7"/>
                <w:sz w:val="21"/>
              </w:rPr>
              <w:t xml:space="preserve">📌 STEALTH GUARANTEE: </w:t>
            </w:r>
            <w:r>
              <w:rPr>
                <w:color w:val="1E293B"/>
                <w:sz w:val="20"/>
              </w:rPr>
              <w:t>Even when the window is made see-through and you are actively clicking through it into your meeting, Windows Desktop Window Manager (DWM) continues to apply WDA_EXCLUDEFROMCAPTURE. Other participants on Zoom, Microsoft Teams, Google Meet, Discord, or OBS still CANNOT see ApexPilot AI!</w:t>
            </w:r>
          </w:p>
        </w:tc>
      </w:tr>
    </w:tbl>
    <w:p>
      <w:pPr>
        <w:pStyle w:val="Heading1"/>
        <w:spacing w:before="280" w:after="120"/>
      </w:pPr>
      <w:r>
        <w:t>3. Detailed Capabilities Breakdown</w:t>
      </w:r>
    </w:p>
    <w:p>
      <w:pPr>
        <w:pStyle w:val="Heading2"/>
      </w:pPr>
      <w:r>
        <w:t>3.1 GhostPilot Screen-Share Invisibility Engine</w:t>
      </w:r>
    </w:p>
    <w:p>
      <w:r>
        <w:t>ApexPilot AI interfaces directly with the Windows kernel via ctypes:</w:t>
        <w:br/>
        <w:t xml:space="preserve">   SetWindowDisplayAffinity(hwnd, WDA_EXCLUDEFROMCAPTURE)  # 0x00000011</w:t>
        <w:br/>
        <w:br/>
        <w:t>Introduced in Windows 10 (version 2004+) and Windows 11, this call instructs the Windows Desktop Window Manager (DWM) to separate the application's render surface from the video capture compositor. All desktop capture pipelines (DirectX Desktop Duplication API, Windows Graphics Capture, GDI BitBlt, WebRTC) receive a blank transparent frame for the area occupied by ApexPilot AI. The window renders normally on your physical display output only.</w:t>
      </w:r>
    </w:p>
    <w:p>
      <w:pPr>
        <w:pStyle w:val="Heading2"/>
      </w:pPr>
      <w:r>
        <w:t>3.2 StealthCoder Vision &amp; Native OCR (&lt;25ms)</w:t>
      </w:r>
    </w:p>
    <w:p>
      <w:r>
        <w:t>Pressing Ctrl + Alt + S triggers the LeetCode screen snip tool. The screen dims and a neon-cyan crosshair appears. Dragging a bounding box over any problem title, description, or diagram automatically captures the screen region. The image is processed with Lanczos upscaling and contrast enhancement, then parsed locally using native Windows.Media.Ocr.OcrEngine in under 25 milliseconds.</w:t>
      </w:r>
    </w:p>
    <w:p>
      <w:pPr>
        <w:spacing w:before="240" w:after="80"/>
        <w:jc w:val="center"/>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07_snip_tool_overlay.png"/>
                    <pic:cNvPicPr/>
                  </pic:nvPicPr>
                  <pic:blipFill>
                    <a:blip r:embed="rId9"/>
                    <a:stretch>
                      <a:fillRect/>
                    </a:stretch>
                  </pic:blipFill>
                  <pic:spPr>
                    <a:xfrm>
                      <a:off x="0" y="0"/>
                      <a:ext cx="5486400" cy="3291840"/>
                    </a:xfrm>
                    <a:prstGeom prst="rect"/>
                  </pic:spPr>
                </pic:pic>
              </a:graphicData>
            </a:graphic>
          </wp:inline>
        </w:drawing>
      </w:r>
    </w:p>
    <w:p>
      <w:pPr>
        <w:spacing w:before="0" w:after="280"/>
        <w:jc w:val="center"/>
      </w:pPr>
      <w:r>
        <w:rPr>
          <w:i/>
          <w:color w:val="64748B"/>
          <w:sz w:val="19"/>
        </w:rPr>
        <w:t>Figure 1: Screen Snip Tool with &lt;25ms Native Windows Media OCR</w:t>
      </w:r>
    </w:p>
    <w:p>
      <w:pPr>
        <w:spacing w:before="240" w:after="80"/>
        <w:jc w:val="center"/>
      </w:pPr>
      <w:r>
        <w:drawing>
          <wp:inline xmlns:a="http://schemas.openxmlformats.org/drawingml/2006/main" xmlns:pic="http://schemas.openxmlformats.org/drawingml/2006/picture">
            <wp:extent cx="5486400" cy="4620126"/>
            <wp:docPr id="2" name="Picture 2"/>
            <wp:cNvGraphicFramePr>
              <a:graphicFrameLocks noChangeAspect="1"/>
            </wp:cNvGraphicFramePr>
            <a:graphic>
              <a:graphicData uri="http://schemas.openxmlformats.org/drawingml/2006/picture">
                <pic:pic>
                  <pic:nvPicPr>
                    <pic:cNvPr id="0" name="01_stealth_hud_coding.png"/>
                    <pic:cNvPicPr/>
                  </pic:nvPicPr>
                  <pic:blipFill>
                    <a:blip r:embed="rId10"/>
                    <a:stretch>
                      <a:fillRect/>
                    </a:stretch>
                  </pic:blipFill>
                  <pic:spPr>
                    <a:xfrm>
                      <a:off x="0" y="0"/>
                      <a:ext cx="5486400" cy="4620126"/>
                    </a:xfrm>
                    <a:prstGeom prst="rect"/>
                  </pic:spPr>
                </pic:pic>
              </a:graphicData>
            </a:graphic>
          </wp:inline>
        </w:drawing>
      </w:r>
    </w:p>
    <w:p>
      <w:pPr>
        <w:spacing w:before="0" w:after="280"/>
        <w:jc w:val="center"/>
      </w:pPr>
      <w:r>
        <w:rPr>
          <w:i/>
          <w:color w:val="64748B"/>
          <w:sz w:val="19"/>
        </w:rPr>
        <w:t>Figure 2: Master Stealth HUD in StealthCoder Mode (LeetCode LRU Cache Solution)</w:t>
      </w:r>
    </w:p>
    <w:p>
      <w:pPr>
        <w:pStyle w:val="Heading2"/>
      </w:pPr>
      <w:r>
        <w:t>3.3 Dual-Context Ingestion: Tailoring Answers with Resume &amp; JD</w:t>
      </w:r>
    </w:p>
    <w:p>
      <w:r>
        <w:t>Generic AI answers immediately sound artificial in senior engineering interviews. ApexPilot AI features 1-click document loaders for candidate resumes and target job descriptions (.pdf, .txt, .md). In STAR Behavioral Mode, it structures answers into Situation, Task, Action, Result, and Key Takeaway, citing your authentic past metrics (e.g., 'slashed p99 latency from 4.5s to 18ms; saved 40% in monthly compute costs') and past company scale.</w:t>
      </w:r>
    </w:p>
    <w:p>
      <w:pPr>
        <w:spacing w:before="240" w:after="80"/>
        <w:jc w:val="center"/>
      </w:pPr>
      <w:r>
        <w:drawing>
          <wp:inline xmlns:a="http://schemas.openxmlformats.org/drawingml/2006/main" xmlns:pic="http://schemas.openxmlformats.org/drawingml/2006/picture">
            <wp:extent cx="5486400" cy="4724399"/>
            <wp:docPr id="3" name="Picture 3"/>
            <wp:cNvGraphicFramePr>
              <a:graphicFrameLocks noChangeAspect="1"/>
            </wp:cNvGraphicFramePr>
            <a:graphic>
              <a:graphicData uri="http://schemas.openxmlformats.org/drawingml/2006/picture">
                <pic:pic>
                  <pic:nvPicPr>
                    <pic:cNvPr id="0" name="05_settings_resume_jd.png"/>
                    <pic:cNvPicPr/>
                  </pic:nvPicPr>
                  <pic:blipFill>
                    <a:blip r:embed="rId11"/>
                    <a:stretch>
                      <a:fillRect/>
                    </a:stretch>
                  </pic:blipFill>
                  <pic:spPr>
                    <a:xfrm>
                      <a:off x="0" y="0"/>
                      <a:ext cx="5486400" cy="4724399"/>
                    </a:xfrm>
                    <a:prstGeom prst="rect"/>
                  </pic:spPr>
                </pic:pic>
              </a:graphicData>
            </a:graphic>
          </wp:inline>
        </w:drawing>
      </w:r>
    </w:p>
    <w:p>
      <w:pPr>
        <w:spacing w:before="0" w:after="280"/>
        <w:jc w:val="center"/>
      </w:pPr>
      <w:r>
        <w:rPr>
          <w:i/>
          <w:color w:val="64748B"/>
          <w:sz w:val="19"/>
        </w:rPr>
        <w:t>Figure 3: Settings - Resume &amp; JD Context with 1-Click PDF/TXT/MD Loaders</w:t>
      </w:r>
    </w:p>
    <w:p>
      <w:pPr>
        <w:spacing w:before="240" w:after="80"/>
        <w:jc w:val="center"/>
      </w:pPr>
      <w:r>
        <w:drawing>
          <wp:inline xmlns:a="http://schemas.openxmlformats.org/drawingml/2006/main" xmlns:pic="http://schemas.openxmlformats.org/drawingml/2006/picture">
            <wp:extent cx="5486400" cy="4620126"/>
            <wp:docPr id="4" name="Picture 4"/>
            <wp:cNvGraphicFramePr>
              <a:graphicFrameLocks noChangeAspect="1"/>
            </wp:cNvGraphicFramePr>
            <a:graphic>
              <a:graphicData uri="http://schemas.openxmlformats.org/drawingml/2006/picture">
                <pic:pic>
                  <pic:nvPicPr>
                    <pic:cNvPr id="0" name="02_star_behavioral_resume.png"/>
                    <pic:cNvPicPr/>
                  </pic:nvPicPr>
                  <pic:blipFill>
                    <a:blip r:embed="rId12"/>
                    <a:stretch>
                      <a:fillRect/>
                    </a:stretch>
                  </pic:blipFill>
                  <pic:spPr>
                    <a:xfrm>
                      <a:off x="0" y="0"/>
                      <a:ext cx="5486400" cy="4620126"/>
                    </a:xfrm>
                    <a:prstGeom prst="rect"/>
                  </pic:spPr>
                </pic:pic>
              </a:graphicData>
            </a:graphic>
          </wp:inline>
        </w:drawing>
      </w:r>
    </w:p>
    <w:p>
      <w:pPr>
        <w:spacing w:before="0" w:after="280"/>
        <w:jc w:val="center"/>
      </w:pPr>
      <w:r>
        <w:rPr>
          <w:i/>
          <w:color w:val="64748B"/>
          <w:sz w:val="19"/>
        </w:rPr>
        <w:t>Figure 4: STAR Behavioral Mode tailoring response to candidate resume metrics</w:t>
      </w:r>
    </w:p>
    <w:p>
      <w:pPr>
        <w:pStyle w:val="Heading2"/>
      </w:pPr>
      <w:r>
        <w:t>3.4 Hybrid LLM Client, Speculative Race Duel &amp; 429 Failover</w:t>
      </w:r>
    </w:p>
    <w:p>
      <w:r>
        <w:t>ApexPilot AI supports both offline local models (Ollama, LM Studio, llama.cpp) and cloud models (Groq 300+ tok/s, OpenAI GPT-4o, Claude 3.5 Sonnet, Grok-2, Gemini 2.0 Flash, DeepSeek, and unlimited custom endpoints).</w:t>
        <w:br/>
        <w:br/>
        <w:t>• Fastest-First Race Mode: Concurrently queries your local model and cloud model; the first stream to return tokens claims the UI and terminates the competitor thread.</w:t>
        <w:br/>
        <w:t>• Automatic 429 Failover: Seamlessly rotates to the next API key or fallback provider if HTTP 429 rate limits are received.</w:t>
        <w:br/>
        <w:t>• Rapid Interruption Abort: Submitting a new question immediately terminates active generation streams in under 50ms.</w:t>
      </w:r>
    </w:p>
    <w:p>
      <w:pPr>
        <w:spacing w:before="240" w:after="80"/>
        <w:jc w:val="center"/>
      </w:pPr>
      <w:r>
        <w:drawing>
          <wp:inline xmlns:a="http://schemas.openxmlformats.org/drawingml/2006/main" xmlns:pic="http://schemas.openxmlformats.org/drawingml/2006/picture">
            <wp:extent cx="5486400" cy="4724399"/>
            <wp:docPr id="5" name="Picture 5"/>
            <wp:cNvGraphicFramePr>
              <a:graphicFrameLocks noChangeAspect="1"/>
            </wp:cNvGraphicFramePr>
            <a:graphic>
              <a:graphicData uri="http://schemas.openxmlformats.org/drawingml/2006/picture">
                <pic:pic>
                  <pic:nvPicPr>
                    <pic:cNvPr id="0" name="03_settings_llm_routing.png"/>
                    <pic:cNvPicPr/>
                  </pic:nvPicPr>
                  <pic:blipFill>
                    <a:blip r:embed="rId13"/>
                    <a:stretch>
                      <a:fillRect/>
                    </a:stretch>
                  </pic:blipFill>
                  <pic:spPr>
                    <a:xfrm>
                      <a:off x="0" y="0"/>
                      <a:ext cx="5486400" cy="4724399"/>
                    </a:xfrm>
                    <a:prstGeom prst="rect"/>
                  </pic:spPr>
                </pic:pic>
              </a:graphicData>
            </a:graphic>
          </wp:inline>
        </w:drawing>
      </w:r>
    </w:p>
    <w:p>
      <w:pPr>
        <w:spacing w:before="0" w:after="280"/>
        <w:jc w:val="center"/>
      </w:pPr>
      <w:r>
        <w:rPr>
          <w:i/>
          <w:color w:val="64748B"/>
          <w:sz w:val="19"/>
        </w:rPr>
        <w:t>Figure 5: Settings - Local LLM Engine, Fastest-First Race Mode &amp; 429 Failover</w:t>
      </w:r>
    </w:p>
    <w:p>
      <w:pPr>
        <w:spacing w:before="240" w:after="80"/>
        <w:jc w:val="center"/>
      </w:pPr>
      <w:r>
        <w:drawing>
          <wp:inline xmlns:a="http://schemas.openxmlformats.org/drawingml/2006/main" xmlns:pic="http://schemas.openxmlformats.org/drawingml/2006/picture">
            <wp:extent cx="5486400" cy="4724399"/>
            <wp:docPr id="6" name="Picture 6"/>
            <wp:cNvGraphicFramePr>
              <a:graphicFrameLocks noChangeAspect="1"/>
            </wp:cNvGraphicFramePr>
            <a:graphic>
              <a:graphicData uri="http://schemas.openxmlformats.org/drawingml/2006/picture">
                <pic:pic>
                  <pic:nvPicPr>
                    <pic:cNvPr id="0" name="04_settings_online_apis.png"/>
                    <pic:cNvPicPr/>
                  </pic:nvPicPr>
                  <pic:blipFill>
                    <a:blip r:embed="rId14"/>
                    <a:stretch>
                      <a:fillRect/>
                    </a:stretch>
                  </pic:blipFill>
                  <pic:spPr>
                    <a:xfrm>
                      <a:off x="0" y="0"/>
                      <a:ext cx="5486400" cy="4724399"/>
                    </a:xfrm>
                    <a:prstGeom prst="rect"/>
                  </pic:spPr>
                </pic:pic>
              </a:graphicData>
            </a:graphic>
          </wp:inline>
        </w:drawing>
      </w:r>
    </w:p>
    <w:p>
      <w:pPr>
        <w:spacing w:before="0" w:after="280"/>
        <w:jc w:val="center"/>
      </w:pPr>
      <w:r>
        <w:rPr>
          <w:i/>
          <w:color w:val="64748B"/>
          <w:sz w:val="19"/>
        </w:rPr>
        <w:t>Figure 6: Settings - Unlimited Online LLM API Pool</w:t>
      </w:r>
    </w:p>
    <w:p>
      <w:pPr>
        <w:pStyle w:val="Heading2"/>
      </w:pPr>
      <w:r>
        <w:t>3.5 Webcam Teleprompter HUD (Natural Eye Contact)</w:t>
      </w:r>
    </w:p>
    <w:p>
      <w:r>
        <w:t>Pressing Ctrl + Alt + T replaces the main window with a slim, top-bezel reading capsule positioned directly beneath your monitor webcam. It displays 15–20 word glanceable bullet points so you maintain natural eye contact with interviewers while reading talking points.</w:t>
      </w:r>
    </w:p>
    <w:p>
      <w:pPr>
        <w:spacing w:before="240" w:after="80"/>
        <w:jc w:val="center"/>
      </w:pPr>
      <w:r>
        <w:drawing>
          <wp:inline xmlns:a="http://schemas.openxmlformats.org/drawingml/2006/main" xmlns:pic="http://schemas.openxmlformats.org/drawingml/2006/picture">
            <wp:extent cx="5486400" cy="374366"/>
            <wp:docPr id="7" name="Picture 7"/>
            <wp:cNvGraphicFramePr>
              <a:graphicFrameLocks noChangeAspect="1"/>
            </wp:cNvGraphicFramePr>
            <a:graphic>
              <a:graphicData uri="http://schemas.openxmlformats.org/drawingml/2006/picture">
                <pic:pic>
                  <pic:nvPicPr>
                    <pic:cNvPr id="0" name="06_teleprompter_bar.png"/>
                    <pic:cNvPicPr/>
                  </pic:nvPicPr>
                  <pic:blipFill>
                    <a:blip r:embed="rId15"/>
                    <a:stretch>
                      <a:fillRect/>
                    </a:stretch>
                  </pic:blipFill>
                  <pic:spPr>
                    <a:xfrm>
                      <a:off x="0" y="0"/>
                      <a:ext cx="5486400" cy="374366"/>
                    </a:xfrm>
                    <a:prstGeom prst="rect"/>
                  </pic:spPr>
                </pic:pic>
              </a:graphicData>
            </a:graphic>
          </wp:inline>
        </w:drawing>
      </w:r>
    </w:p>
    <w:p>
      <w:pPr>
        <w:spacing w:before="0" w:after="280"/>
        <w:jc w:val="center"/>
      </w:pPr>
      <w:r>
        <w:rPr>
          <w:i/>
          <w:color w:val="64748B"/>
          <w:sz w:val="19"/>
        </w:rPr>
        <w:t>Figure 7: Webcam Teleprompter HUD anchored to top monitor bezel</w:t>
      </w:r>
    </w:p>
    <w:p>
      <w:pPr>
        <w:pStyle w:val="Heading2"/>
      </w:pPr>
      <w:r>
        <w:t>3.6 Intelligent 0ms Q&amp;A Cache &amp; Local Vector PDF Archiving</w:t>
      </w:r>
    </w:p>
    <w:p>
      <w:r>
        <w:t>Every solved question is indexed in cache/qa_cache.json with exact and Jaccard token similarity matching. Repeated or slightly rephrased questions return in 0ms with zero token cost. In addition, every answer is automatically compiled into an archived vector PDF in saved_interviews/.</w:t>
      </w:r>
    </w:p>
    <w:p>
      <w:pPr>
        <w:spacing w:before="240" w:after="80"/>
        <w:jc w:val="center"/>
      </w:pPr>
      <w:r>
        <w:drawing>
          <wp:inline xmlns:a="http://schemas.openxmlformats.org/drawingml/2006/main" xmlns:pic="http://schemas.openxmlformats.org/drawingml/2006/picture">
            <wp:extent cx="5486400" cy="3762103"/>
            <wp:docPr id="8" name="Picture 8"/>
            <wp:cNvGraphicFramePr>
              <a:graphicFrameLocks noChangeAspect="1"/>
            </wp:cNvGraphicFramePr>
            <a:graphic>
              <a:graphicData uri="http://schemas.openxmlformats.org/drawingml/2006/picture">
                <pic:pic>
                  <pic:nvPicPr>
                    <pic:cNvPr id="0" name="08_saved_pdf_report.png"/>
                    <pic:cNvPicPr/>
                  </pic:nvPicPr>
                  <pic:blipFill>
                    <a:blip r:embed="rId16"/>
                    <a:stretch>
                      <a:fillRect/>
                    </a:stretch>
                  </pic:blipFill>
                  <pic:spPr>
                    <a:xfrm>
                      <a:off x="0" y="0"/>
                      <a:ext cx="5486400" cy="3762103"/>
                    </a:xfrm>
                    <a:prstGeom prst="rect"/>
                  </pic:spPr>
                </pic:pic>
              </a:graphicData>
            </a:graphic>
          </wp:inline>
        </w:drawing>
      </w:r>
    </w:p>
    <w:p>
      <w:pPr>
        <w:spacing w:before="0" w:after="280"/>
        <w:jc w:val="center"/>
      </w:pPr>
      <w:r>
        <w:rPr>
          <w:i/>
          <w:color w:val="64748B"/>
          <w:sz w:val="19"/>
        </w:rPr>
        <w:t>Figure 8: Local PDF Interview Archive and Q&amp;A Cache</w:t>
      </w:r>
    </w:p>
    <w:p>
      <w:pPr>
        <w:pStyle w:val="Heading1"/>
        <w:spacing w:before="280" w:after="120"/>
      </w:pPr>
      <w:r>
        <w:t>4. Installation Guide &amp; Packaging Options</w:t>
      </w:r>
    </w:p>
    <w:p>
      <w:r>
        <w:t>ApexPilot AI provides three deployment options depending on your environment:</w:t>
      </w:r>
    </w:p>
    <w:p>
      <w:pPr>
        <w:pStyle w:val="Heading2"/>
      </w:pPr>
      <w:r>
        <w:t>4.1 Method A: Standalone Windows Installer (Recommended)</w:t>
      </w:r>
    </w:p>
    <w:p>
      <w:r>
        <w:t>• Installer Path: installer_dist/ApexPilotAI_Setup.exe (45.6 MB)</w:t>
        <w:br/>
        <w:t>• Guided wizard installs to C:\Program Files\ApexPilot AI with Start Menu and Desktop shortcuts.</w:t>
        <w:br/>
        <w:t>• Registers an uninstaller in Windows Apps &amp; Features.</w:t>
        <w:br/>
        <w:t>• Unattended Silent Install Command: ApexPilotAI_Setup.exe /VERYSILENT /NORESTART</w:t>
      </w:r>
    </w:p>
    <w:p>
      <w:pPr>
        <w:pStyle w:val="Heading2"/>
      </w:pPr>
      <w:r>
        <w:t>4.2 Method B: Standalone Portable Binary</w:t>
      </w:r>
    </w:p>
    <w:p>
      <w:r>
        <w:t>• Binary Location: dist/ApexPilotAI/ApexPilotAI.exe</w:t>
        <w:br/>
        <w:t>• Run directly from any folder or USB drive with zero installation required.</w:t>
      </w:r>
    </w:p>
    <w:p>
      <w:pPr>
        <w:pStyle w:val="Heading2"/>
      </w:pPr>
      <w:r>
        <w:t>4.3 Method C: Virtual Environment (Developer Installation)</w:t>
      </w:r>
    </w:p>
    <w:p>
      <w:r>
        <w:t>• 1-Click Launcher: Double-click run.bat</w:t>
        <w:br/>
        <w:t>• Or manual setup in PowerShell:</w:t>
        <w:br/>
        <w:t xml:space="preserve">    python -m venv .venv</w:t>
        <w:br/>
        <w:t xml:space="preserve">    .\.venv\Scripts\activate</w:t>
        <w:br/>
        <w:t xml:space="preserve">    pip install -r requirements.txt</w:t>
        <w:br/>
        <w:t xml:space="preserve">    python main.py</w:t>
      </w:r>
    </w:p>
    <w:p>
      <w:pPr>
        <w:pStyle w:val="Heading1"/>
        <w:spacing w:before="280" w:after="120"/>
      </w:pPr>
      <w:r>
        <w:t>5. Setup &amp; Configuration Walkthrough</w:t>
      </w:r>
    </w:p>
    <w:p>
      <w:pPr>
        <w:pStyle w:val="Heading2"/>
      </w:pPr>
      <w:r>
        <w:t>5.1 Local LLM Setup (Ollama / LM Studio)</w:t>
      </w:r>
    </w:p>
    <w:p>
      <w:r>
        <w:t>1. Install Ollama from ollama.com.</w:t>
        <w:br/>
        <w:t>2. Run: ollama pull qwen2.5-coder:7b (or llama3.2:3b for smaller systems).</w:t>
        <w:br/>
        <w:t>3. In ApexPilot AI Settings -&gt; Local &amp; Routing, verify Provider is 'ollama', URL is 'http://127.0.0.1:11434', and Model is 'qwen2.5-coder:7b'.</w:t>
        <w:br/>
        <w:t>4. Click '⚡ Test Primary Connection' to verify status.</w:t>
      </w:r>
    </w:p>
    <w:p>
      <w:pPr>
        <w:pStyle w:val="Heading2"/>
      </w:pPr>
      <w:r>
        <w:t>5.2 Online LLM API Key Pool Setup</w:t>
      </w:r>
    </w:p>
    <w:p>
      <w:r>
        <w:t>1. Open Settings -&gt; Online API Pool.</w:t>
        <w:br/>
        <w:t>2. Paste API keys for your preferred providers (Groq, OpenAI, Anthropic Claude, xAI Grok, DeepSeek, Gemini).</w:t>
        <w:br/>
        <w:t>3. Under 'Add Custom Endpoint', configure any custom OpenAI-compatible server (OpenRouter, Mistral, Together AI).</w:t>
        <w:br/>
        <w:t>4. Enable 'Fastest-First Race Mode' and 'Automatic 429 Failover'.</w:t>
      </w:r>
    </w:p>
    <w:p>
      <w:pPr>
        <w:pStyle w:val="Heading2"/>
      </w:pPr>
      <w:r>
        <w:t>5.3 Ingesting Resume &amp; Target Job Description</w:t>
      </w:r>
    </w:p>
    <w:p>
      <w:r>
        <w:t>1. Open Settings -&gt; Resume Context.</w:t>
        <w:br/>
        <w:t>2. Click '📂 Load Resume (.pdf, .txt, .md)' and select your resume file.</w:t>
        <w:br/>
        <w:t>3. Click '📂 Load JD (.pdf, .txt, .md)' and select the job description or paste it into the editor.</w:t>
        <w:br/>
        <w:t>4. Click 'Save &amp; Apply'.</w:t>
      </w:r>
    </w:p>
    <w:p>
      <w:pPr>
        <w:pStyle w:val="Heading1"/>
        <w:spacing w:before="280" w:after="120"/>
      </w:pPr>
      <w:r>
        <w:t>6. Global Hotkeys Reference</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284C7"/>
            <w:tcMar>
              <w:top w:w="120" w:type="dxa"/>
              <w:bottom w:w="120" w:type="dxa"/>
              <w:left w:w="140" w:type="dxa"/>
              <w:right w:w="140" w:type="dxa"/>
            </w:tcMar>
          </w:tcPr>
          <w:p>
            <w:pPr>
              <w:jc w:val="left"/>
            </w:pPr>
            <w:r>
              <w:rPr>
                <w:b/>
                <w:color w:val="FFFFFF"/>
                <w:sz w:val="20"/>
              </w:rPr>
              <w:t>Hotkey</w:t>
            </w:r>
          </w:p>
        </w:tc>
        <w:tc>
          <w:tcPr>
            <w:tcW w:type="dxa" w:w="2592"/>
            <w:shd w:fill="0284C7"/>
            <w:tcMar>
              <w:top w:w="120" w:type="dxa"/>
              <w:bottom w:w="120" w:type="dxa"/>
              <w:left w:w="140" w:type="dxa"/>
              <w:right w:w="140" w:type="dxa"/>
            </w:tcMar>
          </w:tcPr>
          <w:p>
            <w:pPr>
              <w:jc w:val="left"/>
            </w:pPr>
            <w:r>
              <w:rPr>
                <w:b/>
                <w:color w:val="FFFFFF"/>
                <w:sz w:val="20"/>
              </w:rPr>
              <w:t>Action</w:t>
            </w:r>
          </w:p>
        </w:tc>
        <w:tc>
          <w:tcPr>
            <w:tcW w:type="dxa" w:w="4176"/>
            <w:shd w:fill="0284C7"/>
            <w:tcMar>
              <w:top w:w="120" w:type="dxa"/>
              <w:bottom w:w="120" w:type="dxa"/>
              <w:left w:w="140" w:type="dxa"/>
              <w:right w:w="140" w:type="dxa"/>
            </w:tcMar>
          </w:tcPr>
          <w:p>
            <w:pPr>
              <w:jc w:val="left"/>
            </w:pPr>
            <w:r>
              <w:rPr>
                <w:b/>
                <w:color w:val="FFFFFF"/>
                <w:sz w:val="20"/>
              </w:rPr>
              <w:t>Description</w:t>
            </w:r>
          </w:p>
        </w:tc>
      </w:tr>
      <w:tr>
        <w:tc>
          <w:tcPr>
            <w:tcW w:type="dxa" w:w="2592"/>
            <w:shd w:fill="FFFFFF"/>
            <w:tcMar>
              <w:top w:w="100" w:type="dxa"/>
              <w:bottom w:w="100" w:type="dxa"/>
              <w:left w:w="140" w:type="dxa"/>
              <w:right w:w="140" w:type="dxa"/>
            </w:tcMar>
          </w:tcPr>
          <w:p>
            <w:r>
              <w:rPr>
                <w:color w:val="1E293B"/>
                <w:sz w:val="19"/>
              </w:rPr>
              <w:t>Ctrl + Alt + H</w:t>
            </w:r>
          </w:p>
        </w:tc>
        <w:tc>
          <w:tcPr>
            <w:tcW w:type="dxa" w:w="2592"/>
            <w:shd w:fill="FFFFFF"/>
            <w:tcMar>
              <w:top w:w="100" w:type="dxa"/>
              <w:bottom w:w="100" w:type="dxa"/>
              <w:left w:w="140" w:type="dxa"/>
              <w:right w:w="140" w:type="dxa"/>
            </w:tcMar>
          </w:tcPr>
          <w:p>
            <w:r>
              <w:rPr>
                <w:color w:val="1E293B"/>
                <w:sz w:val="19"/>
              </w:rPr>
              <w:t>Panic / Boss Key</w:t>
            </w:r>
          </w:p>
        </w:tc>
        <w:tc>
          <w:tcPr>
            <w:tcW w:type="dxa" w:w="4176"/>
            <w:shd w:fill="FFFFFF"/>
            <w:tcMar>
              <w:top w:w="100" w:type="dxa"/>
              <w:bottom w:w="100" w:type="dxa"/>
              <w:left w:w="140" w:type="dxa"/>
              <w:right w:w="140" w:type="dxa"/>
            </w:tcMar>
          </w:tcPr>
          <w:p>
            <w:r>
              <w:rPr>
                <w:color w:val="1E293B"/>
                <w:sz w:val="19"/>
              </w:rPr>
              <w:t>Instantly hides or unhides the HUD with zero latency.</w:t>
            </w:r>
          </w:p>
        </w:tc>
      </w:tr>
      <w:tr>
        <w:tc>
          <w:tcPr>
            <w:tcW w:type="dxa" w:w="2592"/>
            <w:shd w:fill="F8FAFC"/>
            <w:tcMar>
              <w:top w:w="100" w:type="dxa"/>
              <w:bottom w:w="100" w:type="dxa"/>
              <w:left w:w="140" w:type="dxa"/>
              <w:right w:w="140" w:type="dxa"/>
            </w:tcMar>
          </w:tcPr>
          <w:p>
            <w:r>
              <w:rPr>
                <w:color w:val="1E293B"/>
                <w:sz w:val="19"/>
              </w:rPr>
              <w:t>Ctrl + Alt + S</w:t>
            </w:r>
          </w:p>
        </w:tc>
        <w:tc>
          <w:tcPr>
            <w:tcW w:type="dxa" w:w="2592"/>
            <w:shd w:fill="F8FAFC"/>
            <w:tcMar>
              <w:top w:w="100" w:type="dxa"/>
              <w:bottom w:w="100" w:type="dxa"/>
              <w:left w:w="140" w:type="dxa"/>
              <w:right w:w="140" w:type="dxa"/>
            </w:tcMar>
          </w:tcPr>
          <w:p>
            <w:r>
              <w:rPr>
                <w:color w:val="1E293B"/>
                <w:sz w:val="19"/>
              </w:rPr>
              <w:t>Screen Snip OCR</w:t>
            </w:r>
          </w:p>
        </w:tc>
        <w:tc>
          <w:tcPr>
            <w:tcW w:type="dxa" w:w="4176"/>
            <w:shd w:fill="F8FAFC"/>
            <w:tcMar>
              <w:top w:w="100" w:type="dxa"/>
              <w:bottom w:w="100" w:type="dxa"/>
              <w:left w:w="140" w:type="dxa"/>
              <w:right w:w="140" w:type="dxa"/>
            </w:tcMar>
          </w:tcPr>
          <w:p>
            <w:r>
              <w:rPr>
                <w:color w:val="1E293B"/>
                <w:sz w:val="19"/>
              </w:rPr>
              <w:t>Drag crosshair over coding problem on screen (&lt;25ms local OCR).</w:t>
            </w:r>
          </w:p>
        </w:tc>
      </w:tr>
      <w:tr>
        <w:tc>
          <w:tcPr>
            <w:tcW w:type="dxa" w:w="2592"/>
            <w:shd w:fill="FFFFFF"/>
            <w:tcMar>
              <w:top w:w="100" w:type="dxa"/>
              <w:bottom w:w="100" w:type="dxa"/>
              <w:left w:w="140" w:type="dxa"/>
              <w:right w:w="140" w:type="dxa"/>
            </w:tcMar>
          </w:tcPr>
          <w:p>
            <w:r>
              <w:rPr>
                <w:color w:val="1E293B"/>
                <w:sz w:val="19"/>
              </w:rPr>
              <w:t>Ctrl + Alt + T</w:t>
            </w:r>
          </w:p>
        </w:tc>
        <w:tc>
          <w:tcPr>
            <w:tcW w:type="dxa" w:w="2592"/>
            <w:shd w:fill="FFFFFF"/>
            <w:tcMar>
              <w:top w:w="100" w:type="dxa"/>
              <w:bottom w:w="100" w:type="dxa"/>
              <w:left w:w="140" w:type="dxa"/>
              <w:right w:w="140" w:type="dxa"/>
            </w:tcMar>
          </w:tcPr>
          <w:p>
            <w:r>
              <w:rPr>
                <w:color w:val="1E293B"/>
                <w:sz w:val="19"/>
              </w:rPr>
              <w:t>Teleprompter HUD</w:t>
            </w:r>
          </w:p>
        </w:tc>
        <w:tc>
          <w:tcPr>
            <w:tcW w:type="dxa" w:w="4176"/>
            <w:shd w:fill="FFFFFF"/>
            <w:tcMar>
              <w:top w:w="100" w:type="dxa"/>
              <w:bottom w:w="100" w:type="dxa"/>
              <w:left w:w="140" w:type="dxa"/>
              <w:right w:w="140" w:type="dxa"/>
            </w:tcMar>
          </w:tcPr>
          <w:p>
            <w:r>
              <w:rPr>
                <w:color w:val="1E293B"/>
                <w:sz w:val="19"/>
              </w:rPr>
              <w:t>Swaps between main HUD and top-bezel eye-contact teleprompter bar.</w:t>
            </w:r>
          </w:p>
        </w:tc>
      </w:tr>
      <w:tr>
        <w:tc>
          <w:tcPr>
            <w:tcW w:type="dxa" w:w="2592"/>
            <w:shd w:fill="F8FAFC"/>
            <w:tcMar>
              <w:top w:w="100" w:type="dxa"/>
              <w:bottom w:w="100" w:type="dxa"/>
              <w:left w:w="140" w:type="dxa"/>
              <w:right w:w="140" w:type="dxa"/>
            </w:tcMar>
          </w:tcPr>
          <w:p>
            <w:r>
              <w:rPr>
                <w:color w:val="1E293B"/>
                <w:sz w:val="19"/>
              </w:rPr>
              <w:t>Ctrl + Alt + X</w:t>
            </w:r>
          </w:p>
        </w:tc>
        <w:tc>
          <w:tcPr>
            <w:tcW w:type="dxa" w:w="2592"/>
            <w:shd w:fill="F8FAFC"/>
            <w:tcMar>
              <w:top w:w="100" w:type="dxa"/>
              <w:bottom w:w="100" w:type="dxa"/>
              <w:left w:w="140" w:type="dxa"/>
              <w:right w:w="140" w:type="dxa"/>
            </w:tcMar>
          </w:tcPr>
          <w:p>
            <w:r>
              <w:rPr>
                <w:color w:val="1E293B"/>
                <w:sz w:val="19"/>
              </w:rPr>
              <w:t>Click-Through Toggle</w:t>
            </w:r>
          </w:p>
        </w:tc>
        <w:tc>
          <w:tcPr>
            <w:tcW w:type="dxa" w:w="4176"/>
            <w:shd w:fill="F8FAFC"/>
            <w:tcMar>
              <w:top w:w="100" w:type="dxa"/>
              <w:bottom w:w="100" w:type="dxa"/>
              <w:left w:w="140" w:type="dxa"/>
              <w:right w:w="140" w:type="dxa"/>
            </w:tcMar>
          </w:tcPr>
          <w:p>
            <w:r>
              <w:rPr>
                <w:color w:val="1E293B"/>
                <w:sz w:val="19"/>
              </w:rPr>
              <w:t>Toggles click-through so mouse clicks pass directly into Zoom/Teams.</w:t>
            </w:r>
          </w:p>
        </w:tc>
      </w:tr>
      <w:tr>
        <w:tc>
          <w:tcPr>
            <w:tcW w:type="dxa" w:w="2592"/>
            <w:shd w:fill="FFFFFF"/>
            <w:tcMar>
              <w:top w:w="100" w:type="dxa"/>
              <w:bottom w:w="100" w:type="dxa"/>
              <w:left w:w="140" w:type="dxa"/>
              <w:right w:w="140" w:type="dxa"/>
            </w:tcMar>
          </w:tcPr>
          <w:p>
            <w:r>
              <w:rPr>
                <w:color w:val="1E293B"/>
                <w:sz w:val="19"/>
              </w:rPr>
              <w:t>Ctrl + Alt + C</w:t>
            </w:r>
          </w:p>
        </w:tc>
        <w:tc>
          <w:tcPr>
            <w:tcW w:type="dxa" w:w="2592"/>
            <w:shd w:fill="FFFFFF"/>
            <w:tcMar>
              <w:top w:w="100" w:type="dxa"/>
              <w:bottom w:w="100" w:type="dxa"/>
              <w:left w:w="140" w:type="dxa"/>
              <w:right w:w="140" w:type="dxa"/>
            </w:tcMar>
          </w:tcPr>
          <w:p>
            <w:r>
              <w:rPr>
                <w:color w:val="1E293B"/>
                <w:sz w:val="19"/>
              </w:rPr>
              <w:t>Silent Copy</w:t>
            </w:r>
          </w:p>
        </w:tc>
        <w:tc>
          <w:tcPr>
            <w:tcW w:type="dxa" w:w="4176"/>
            <w:shd w:fill="FFFFFF"/>
            <w:tcMar>
              <w:top w:w="100" w:type="dxa"/>
              <w:bottom w:w="100" w:type="dxa"/>
              <w:left w:w="140" w:type="dxa"/>
              <w:right w:w="140" w:type="dxa"/>
            </w:tcMar>
          </w:tcPr>
          <w:p>
            <w:r>
              <w:rPr>
                <w:color w:val="1E293B"/>
                <w:sz w:val="19"/>
              </w:rPr>
              <w:t>Copies clean code block directly to clipboard.</w:t>
            </w:r>
          </w:p>
        </w:tc>
      </w:tr>
      <w:tr>
        <w:tc>
          <w:tcPr>
            <w:tcW w:type="dxa" w:w="2592"/>
            <w:shd w:fill="F8FAFC"/>
            <w:tcMar>
              <w:top w:w="100" w:type="dxa"/>
              <w:bottom w:w="100" w:type="dxa"/>
              <w:left w:w="140" w:type="dxa"/>
              <w:right w:w="140" w:type="dxa"/>
            </w:tcMar>
          </w:tcPr>
          <w:p>
            <w:r>
              <w:rPr>
                <w:color w:val="1E293B"/>
                <w:sz w:val="19"/>
              </w:rPr>
              <w:t>Ctrl + Alt + A</w:t>
            </w:r>
          </w:p>
        </w:tc>
        <w:tc>
          <w:tcPr>
            <w:tcW w:type="dxa" w:w="2592"/>
            <w:shd w:fill="F8FAFC"/>
            <w:tcMar>
              <w:top w:w="100" w:type="dxa"/>
              <w:bottom w:w="100" w:type="dxa"/>
              <w:left w:w="140" w:type="dxa"/>
              <w:right w:w="140" w:type="dxa"/>
            </w:tcMar>
          </w:tcPr>
          <w:p>
            <w:r>
              <w:rPr>
                <w:color w:val="1E293B"/>
                <w:sz w:val="19"/>
              </w:rPr>
              <w:t>Instant Solve</w:t>
            </w:r>
          </w:p>
        </w:tc>
        <w:tc>
          <w:tcPr>
            <w:tcW w:type="dxa" w:w="4176"/>
            <w:shd w:fill="F8FAFC"/>
            <w:tcMar>
              <w:top w:w="100" w:type="dxa"/>
              <w:bottom w:w="100" w:type="dxa"/>
              <w:left w:w="140" w:type="dxa"/>
              <w:right w:w="140" w:type="dxa"/>
            </w:tcMar>
          </w:tcPr>
          <w:p>
            <w:r>
              <w:rPr>
                <w:color w:val="1E293B"/>
                <w:sz w:val="19"/>
              </w:rPr>
              <w:t>Solves highlighted text or detected audio question.</w:t>
            </w:r>
          </w:p>
        </w:tc>
      </w:tr>
      <w:tr>
        <w:tc>
          <w:tcPr>
            <w:tcW w:type="dxa" w:w="2592"/>
            <w:shd w:fill="FFFFFF"/>
            <w:tcMar>
              <w:top w:w="100" w:type="dxa"/>
              <w:bottom w:w="100" w:type="dxa"/>
              <w:left w:w="140" w:type="dxa"/>
              <w:right w:w="140" w:type="dxa"/>
            </w:tcMar>
          </w:tcPr>
          <w:p>
            <w:r>
              <w:rPr>
                <w:color w:val="1E293B"/>
                <w:sz w:val="19"/>
              </w:rPr>
              <w:t>Border Drag</w:t>
            </w:r>
          </w:p>
        </w:tc>
        <w:tc>
          <w:tcPr>
            <w:tcW w:type="dxa" w:w="2592"/>
            <w:shd w:fill="FFFFFF"/>
            <w:tcMar>
              <w:top w:w="100" w:type="dxa"/>
              <w:bottom w:w="100" w:type="dxa"/>
              <w:left w:w="140" w:type="dxa"/>
              <w:right w:w="140" w:type="dxa"/>
            </w:tcMar>
          </w:tcPr>
          <w:p>
            <w:r>
              <w:rPr>
                <w:color w:val="1E293B"/>
                <w:sz w:val="19"/>
              </w:rPr>
              <w:t>Resize HUD</w:t>
            </w:r>
          </w:p>
        </w:tc>
        <w:tc>
          <w:tcPr>
            <w:tcW w:type="dxa" w:w="4176"/>
            <w:shd w:fill="FFFFFF"/>
            <w:tcMar>
              <w:top w:w="100" w:type="dxa"/>
              <w:bottom w:w="100" w:type="dxa"/>
              <w:left w:w="140" w:type="dxa"/>
              <w:right w:w="140" w:type="dxa"/>
            </w:tcMar>
          </w:tcPr>
          <w:p>
            <w:r>
              <w:rPr>
                <w:color w:val="1E293B"/>
                <w:sz w:val="19"/>
              </w:rPr>
              <w:t>Drag any of the 8 border edges or corners to freely resize.</w:t>
            </w:r>
          </w:p>
        </w:tc>
      </w:tr>
    </w:tbl>
    <w:p>
      <w:pPr>
        <w:spacing w:after="240"/>
      </w:pPr>
    </w:p>
    <w:p>
      <w:pPr>
        <w:pStyle w:val="Heading1"/>
        <w:spacing w:before="280" w:after="120"/>
      </w:pPr>
      <w:r>
        <w:t>7. System Verification &amp; Unit Test Suite</w:t>
      </w:r>
    </w:p>
    <w:p>
      <w:r>
        <w:t>ApexPilot AI includes an automated unit test suite verifying all 13 core subsystems:</w:t>
        <w:br/>
        <w:t xml:space="preserve">   .\.venv\Scripts\python.exe test_stealth.py</w:t>
        <w:br/>
        <w:br/>
        <w:t>All 13 tests validate:</w:t>
        <w:br/>
        <w:t>• Win32 display affinity (WDA_EXCLUDEFROMCAPTURE: 0x11)</w:t>
        <w:br/>
        <w:t>• Real-time LLM streaming across 5 modes</w:t>
        <w:br/>
        <w:t>• Native Windows Media OCR text extraction</w:t>
        <w:br/>
        <w:t>• Context store &amp; resume injection</w:t>
        <w:br/>
        <w:t>• Audio question boundary heuristics</w:t>
        <w:br/>
        <w:t>• Qt6 UI headless initialization</w:t>
        <w:br/>
        <w:t>• Custom instructions / persona rules enforcement</w:t>
        <w:br/>
        <w:t>• Rapid stream interruption cancellation abort</w:t>
        <w:br/>
        <w:t>• Window geometry persistence</w:t>
        <w:br/>
        <w:t>• QA cache exact &amp; fuzzy lookup + vector PDF generation</w:t>
        <w:br/>
        <w:t>• Dynamic custom online LLM endpoints management</w:t>
        <w:br/>
        <w:t>• Document text extraction (.pdf, .txt, .md)</w:t>
        <w:br/>
        <w:t>• Click-through toggling and window opacity transparency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