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ovisional-patent-application"/>
    <w:p>
      <w:pPr>
        <w:pStyle w:val="Heading1"/>
      </w:pPr>
      <w:r>
        <w:t xml:space="preserve">PROVISIONAL PATENT APPLICATION</w:t>
      </w:r>
    </w:p>
    <w:bookmarkStart w:id="20" w:name="Xb7cb307ff59810ef4cf46f271158f9a50170367"/>
    <w:p>
      <w:pPr>
        <w:pStyle w:val="Heading2"/>
      </w:pPr>
      <w:r>
        <w:t xml:space="preserve">System and Method for Independent Governance Assessment, Unified Integration Discovery, Confidence-Scored Architecture Blueprints, and Automated Staleness Resolution in AI-Assisted Enterprise Application Development</w:t>
      </w:r>
    </w:p>
    <w:p>
      <w:pPr>
        <w:pStyle w:val="FirstParagraph"/>
      </w:pPr>
      <w:r>
        <w:rPr>
          <w:bCs/>
          <w:b/>
        </w:rPr>
        <w:t xml:space="preserve">[EMPLOYER NAME — PLACEHOLDER]</w:t>
      </w:r>
    </w:p>
    <w:p>
      <w:pPr>
        <w:pStyle w:val="BodyText"/>
      </w:pPr>
      <w:r>
        <w:t xml:space="preserve">Filed: [Date]</w:t>
      </w:r>
    </w:p>
    <w:bookmarkEnd w:id="20"/>
    <w:bookmarkStart w:id="21" w:name="i.-inventor"/>
    <w:p>
      <w:pPr>
        <w:pStyle w:val="Heading2"/>
      </w:pPr>
      <w:r>
        <w:t xml:space="preserve">I. Inventor</w:t>
      </w:r>
    </w:p>
    <w:p>
      <w:pPr>
        <w:numPr>
          <w:ilvl w:val="0"/>
          <w:numId w:val="1001"/>
        </w:numPr>
        <w:pStyle w:val="Compact"/>
      </w:pPr>
      <w:r>
        <w:t xml:space="preserve">Gargi Adhikari (Agentic AI Architect)</w:t>
      </w:r>
    </w:p>
    <w:bookmarkEnd w:id="21"/>
    <w:bookmarkStart w:id="22" w:name="ii.-background-of-the-invention"/>
    <w:p>
      <w:pPr>
        <w:pStyle w:val="Heading2"/>
      </w:pPr>
      <w:r>
        <w:t xml:space="preserve">II. Background of the Invention</w:t>
      </w:r>
    </w:p>
    <w:p>
      <w:pPr>
        <w:pStyle w:val="FirstParagraph"/>
      </w:pPr>
      <w:r>
        <w:t xml:space="preserve">Enterprise Architecture (EA) organizations face a fundamental challenge: ensuring that AI-assisted application development complies with organizational standards, security policies, and architectural governance requirements. Existing AI coding assistants generate code without architectural oversight, producing implementations that require extensive post-hoc compliance review.</w:t>
      </w:r>
    </w:p>
    <w:p>
      <w:pPr>
        <w:pStyle w:val="BodyText"/>
      </w:pPr>
      <w:r>
        <w:t xml:space="preserve">Current platforms that integrate AI reasoning with enterprise development lack: (1) an independent governance assessment mechanism that the platform itself cannot override or bypass; (2) a unified discovery surface for heterogeneous integration types (MCP servers, A2A agents, REST APIs); (3) transparency into the AI reasoning engine’s confidence levels per output section; and (4) automatic detection and resolution of stale derived artifacts when source specifications change.</w:t>
      </w:r>
    </w:p>
    <w:p>
      <w:pPr>
        <w:pStyle w:val="BodyText"/>
      </w:pPr>
      <w:r>
        <w:t xml:space="preserve">There is a need for a system that separates the concerns of architecture recommendation (what to build) from governance assessment (whether to allow it), provides a single discovery API for all integration types, scores each section of AI-generated output with confidence levels to guide human review effort, and automatically maintains consistency between source artifacts and derived machine-readable specifications.</w:t>
      </w:r>
    </w:p>
    <w:bookmarkEnd w:id="22"/>
    <w:bookmarkStart w:id="23" w:name="iii.-summary-of-the-invention"/>
    <w:p>
      <w:pPr>
        <w:pStyle w:val="Heading2"/>
      </w:pPr>
      <w:r>
        <w:t xml:space="preserve">III. Summary of the Invention</w:t>
      </w:r>
    </w:p>
    <w:p>
      <w:pPr>
        <w:pStyle w:val="FirstParagraph"/>
      </w:pPr>
      <w:r>
        <w:t xml:space="preserve">The invention comprises an AI-assisted enterprise application development platform comprising five interconnected systems:</w:t>
      </w:r>
    </w:p>
    <w:p>
      <w:pPr>
        <w:numPr>
          <w:ilvl w:val="0"/>
          <w:numId w:val="1002"/>
        </w:numPr>
      </w:pPr>
      <w:r>
        <w:t xml:space="preserve">A</w:t>
      </w:r>
      <w:r>
        <w:t xml:space="preserve"> </w:t>
      </w:r>
      <w:r>
        <w:rPr>
          <w:bCs/>
          <w:b/>
        </w:rPr>
        <w:t xml:space="preserve">Solution Accelerator Recommendation Engine</w:t>
      </w:r>
      <w:r>
        <w:t xml:space="preserve"> </w:t>
      </w:r>
      <w:r>
        <w:t xml:space="preserve">(Claims 1–3): An LLM-based architectural recommendation system that produces 9-section governance blueprints from structured specifications, with per-section confidence scoring.</w:t>
      </w:r>
    </w:p>
    <w:p>
      <w:pPr>
        <w:numPr>
          <w:ilvl w:val="0"/>
          <w:numId w:val="1002"/>
        </w:numPr>
      </w:pPr>
      <w:r>
        <w:t xml:space="preserve">An</w:t>
      </w:r>
      <w:r>
        <w:t xml:space="preserve"> </w:t>
      </w:r>
      <w:r>
        <w:rPr>
          <w:bCs/>
          <w:b/>
        </w:rPr>
        <w:t xml:space="preserve">Independent Governance Assessment Engine</w:t>
      </w:r>
      <w:r>
        <w:t xml:space="preserve"> </w:t>
      </w:r>
      <w:r>
        <w:t xml:space="preserve">(Claims 4–6): A separate MCP Server with externally-owned assessment logic that the platform cannot override, producing scored findings with showstopper/tech-debt classification and automated tech debt recording.</w:t>
      </w:r>
    </w:p>
    <w:p>
      <w:pPr>
        <w:numPr>
          <w:ilvl w:val="0"/>
          <w:numId w:val="1002"/>
        </w:numPr>
      </w:pPr>
      <w:r>
        <w:t xml:space="preserve">A</w:t>
      </w:r>
      <w:r>
        <w:t xml:space="preserve"> </w:t>
      </w:r>
      <w:r>
        <w:rPr>
          <w:bCs/>
          <w:b/>
        </w:rPr>
        <w:t xml:space="preserve">Unified Integration Discovery System</w:t>
      </w:r>
      <w:r>
        <w:t xml:space="preserve"> </w:t>
      </w:r>
      <w:r>
        <w:t xml:space="preserve">(Claims 7–8): A single API call that collapses MCP server discovery, A2A agent discovery, and REST API discovery into one query against a centralized API registry.</w:t>
      </w:r>
    </w:p>
    <w:p>
      <w:pPr>
        <w:numPr>
          <w:ilvl w:val="0"/>
          <w:numId w:val="1002"/>
        </w:numPr>
      </w:pPr>
      <w:r>
        <w:t xml:space="preserve">A</w:t>
      </w:r>
      <w:r>
        <w:t xml:space="preserve"> </w:t>
      </w:r>
      <w:r>
        <w:rPr>
          <w:bCs/>
          <w:b/>
        </w:rPr>
        <w:t xml:space="preserve">Confidence-Scored Blueprint with Section-Level Review Guidance</w:t>
      </w:r>
      <w:r>
        <w:t xml:space="preserve"> </w:t>
      </w:r>
      <w:r>
        <w:t xml:space="preserve">(Claims 9–10): Per-section confidence levels (0-1 scale) with SA review focus guidance and built-in mitigations for low-confidence sections.</w:t>
      </w:r>
    </w:p>
    <w:p>
      <w:pPr>
        <w:numPr>
          <w:ilvl w:val="0"/>
          <w:numId w:val="1002"/>
        </w:numPr>
      </w:pPr>
      <w:r>
        <w:t xml:space="preserve">An</w:t>
      </w:r>
      <w:r>
        <w:t xml:space="preserve"> </w:t>
      </w:r>
      <w:r>
        <w:rPr>
          <w:bCs/>
          <w:b/>
        </w:rPr>
        <w:t xml:space="preserve">Automated Staleness Detection and Resolution System</w:t>
      </w:r>
      <w:r>
        <w:t xml:space="preserve"> </w:t>
      </w:r>
      <w:r>
        <w:t xml:space="preserve">(Claims 11–12): Timestamp-based detection of stale derived artifacts with automatic refresh triggered before assessment or code generation.</w:t>
      </w:r>
    </w:p>
    <w:bookmarkEnd w:id="23"/>
    <w:bookmarkStart w:id="24" w:name="iv.-brief-description-of-the-drawings"/>
    <w:p>
      <w:pPr>
        <w:pStyle w:val="Heading2"/>
      </w:pPr>
      <w:r>
        <w:t xml:space="preserve">IV. Brief Description of the Drawings</w:t>
      </w:r>
    </w:p>
    <w:p>
      <w:pPr>
        <w:pStyle w:val="FirstParagraph"/>
      </w:pPr>
      <w:r>
        <w:rPr>
          <w:bCs/>
          <w:b/>
        </w:rPr>
        <w:t xml:space="preserve">Figure 1</w:t>
      </w:r>
      <w:r>
        <w:t xml:space="preserve"> </w:t>
      </w:r>
      <w:r>
        <w:t xml:space="preserve">— End-to-end pipeline from spec.md through Solution Accelerator, app-blueprint.md (9 sections), Governance Guardian assessment, and code generation.</w:t>
      </w:r>
    </w:p>
    <w:p>
      <w:pPr>
        <w:pStyle w:val="BodyText"/>
      </w:pPr>
      <w:r>
        <w:rPr>
          <w:bCs/>
          <w:b/>
        </w:rPr>
        <w:t xml:space="preserve">Figure 2</w:t>
      </w:r>
      <w:r>
        <w:t xml:space="preserve"> </w:t>
      </w:r>
      <w:r>
        <w:t xml:space="preserve">— Governance Guardian internal architecture showing independent MCP Server, assessment engine, finding classification (showstopper/tech-debt/informational), and recordTechDebt tool.</w:t>
      </w:r>
    </w:p>
    <w:p>
      <w:pPr>
        <w:pStyle w:val="BodyText"/>
      </w:pPr>
      <w:r>
        <w:rPr>
          <w:bCs/>
          <w:b/>
        </w:rPr>
        <w:t xml:space="preserve">Figure 3</w:t>
      </w:r>
      <w:r>
        <w:t xml:space="preserve"> </w:t>
      </w:r>
      <w:r>
        <w:t xml:space="preserve">— Unified integration discovery via discover_integrations() collapsing three query types into one Apigee API Hub call.</w:t>
      </w:r>
    </w:p>
    <w:p>
      <w:pPr>
        <w:pStyle w:val="BodyText"/>
      </w:pPr>
      <w:r>
        <w:rPr>
          <w:bCs/>
          <w:b/>
        </w:rPr>
        <w:t xml:space="preserve">Figure 4</w:t>
      </w:r>
      <w:r>
        <w:t xml:space="preserve"> </w:t>
      </w:r>
      <w:r>
        <w:t xml:space="preserve">— 9-section blueprint with per-section confidence scoring, SA review focus guidance, and three built-in mitigations.</w:t>
      </w:r>
    </w:p>
    <w:bookmarkEnd w:id="24"/>
    <w:bookmarkStart w:id="25" w:name="v.-claims"/>
    <w:p>
      <w:pPr>
        <w:pStyle w:val="Heading2"/>
      </w:pPr>
      <w:r>
        <w:t xml:space="preserve">V. Claims</w:t>
      </w:r>
    </w:p>
    <w:p>
      <w:pPr>
        <w:pStyle w:val="FirstParagraph"/>
      </w:pPr>
      <w:r>
        <w:rPr>
          <w:bCs/>
          <w:b/>
        </w:rPr>
        <w:t xml:space="preserve">Claim 1 — AI-Assisted Architecture Recommendation with Governance-Focused Output</w:t>
      </w:r>
    </w:p>
    <w:p>
      <w:pPr>
        <w:pStyle w:val="BodyText"/>
      </w:pPr>
      <w:r>
        <w:t xml:space="preserve">A computer-implemented method for generating enterprise application architecture recommendations, comprising: receiving structured specification and technical plan documents; an LLM-based recommendation engine (Solution Accelerator) reasoning about architectural patterns, technology stack, HA/DR strategy, and non-functional requirements using retrieval-augmented generation from a searchable pattern catalog; producing a 9-section governance-focused blueprint document wherein every section is genuinely editable by the developer and no section is auto-regenerated from another section; and separately deriving a machine-readable JSON specification from the blueprint document plus the original specification and plan documents via a deterministic (non-LLM) assembly process.</w:t>
      </w:r>
    </w:p>
    <w:p>
      <w:pPr>
        <w:pStyle w:val="BodyText"/>
      </w:pPr>
      <w:r>
        <w:rPr>
          <w:bCs/>
          <w:b/>
        </w:rPr>
        <w:t xml:space="preserve">Claim 2 — Asynchronous Blueprint Generation via MCP Tasks</w:t>
      </w:r>
    </w:p>
    <w:p>
      <w:pPr>
        <w:pStyle w:val="BodyText"/>
      </w:pPr>
      <w:r>
        <w:t xml:space="preserve">The method of Claim 1 wherein the Solution Accelerator is exposed as an MCP Server with asynchronous tools (blueprint_start, blueprint_status, blueprint_result) enabling intelligent architectural reasoning within IDE timeout constraints, with a persistent task store for fault recovery.</w:t>
      </w:r>
    </w:p>
    <w:p>
      <w:pPr>
        <w:pStyle w:val="BodyText"/>
      </w:pPr>
      <w:r>
        <w:rPr>
          <w:bCs/>
          <w:b/>
        </w:rPr>
        <w:t xml:space="preserve">Claim 3 — Diagram Rendering Pipeline with Fallback</w:t>
      </w:r>
    </w:p>
    <w:p>
      <w:pPr>
        <w:pStyle w:val="BodyText"/>
      </w:pPr>
      <w:r>
        <w:t xml:space="preserve">The method of Claim 1 further comprising: generating architectural diagrams from the recommendation engine’s topology reasoning via a headless rendering API that produces editable diagram files and rendered previews; with a mermaid fallback mechanism that generates inline diagrams when the rendering API is unavailable.</w:t>
      </w:r>
    </w:p>
    <w:p>
      <w:pPr>
        <w:pStyle w:val="BodyText"/>
      </w:pPr>
      <w:r>
        <w:rPr>
          <w:bCs/>
          <w:b/>
        </w:rPr>
        <w:t xml:space="preserve">Claim 4 — Independent Governance Assessment Engine as Separate MCP Server</w:t>
      </w:r>
    </w:p>
    <w:p>
      <w:pPr>
        <w:pStyle w:val="BodyText"/>
      </w:pPr>
      <w:r>
        <w:t xml:space="preserve">A computer-implemented governance system comprising: a Governance Assessment Engine deployed as a SEPARATE MCP Server with its own deployment lifecycle, independent from the platform that generates the architecture recommendations; wherein the assessment logic is owned and controlled by the Enterprise Architecture office, not by the platform — the platform cannot modify, override, or bypass the assessment rules; the assessment engine receiving a solution package extracted from the blueprint document and producing a scored assessment with findings classified by severity.</w:t>
      </w:r>
    </w:p>
    <w:p>
      <w:pPr>
        <w:pStyle w:val="BodyText"/>
      </w:pPr>
      <w:r>
        <w:rPr>
          <w:bCs/>
          <w:b/>
        </w:rPr>
        <w:t xml:space="preserve">Claim 5 — Finding Classification with Tech Debt Recording and Resume Signal</w:t>
      </w:r>
    </w:p>
    <w:p>
      <w:pPr>
        <w:pStyle w:val="BodyText"/>
      </w:pPr>
      <w:r>
        <w:t xml:space="preserve">The governance system of Claim 4 further comprising: classification of findings into three categories: (a) showstopper findings that BLOCK code generation until resolved; (b) tech debt findings that are recorded in a governance database via a recordTechDebt MCP tool and return a resume signal enabling code generation to proceed; (c) informational findings logged for awareness with no action required; wherein the tech debt recording creates a tracking entry with a unique identifier, severity, description, and owning team, enabling the organization to track architectural debt across all generated applications.</w:t>
      </w:r>
    </w:p>
    <w:p>
      <w:pPr>
        <w:pStyle w:val="BodyText"/>
      </w:pPr>
      <w:r>
        <w:rPr>
          <w:bCs/>
          <w:b/>
        </w:rPr>
        <w:t xml:space="preserve">Claim 6 — Governance Guardian Artifact Extraction</w:t>
      </w:r>
    </w:p>
    <w:p>
      <w:pPr>
        <w:pStyle w:val="BodyText"/>
      </w:pPr>
      <w:r>
        <w:t xml:space="preserve">The governance system of Claim 4 wherein the assessment engine extracts 7 artifact types from the 9-section blueprint document: component topology diagram, architecture patterns, technology stack, DevSecOps stack, HA/DR views, architecture decision log, and non-functional requirements; packages them as an ephemeral solution transport payload; and assesses each artifact against EA-owned rules independently of the platform.</w:t>
      </w:r>
    </w:p>
    <w:p>
      <w:pPr>
        <w:pStyle w:val="BodyText"/>
      </w:pPr>
      <w:r>
        <w:rPr>
          <w:bCs/>
          <w:b/>
        </w:rPr>
        <w:t xml:space="preserve">Claim 7 — Unified Integration Discovery via Single API Registry Query</w:t>
      </w:r>
    </w:p>
    <w:p>
      <w:pPr>
        <w:pStyle w:val="BodyText"/>
      </w:pPr>
      <w:r>
        <w:t xml:space="preserve">A computer-implemented method for discovering heterogeneous integration endpoints, comprising: receiving a natural language description of required integrations from an AI recommendation engine; querying a single centralized API registry with one unified call (discover_integrations); the API registry returning a consolidated integration manifest containing three integration types in a single response: (a) MCP servers (tools the agent calls directly), (b) A2A agents (agents the system delegates to), and (c) REST APIs (legacy endpoints requiring wrapper generation); wherein the unified call replaces three separate discovery queries (search_tools, search_a2a_agents, search_rest_apis) with a single query, reducing discovery latency and eliminating cross-query consistency issues.</w:t>
      </w:r>
    </w:p>
    <w:p>
      <w:pPr>
        <w:pStyle w:val="BodyText"/>
      </w:pPr>
      <w:r>
        <w:rPr>
          <w:bCs/>
          <w:b/>
        </w:rPr>
        <w:t xml:space="preserve">Claim 8 — Integration Type Classification and Routing</w:t>
      </w:r>
    </w:p>
    <w:p>
      <w:pPr>
        <w:pStyle w:val="BodyText"/>
      </w:pPr>
      <w:r>
        <w:t xml:space="preserve">The method of Claim 7 further comprising: automatic classification of discovered integrations into MCP, A2A, or REST categories based on the API registry’s metadata; routing each classified integration to the appropriate connection pattern in the generated code: MCP connections for tool calls, A2A delegation for agent-to-agent interactions, and REST wrapper generation for legacy APIs.</w:t>
      </w:r>
    </w:p>
    <w:p>
      <w:pPr>
        <w:pStyle w:val="BodyText"/>
      </w:pPr>
      <w:r>
        <w:rPr>
          <w:bCs/>
          <w:b/>
        </w:rPr>
        <w:t xml:space="preserve">Claim 9 — Per-Section Confidence Scoring for AI-Generated Architecture</w:t>
      </w:r>
    </w:p>
    <w:p>
      <w:pPr>
        <w:pStyle w:val="BodyText"/>
      </w:pPr>
      <w:r>
        <w:t xml:space="preserve">A computer-implemented method for providing transparency into AI reasoning quality, comprising: an AI recommendation engine that generates a multi-section architecture blueprint from structured specifications; computing a confidence score (0-1 scale) for each section based on the complexity of reasoning required, the availability of grounding data, and the historical accuracy of similar outputs; producing a confidence assessment report with: (a) per-section scores identifying which sections need the most human review; (b) review focus guidance telling reviewers exactly what to check in each section; (c) a bimodal distribution analysis separating text sections (higher confidence) from diagram sections (lower confidence); and (d) an overall weighted confidence score.</w:t>
      </w:r>
    </w:p>
    <w:p>
      <w:pPr>
        <w:pStyle w:val="BodyText"/>
      </w:pPr>
      <w:r>
        <w:rPr>
          <w:bCs/>
          <w:b/>
        </w:rPr>
        <w:t xml:space="preserve">Claim 10 — Built-in Mitigations for Low-Confidence Sections</w:t>
      </w:r>
    </w:p>
    <w:p>
      <w:pPr>
        <w:pStyle w:val="BodyText"/>
      </w:pPr>
      <w:r>
        <w:t xml:space="preserve">The method of Claim 9 further comprising: for sections with confidence below a threshold, automatically applying mitigations: (a) grounding factual claims (e.g., HA/DR RPO/RTO numbers) against a curated reference table rather than relying on LLM training data; (b) requiring the reasoning trace to cite specific specification sections in architecture decision rationale rather than generic justifications; (c) simplifying diagram representations to reduce rendering complexity and improve layout quality.</w:t>
      </w:r>
    </w:p>
    <w:p>
      <w:pPr>
        <w:pStyle w:val="BodyText"/>
      </w:pPr>
      <w:r>
        <w:rPr>
          <w:bCs/>
          <w:b/>
        </w:rPr>
        <w:t xml:space="preserve">Claim 11 — Automated Staleness Detection for Derived Architecture Artifacts</w:t>
      </w:r>
    </w:p>
    <w:p>
      <w:pPr>
        <w:pStyle w:val="BodyText"/>
      </w:pPr>
      <w:r>
        <w:t xml:space="preserve">A computer-implemented method for maintaining consistency between source and derived architecture artifacts, comprising: monitoring timestamp changes on source artifacts (blueprint markdown, specification, plan); before any assessment or code generation operation, comparing source timestamps against the derived artifact (JSON specification) timestamp; upon detecting staleness (source newer than derived), automatically triggering a lightweight refresh process that validates the source artifact structure, regenerates the derived JSON from the updated sources, and regenerates diagram previews; thereby preventing assessment or code generation from outdated specifications without requiring manual developer intervention.</w:t>
      </w:r>
    </w:p>
    <w:p>
      <w:pPr>
        <w:pStyle w:val="BodyText"/>
      </w:pPr>
      <w:r>
        <w:rPr>
          <w:bCs/>
          <w:b/>
        </w:rPr>
        <w:t xml:space="preserve">Claim 12 — Deterministic JSON Derivation from Multiple Source Artifacts</w:t>
      </w:r>
    </w:p>
    <w:p>
      <w:pPr>
        <w:pStyle w:val="BodyText"/>
      </w:pPr>
      <w:r>
        <w:t xml:space="preserve">The method of Claim 11 wherein the refresh process comprises: reading the governance blueprint document (for architectural decisions), the structured specification (for agent topology, tool bindings, and business rules), and the technical plan (for infrastructure, CI/CD, and security configuration); deterministically assembling a machine-readable JSON specification without LLM involvement; wherein the JSON contains fields not present in the blueprint markdown (agent tree, tool bindings, infrastructure modules, business rules, pipeline configurations, screening configuration, evaluation configuration) derived directly from the specification and plan documents.</w:t>
      </w:r>
    </w:p>
    <w:bookmarkEnd w:id="25"/>
    <w:bookmarkStart w:id="26" w:name="vi.-abstract"/>
    <w:p>
      <w:pPr>
        <w:pStyle w:val="Heading2"/>
      </w:pPr>
      <w:r>
        <w:t xml:space="preserve">VI. Abstract</w:t>
      </w:r>
    </w:p>
    <w:p>
      <w:pPr>
        <w:pStyle w:val="FirstParagraph"/>
      </w:pPr>
      <w:r>
        <w:t xml:space="preserve">An AI-assisted enterprise application development platform separating architecture recommendation from governance assessment. The platform comprises: (a) a Solution Accelerator recommendation engine producing 9-section governance-focused blueprints with per-section confidence scoring and built-in mitigations for low-confidence sections; (b) an independent Governance Guardian deployed as a separate MCP Server with EA-owned assessment logic that the platform cannot override, classifying findings as showstopper (blocks generation), tech debt (recorded and resumed), or informational; (c) a unified integration discovery system collapsing MCP server, A2A agent, and REST API discovery into a single API registry query; (d) automated staleness detection comparing source and derived artifact timestamps with automatic refresh before assessment or generation; and (e) deterministic JSON derivation from multiple source artifacts without LLM involvement. The platform is archetype-agnostic.</w:t>
      </w:r>
    </w:p>
    <w:p>
      <w:pPr>
        <w:pStyle w:val="BodyText"/>
      </w:pPr>
      <w:r>
        <w:t xml:space="preserve">[EMPLOYER NAME — PLACEHOLDER] — Provisional Patent Application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2026-06-13T04:10:20Z</dcterms:created>
  <dcterms:modified xsi:type="dcterms:W3CDTF">2026-06-13T04:10:20Z</dcterms:modified>
</cp:coreProperties>
</file>

<file path=docProps/custom.xml><?xml version="1.0" encoding="utf-8"?>
<Properties xmlns="http://schemas.openxmlformats.org/officeDocument/2006/custom-properties" xmlns:vt="http://schemas.openxmlformats.org/officeDocument/2006/docPropsVTypes"/>
</file>