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8B92D3A" w14:textId="77777777" w:rsidR="00207084" w:rsidRPr="00156482" w:rsidRDefault="005A0481">
      <w:pPr>
        <w:spacing w:after="80"/>
        <w:rPr>
          <w:rFonts w:ascii="Aptos" w:hAnsi="Aptos"/>
        </w:rPr>
      </w:pPr>
      <w:r w:rsidRPr="00156482">
        <w:rPr>
          <w:rFonts w:ascii="Aptos" w:hAnsi="Aptos"/>
          <w:b/>
          <w:bCs/>
          <w:sz w:val="48"/>
          <w:szCs w:val="48"/>
        </w:rPr>
        <w:t>NVIDIA and the Terminal Value Question</w:t>
      </w:r>
    </w:p>
    <w:p w14:paraId="6201C9B0" w14:textId="77777777" w:rsidR="00156482" w:rsidRDefault="005A0481">
      <w:pPr>
        <w:spacing w:after="320"/>
        <w:rPr>
          <w:rFonts w:ascii="Aptos" w:hAnsi="Aptos"/>
        </w:rPr>
      </w:pPr>
      <w:r w:rsidRPr="00156482">
        <w:rPr>
          <w:rFonts w:ascii="Aptos" w:hAnsi="Aptos"/>
          <w:b/>
          <w:bCs/>
          <w:color w:val="76B900"/>
          <w:sz w:val="32"/>
          <w:szCs w:val="32"/>
        </w:rPr>
        <w:t>Why Duration Is the Moat</w:t>
      </w:r>
    </w:p>
    <w:p w14:paraId="562B90B1" w14:textId="2F942951" w:rsidR="00207084" w:rsidRPr="00156482" w:rsidRDefault="005A0481">
      <w:pPr>
        <w:spacing w:after="320"/>
        <w:rPr>
          <w:rFonts w:ascii="Aptos" w:hAnsi="Aptos"/>
        </w:rPr>
      </w:pPr>
      <w:r w:rsidRPr="00156482">
        <w:rPr>
          <w:rFonts w:ascii="Aptos" w:hAnsi="Aptos"/>
          <w:color w:val="999999"/>
          <w:sz w:val="18"/>
          <w:szCs w:val="18"/>
        </w:rPr>
        <w:t>May 2026</w:t>
      </w:r>
    </w:p>
    <w:p w14:paraId="605AC677" w14:textId="77777777" w:rsidR="00207084" w:rsidRPr="00156482" w:rsidRDefault="00207084">
      <w:pPr>
        <w:pBdr>
          <w:bottom w:val="single" w:sz="4" w:space="1" w:color="76B900"/>
        </w:pBdr>
        <w:spacing w:before="160" w:after="160"/>
        <w:rPr>
          <w:rFonts w:ascii="Aptos" w:hAnsi="Aptos"/>
        </w:rPr>
      </w:pPr>
    </w:p>
    <w:p w14:paraId="157CC037" w14:textId="77777777" w:rsidR="00207084" w:rsidRPr="00156482" w:rsidRDefault="005A0481">
      <w:pPr>
        <w:spacing w:after="160"/>
        <w:rPr>
          <w:rFonts w:ascii="Aptos" w:hAnsi="Aptos"/>
        </w:rPr>
      </w:pPr>
      <w:r w:rsidRPr="00156482">
        <w:rPr>
          <w:rFonts w:ascii="Aptos" w:hAnsi="Aptos"/>
        </w:rPr>
        <w:t>Investing is ultimately about understanding what the market has already priced in and judging how those expectations may evolve. For long-term investors, the more important question is rarely whether a company is good today. It is whether that company can continue creating value in a durable way, far into the future.</w:t>
      </w:r>
    </w:p>
    <w:p w14:paraId="6DE6B08E" w14:textId="77777777" w:rsidR="00207084" w:rsidRPr="00156482" w:rsidRDefault="005A0481">
      <w:pPr>
        <w:spacing w:after="160"/>
        <w:rPr>
          <w:rFonts w:ascii="Aptos" w:hAnsi="Aptos"/>
        </w:rPr>
      </w:pPr>
      <w:r w:rsidRPr="00156482">
        <w:rPr>
          <w:rFonts w:ascii="Aptos" w:hAnsi="Aptos"/>
        </w:rPr>
        <w:t>That is why terminal value matters so much.</w:t>
      </w:r>
    </w:p>
    <w:p w14:paraId="461028BA" w14:textId="4688FF4E" w:rsidR="00207084" w:rsidRPr="00156482" w:rsidRDefault="005A0481">
      <w:pPr>
        <w:spacing w:after="160"/>
        <w:rPr>
          <w:rFonts w:ascii="Aptos" w:hAnsi="Aptos"/>
        </w:rPr>
      </w:pPr>
      <w:r w:rsidRPr="00156482">
        <w:rPr>
          <w:rFonts w:ascii="Aptos" w:hAnsi="Aptos"/>
        </w:rPr>
        <w:t xml:space="preserve">A useful analytical framework here is Morgan Stanley's </w:t>
      </w:r>
      <w:hyperlink r:id="rId7" w:history="1">
        <w:r w:rsidRPr="00886E66">
          <w:rPr>
            <w:rStyle w:val="Hyperlink"/>
            <w:rFonts w:ascii="Aptos" w:hAnsi="Aptos"/>
          </w:rPr>
          <w:t>Competitive Advantage Period: The Neglected Value Driver</w:t>
        </w:r>
      </w:hyperlink>
      <w:r w:rsidRPr="00156482">
        <w:rPr>
          <w:rFonts w:ascii="Aptos" w:hAnsi="Aptos"/>
        </w:rPr>
        <w:t xml:space="preserve">, which builds on the </w:t>
      </w:r>
      <w:hyperlink r:id="rId8" w:history="1">
        <w:r w:rsidRPr="00886E66">
          <w:rPr>
            <w:rStyle w:val="Hyperlink"/>
            <w:rFonts w:ascii="Aptos" w:hAnsi="Aptos"/>
          </w:rPr>
          <w:t>original 1997 essay</w:t>
        </w:r>
      </w:hyperlink>
      <w:r w:rsidRPr="00156482">
        <w:rPr>
          <w:rFonts w:ascii="Aptos" w:hAnsi="Aptos"/>
        </w:rPr>
        <w:t xml:space="preserve"> by Michael Mauboussin and Paul Johnson Callahan. Their core insight is simple but powerful, as value creation depends on three things: how much a company's return on invested capital exceeds its cost of capital, how much capital it can reinvest at those attractive returns, and how long it can sustain that spread. The third variable, the "how long" question, is the competitive advantage period, or CAP. It is often the neglected driver of valuation, but for exceptional businesses it may be the most important one.</w:t>
      </w:r>
    </w:p>
    <w:p w14:paraId="74F74C0C" w14:textId="77777777" w:rsidR="00207084" w:rsidRPr="00156482" w:rsidRDefault="005A0481">
      <w:pPr>
        <w:spacing w:after="160"/>
        <w:rPr>
          <w:rFonts w:ascii="Aptos" w:hAnsi="Aptos"/>
        </w:rPr>
      </w:pPr>
      <w:r w:rsidRPr="00156482">
        <w:rPr>
          <w:rFonts w:ascii="Aptos" w:hAnsi="Aptos"/>
        </w:rPr>
        <w:t xml:space="preserve">In a discounted cash flow model, terminal value often represents </w:t>
      </w:r>
      <w:proofErr w:type="gramStart"/>
      <w:r w:rsidRPr="00156482">
        <w:rPr>
          <w:rFonts w:ascii="Aptos" w:hAnsi="Aptos"/>
        </w:rPr>
        <w:t>the majority of</w:t>
      </w:r>
      <w:proofErr w:type="gramEnd"/>
      <w:r w:rsidRPr="00156482">
        <w:rPr>
          <w:rFonts w:ascii="Aptos" w:hAnsi="Aptos"/>
        </w:rPr>
        <w:t xml:space="preserve"> a company's valuation. This is especially true for high-quality businesses with extraordinary returns on invested capital. But terminal value should not be treated as a mechanical plug. It is an economic judgment about durability. It asks a difficult question: how long can a company continue earning returns above its cost of capital before competition, regulation, technological change, customer bargaining power, or internal execution challenges force those returns to fade?</w:t>
      </w:r>
    </w:p>
    <w:p w14:paraId="4E2D5874" w14:textId="77777777" w:rsidR="00207084" w:rsidRPr="00156482" w:rsidRDefault="005A0481">
      <w:pPr>
        <w:spacing w:after="160"/>
        <w:rPr>
          <w:rFonts w:ascii="Aptos" w:hAnsi="Aptos"/>
        </w:rPr>
      </w:pPr>
      <w:r w:rsidRPr="00156482">
        <w:rPr>
          <w:rFonts w:ascii="Aptos" w:hAnsi="Aptos"/>
        </w:rPr>
        <w:t>That spread between return on invested capital and the cost of capital is the heart of value creation. The size of that spread, however, is only one part of the equation. The more important question is how long that spread can persist. A company with a short CAP may generate extraordinary profits today but see them competed away quickly. A company with a long CAP can compound value for decades.</w:t>
      </w:r>
    </w:p>
    <w:p w14:paraId="3CA729CA" w14:textId="77777777" w:rsidR="00207084" w:rsidRPr="00156482" w:rsidRDefault="005A0481">
      <w:pPr>
        <w:spacing w:after="160"/>
        <w:rPr>
          <w:rFonts w:ascii="Aptos" w:hAnsi="Aptos"/>
        </w:rPr>
      </w:pPr>
      <w:r w:rsidRPr="00156482">
        <w:rPr>
          <w:rFonts w:ascii="Aptos" w:hAnsi="Aptos"/>
        </w:rPr>
        <w:t>In that sense, compounding is simply returns raised to the power of time. Time is the exponent that does the heavy lifting.</w:t>
      </w:r>
    </w:p>
    <w:p w14:paraId="73FB0771" w14:textId="77777777" w:rsidR="00207084" w:rsidRPr="00156482" w:rsidRDefault="005A0481">
      <w:pPr>
        <w:spacing w:after="160"/>
        <w:rPr>
          <w:rFonts w:ascii="Aptos" w:hAnsi="Aptos"/>
        </w:rPr>
      </w:pPr>
      <w:r w:rsidRPr="00156482">
        <w:rPr>
          <w:rFonts w:ascii="Aptos" w:hAnsi="Aptos"/>
        </w:rPr>
        <w:t>NVIDIA is the most instructive case study for this question today.</w:t>
      </w:r>
    </w:p>
    <w:p w14:paraId="00596AD2" w14:textId="77777777" w:rsidR="00207084" w:rsidRPr="00156482" w:rsidRDefault="00207084">
      <w:pPr>
        <w:pBdr>
          <w:bottom w:val="single" w:sz="4" w:space="1" w:color="76B900"/>
        </w:pBdr>
        <w:spacing w:before="160" w:after="160"/>
        <w:rPr>
          <w:rFonts w:ascii="Aptos" w:hAnsi="Aptos"/>
        </w:rPr>
      </w:pPr>
    </w:p>
    <w:p w14:paraId="0163BC01" w14:textId="77777777" w:rsidR="00207084" w:rsidRPr="00156482" w:rsidRDefault="005A0481">
      <w:pPr>
        <w:spacing w:before="280" w:after="120"/>
        <w:rPr>
          <w:rFonts w:ascii="Aptos" w:hAnsi="Aptos"/>
        </w:rPr>
      </w:pPr>
      <w:r w:rsidRPr="00156482">
        <w:rPr>
          <w:rFonts w:ascii="Aptos" w:hAnsi="Aptos"/>
          <w:b/>
          <w:bCs/>
          <w:sz w:val="22"/>
          <w:szCs w:val="22"/>
        </w:rPr>
        <w:t>Valuation History: FY2017 to FY2026</w:t>
      </w:r>
    </w:p>
    <w:p w14:paraId="6A30314D" w14:textId="77777777" w:rsidR="00207084" w:rsidRPr="00156482" w:rsidRDefault="005A0481">
      <w:pPr>
        <w:spacing w:before="80" w:after="200"/>
        <w:rPr>
          <w:rFonts w:ascii="Aptos" w:hAnsi="Aptos"/>
        </w:rPr>
      </w:pPr>
      <w:r w:rsidRPr="00156482">
        <w:rPr>
          <w:rFonts w:ascii="Aptos" w:hAnsi="Aptos"/>
          <w:i/>
          <w:iCs/>
          <w:color w:val="555555"/>
          <w:sz w:val="18"/>
          <w:szCs w:val="18"/>
        </w:rPr>
        <w:t>Based on proprietary DCF analysis by Euclid Technologies</w:t>
      </w:r>
    </w:p>
    <w:p w14:paraId="55E0555D" w14:textId="77777777" w:rsidR="00207084" w:rsidRPr="00156482" w:rsidRDefault="005A0481">
      <w:pPr>
        <w:spacing w:after="160"/>
        <w:rPr>
          <w:rFonts w:ascii="Aptos" w:hAnsi="Aptos"/>
        </w:rPr>
      </w:pPr>
      <w:r w:rsidRPr="00156482">
        <w:rPr>
          <w:rFonts w:ascii="Aptos" w:hAnsi="Aptos"/>
        </w:rPr>
        <w:t>The valuation history from FY2017 to FY2026 shows this clearly. NVIDIA's intrinsic value did not compound in a straight line. It expanded, contracted, and then exploded as the market's understanding of the company shifted from gaming GPU leader to data-center beneficiary to full-stack AI infrastructure platform.</w:t>
      </w:r>
    </w:p>
    <w:p w14:paraId="1A37AFA6" w14:textId="77777777" w:rsidR="00207084" w:rsidRPr="00156482" w:rsidRDefault="005A0481">
      <w:pPr>
        <w:spacing w:after="160"/>
        <w:rPr>
          <w:rFonts w:ascii="Aptos" w:hAnsi="Aptos"/>
        </w:rPr>
      </w:pPr>
      <w:r w:rsidRPr="00156482">
        <w:rPr>
          <w:rFonts w:ascii="Aptos" w:hAnsi="Aptos"/>
        </w:rPr>
        <w:t>Across the period, the core driver was the spread between ROIC and WACC. In FY2017, NVIDIA's ROIC was already exceptional at 44.98% versus a WACC of 10.53%, creating a 34.45 percentage point spread. By FY2018, ROIC expanded to 67.42%, while WACC remained at 10.78%, widening the spread to 56.64 percentage points. Even during the FY2019 crypto-related digestion period, ROIC remained 62.32% versus a 12.84% WACC. The business was volatile; the economic engine, however, remained highly profitable.</w:t>
      </w:r>
    </w:p>
    <w:p w14:paraId="655A2521" w14:textId="77777777" w:rsidR="00207084" w:rsidRPr="00156482" w:rsidRDefault="005A0481">
      <w:pPr>
        <w:spacing w:after="160"/>
        <w:rPr>
          <w:rFonts w:ascii="Aptos" w:hAnsi="Aptos"/>
        </w:rPr>
      </w:pPr>
      <w:r w:rsidRPr="00156482">
        <w:rPr>
          <w:rFonts w:ascii="Aptos" w:hAnsi="Aptos"/>
        </w:rPr>
        <w:lastRenderedPageBreak/>
        <w:t>The weakest point in the valuation history came in FY2023, when ROIC fell to 23.76% and WACC rose to 14.34%, compressing the value-creation spread to only 9.42 percentage points. That year is important because it reminds investors that even great companies can experience meaningful valuation compression when margins, reinvestment efficiency, cyclicality, and macro risk move in the wrong direction at the same time.</w:t>
      </w:r>
    </w:p>
    <w:p w14:paraId="4E4F5B2C" w14:textId="77777777" w:rsidR="00207084" w:rsidRPr="00156482" w:rsidRDefault="005A0481">
      <w:pPr>
        <w:spacing w:after="160"/>
        <w:rPr>
          <w:rFonts w:ascii="Aptos" w:hAnsi="Aptos"/>
        </w:rPr>
      </w:pPr>
      <w:r w:rsidRPr="00156482">
        <w:rPr>
          <w:rFonts w:ascii="Aptos" w:hAnsi="Aptos"/>
        </w:rPr>
        <w:t>The AI inflection changed the entire valuation architecture. By FY2024, ROIC had recovered to 75.69% versus an 11.55% WACC. By FY2025, ROIC reached 114.91% versus a 12.54% WACC. In FY2026, even after more conservative assumptions around geopolitical risk, China exposure, supply-chain complexity, and competition, ROIC remained 88.81% versus a 14.37% WACC. That means the company was still producing an extraordinary 74.44 percentage point spread between returns on capital and cost of capital. This is the numerical foundation of the moat case we examine below.</w:t>
      </w:r>
    </w:p>
    <w:p w14:paraId="55698E4F" w14:textId="77777777" w:rsidR="00207084" w:rsidRPr="00156482" w:rsidRDefault="005A0481">
      <w:pPr>
        <w:spacing w:after="160"/>
        <w:rPr>
          <w:rFonts w:ascii="Aptos" w:hAnsi="Aptos"/>
        </w:rPr>
      </w:pPr>
      <w:r w:rsidRPr="00156482">
        <w:rPr>
          <w:rFonts w:ascii="Aptos" w:hAnsi="Aptos"/>
        </w:rPr>
        <w:t xml:space="preserve">The same pattern appears in the valuation outputs. Intrinsic equity value increased from approximately $82.8 billion in FY2017 to $5.72 trillion in FY2026. The present value of terminal value increased from roughly $49.7 billion to $3.86 trillion. Market capitalization increased from approximately $60.5 billion to $4.57 trillion over the same period. In other words, the market's recognition of NVIDIA's terminal value expanded dramatically, while the intrinsic value estimate expanded even faster. As of the FY2026 Q4 valuation snapshot, the market price represented 79.9% of our estimated intrinsic value, a figure that moved to 84.5% by the May 4, </w:t>
      </w:r>
      <w:proofErr w:type="gramStart"/>
      <w:r w:rsidRPr="00156482">
        <w:rPr>
          <w:rFonts w:ascii="Aptos" w:hAnsi="Aptos"/>
        </w:rPr>
        <w:t>2026</w:t>
      </w:r>
      <w:proofErr w:type="gramEnd"/>
      <w:r w:rsidRPr="00156482">
        <w:rPr>
          <w:rFonts w:ascii="Aptos" w:hAnsi="Aptos"/>
        </w:rPr>
        <w:t xml:space="preserve"> market close as the market price converged further toward our estimated value.</w:t>
      </w:r>
    </w:p>
    <w:p w14:paraId="4D85590C" w14:textId="77777777" w:rsidR="00207084" w:rsidRPr="00156482" w:rsidRDefault="005A0481">
      <w:pPr>
        <w:spacing w:after="160"/>
        <w:rPr>
          <w:rFonts w:ascii="Aptos" w:hAnsi="Aptos"/>
        </w:rPr>
      </w:pPr>
      <w:r w:rsidRPr="00156482">
        <w:rPr>
          <w:rFonts w:ascii="Aptos" w:hAnsi="Aptos"/>
        </w:rPr>
        <w:t>The lesson is not that NVIDIA's value only went up. FY2019 and FY2023 both show that intrinsic value can decline materially when market conditions, revenue expectations, margins, and cost of capital move against the business. The more important lesson is that valuation accelerated sharply when NVIDIA's economic spread widened and the market began extending the company's competitive advantage period.</w:t>
      </w:r>
    </w:p>
    <w:p w14:paraId="0FB5EDDD" w14:textId="77777777" w:rsidR="00207084" w:rsidRPr="00156482" w:rsidRDefault="005A0481">
      <w:pPr>
        <w:spacing w:after="160"/>
        <w:rPr>
          <w:rFonts w:ascii="Aptos" w:hAnsi="Aptos"/>
        </w:rPr>
      </w:pPr>
      <w:r w:rsidRPr="00156482">
        <w:rPr>
          <w:rFonts w:ascii="Aptos" w:hAnsi="Aptos"/>
        </w:rPr>
        <w:t>Terminal value is not a spreadsheet artifact in NVIDIA's case. It is the largest expression of the market's belief that the company can sustain excess returns for a long time. The present value of terminal value grew from about $49.7 billion in FY2017 to about $3.86 trillion in FY2026. This growth is not merely a function of higher near-term revenue. It reflects a deeper reassessment of duration: the belief that CUDA, accelerated computing, networking, software libraries, AI infrastructure, and platform lock-in can allow NVIDIA to earn returns above its cost of capital for much longer than a normal semiconductor cycle.</w:t>
      </w:r>
    </w:p>
    <w:p w14:paraId="5172FC38" w14:textId="77777777" w:rsidR="00207084" w:rsidRPr="00156482" w:rsidRDefault="00207084">
      <w:pPr>
        <w:spacing w:after="80"/>
        <w:rPr>
          <w:rFonts w:ascii="Aptos" w:hAnsi="Aptos"/>
        </w:rPr>
      </w:pPr>
    </w:p>
    <w:p w14:paraId="4342CE61" w14:textId="77777777" w:rsidR="00207084" w:rsidRPr="00156482" w:rsidRDefault="005A0481">
      <w:pPr>
        <w:spacing w:after="120"/>
        <w:rPr>
          <w:rFonts w:ascii="Aptos" w:hAnsi="Aptos"/>
        </w:rPr>
      </w:pPr>
      <w:r w:rsidRPr="00156482">
        <w:rPr>
          <w:rFonts w:ascii="Aptos" w:hAnsi="Aptos"/>
          <w:b/>
          <w:bCs/>
        </w:rPr>
        <w:t>NVIDIA Valuation History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33"/>
        <w:gridCol w:w="887"/>
        <w:gridCol w:w="800"/>
        <w:gridCol w:w="924"/>
        <w:gridCol w:w="1156"/>
        <w:gridCol w:w="901"/>
        <w:gridCol w:w="1156"/>
        <w:gridCol w:w="901"/>
        <w:gridCol w:w="901"/>
        <w:gridCol w:w="901"/>
      </w:tblGrid>
      <w:tr w:rsidR="00207084" w:rsidRPr="00156482" w14:paraId="3B4F98E9" w14:textId="77777777">
        <w:trPr>
          <w:tblHeader/>
        </w:trPr>
        <w:tc>
          <w:tcPr>
            <w:tcW w:w="720" w:type="dxa"/>
            <w:tcBorders>
              <w:top w:val="single" w:sz="1" w:space="0" w:color="CCCCCC"/>
              <w:left w:val="single" w:sz="1" w:space="0" w:color="CCCCCC"/>
              <w:bottom w:val="single" w:sz="1" w:space="0" w:color="CCCCCC"/>
              <w:right w:val="single" w:sz="1" w:space="0" w:color="CCCCCC"/>
            </w:tcBorders>
            <w:shd w:val="clear" w:color="auto" w:fill="1A1A1A"/>
            <w:tcMar>
              <w:top w:w="80" w:type="dxa"/>
              <w:left w:w="100" w:type="dxa"/>
              <w:bottom w:w="80" w:type="dxa"/>
              <w:right w:w="100" w:type="dxa"/>
            </w:tcMar>
            <w:vAlign w:val="center"/>
          </w:tcPr>
          <w:p w14:paraId="74F43780" w14:textId="77777777" w:rsidR="00207084" w:rsidRPr="00156482" w:rsidRDefault="005A0481">
            <w:pPr>
              <w:jc w:val="center"/>
              <w:rPr>
                <w:rFonts w:ascii="Aptos" w:hAnsi="Aptos"/>
              </w:rPr>
            </w:pPr>
            <w:r w:rsidRPr="00156482">
              <w:rPr>
                <w:rFonts w:ascii="Aptos" w:hAnsi="Aptos"/>
                <w:b/>
                <w:bCs/>
                <w:color w:val="FFFFFF"/>
                <w:sz w:val="14"/>
                <w:szCs w:val="14"/>
              </w:rPr>
              <w:t>Fiscal Year</w:t>
            </w:r>
          </w:p>
        </w:tc>
        <w:tc>
          <w:tcPr>
            <w:tcW w:w="680" w:type="dxa"/>
            <w:tcBorders>
              <w:top w:val="single" w:sz="1" w:space="0" w:color="CCCCCC"/>
              <w:left w:val="single" w:sz="1" w:space="0" w:color="CCCCCC"/>
              <w:bottom w:val="single" w:sz="1" w:space="0" w:color="CCCCCC"/>
              <w:right w:val="single" w:sz="1" w:space="0" w:color="CCCCCC"/>
            </w:tcBorders>
            <w:shd w:val="clear" w:color="auto" w:fill="1A1A1A"/>
            <w:tcMar>
              <w:top w:w="80" w:type="dxa"/>
              <w:left w:w="100" w:type="dxa"/>
              <w:bottom w:w="80" w:type="dxa"/>
              <w:right w:w="100" w:type="dxa"/>
            </w:tcMar>
            <w:vAlign w:val="center"/>
          </w:tcPr>
          <w:p w14:paraId="580228A7" w14:textId="77777777" w:rsidR="00207084" w:rsidRPr="00156482" w:rsidRDefault="005A0481">
            <w:pPr>
              <w:jc w:val="center"/>
              <w:rPr>
                <w:rFonts w:ascii="Aptos" w:hAnsi="Aptos"/>
              </w:rPr>
            </w:pPr>
            <w:r w:rsidRPr="00156482">
              <w:rPr>
                <w:rFonts w:ascii="Aptos" w:hAnsi="Aptos"/>
                <w:b/>
                <w:bCs/>
                <w:color w:val="FFFFFF"/>
                <w:sz w:val="14"/>
                <w:szCs w:val="14"/>
              </w:rPr>
              <w:t>ROIC</w:t>
            </w:r>
          </w:p>
        </w:tc>
        <w:tc>
          <w:tcPr>
            <w:tcW w:w="680" w:type="dxa"/>
            <w:tcBorders>
              <w:top w:val="single" w:sz="1" w:space="0" w:color="CCCCCC"/>
              <w:left w:val="single" w:sz="1" w:space="0" w:color="CCCCCC"/>
              <w:bottom w:val="single" w:sz="1" w:space="0" w:color="CCCCCC"/>
              <w:right w:val="single" w:sz="1" w:space="0" w:color="CCCCCC"/>
            </w:tcBorders>
            <w:shd w:val="clear" w:color="auto" w:fill="1A1A1A"/>
            <w:tcMar>
              <w:top w:w="80" w:type="dxa"/>
              <w:left w:w="100" w:type="dxa"/>
              <w:bottom w:w="80" w:type="dxa"/>
              <w:right w:w="100" w:type="dxa"/>
            </w:tcMar>
            <w:vAlign w:val="center"/>
          </w:tcPr>
          <w:p w14:paraId="65DE71F2" w14:textId="77777777" w:rsidR="00207084" w:rsidRPr="00156482" w:rsidRDefault="005A0481">
            <w:pPr>
              <w:jc w:val="center"/>
              <w:rPr>
                <w:rFonts w:ascii="Aptos" w:hAnsi="Aptos"/>
              </w:rPr>
            </w:pPr>
            <w:r w:rsidRPr="00156482">
              <w:rPr>
                <w:rFonts w:ascii="Aptos" w:hAnsi="Aptos"/>
                <w:b/>
                <w:bCs/>
                <w:color w:val="FFFFFF"/>
                <w:sz w:val="14"/>
                <w:szCs w:val="14"/>
              </w:rPr>
              <w:t>WACC</w:t>
            </w:r>
          </w:p>
        </w:tc>
        <w:tc>
          <w:tcPr>
            <w:tcW w:w="800" w:type="dxa"/>
            <w:tcBorders>
              <w:top w:val="single" w:sz="1" w:space="0" w:color="CCCCCC"/>
              <w:left w:val="single" w:sz="1" w:space="0" w:color="CCCCCC"/>
              <w:bottom w:val="single" w:sz="1" w:space="0" w:color="CCCCCC"/>
              <w:right w:val="single" w:sz="1" w:space="0" w:color="CCCCCC"/>
            </w:tcBorders>
            <w:shd w:val="clear" w:color="auto" w:fill="1A1A1A"/>
            <w:tcMar>
              <w:top w:w="80" w:type="dxa"/>
              <w:left w:w="100" w:type="dxa"/>
              <w:bottom w:w="80" w:type="dxa"/>
              <w:right w:w="100" w:type="dxa"/>
            </w:tcMar>
            <w:vAlign w:val="center"/>
          </w:tcPr>
          <w:p w14:paraId="21C6449B" w14:textId="77777777" w:rsidR="00207084" w:rsidRPr="00156482" w:rsidRDefault="005A0481">
            <w:pPr>
              <w:jc w:val="center"/>
              <w:rPr>
                <w:rFonts w:ascii="Aptos" w:hAnsi="Aptos"/>
              </w:rPr>
            </w:pPr>
            <w:r w:rsidRPr="00156482">
              <w:rPr>
                <w:rFonts w:ascii="Aptos" w:hAnsi="Aptos"/>
                <w:b/>
                <w:bCs/>
                <w:color w:val="FFFFFF"/>
                <w:sz w:val="14"/>
                <w:szCs w:val="14"/>
              </w:rPr>
              <w:t>ROIC-WACC Spread</w:t>
            </w:r>
          </w:p>
        </w:tc>
        <w:tc>
          <w:tcPr>
            <w:tcW w:w="1000" w:type="dxa"/>
            <w:tcBorders>
              <w:top w:val="single" w:sz="1" w:space="0" w:color="CCCCCC"/>
              <w:left w:val="single" w:sz="1" w:space="0" w:color="CCCCCC"/>
              <w:bottom w:val="single" w:sz="1" w:space="0" w:color="CCCCCC"/>
              <w:right w:val="single" w:sz="1" w:space="0" w:color="CCCCCC"/>
            </w:tcBorders>
            <w:shd w:val="clear" w:color="auto" w:fill="1A1A1A"/>
            <w:tcMar>
              <w:top w:w="80" w:type="dxa"/>
              <w:left w:w="100" w:type="dxa"/>
              <w:bottom w:w="80" w:type="dxa"/>
              <w:right w:w="100" w:type="dxa"/>
            </w:tcMar>
            <w:vAlign w:val="center"/>
          </w:tcPr>
          <w:p w14:paraId="4E42B32B" w14:textId="77777777" w:rsidR="00207084" w:rsidRPr="00156482" w:rsidRDefault="005A0481">
            <w:pPr>
              <w:jc w:val="center"/>
              <w:rPr>
                <w:rFonts w:ascii="Aptos" w:hAnsi="Aptos"/>
              </w:rPr>
            </w:pPr>
            <w:r w:rsidRPr="00156482">
              <w:rPr>
                <w:rFonts w:ascii="Aptos" w:hAnsi="Aptos"/>
                <w:b/>
                <w:bCs/>
                <w:color w:val="FFFFFF"/>
                <w:sz w:val="14"/>
                <w:szCs w:val="14"/>
              </w:rPr>
              <w:t>Intrinsic Equity Value</w:t>
            </w:r>
          </w:p>
        </w:tc>
        <w:tc>
          <w:tcPr>
            <w:tcW w:w="780" w:type="dxa"/>
            <w:tcBorders>
              <w:top w:val="single" w:sz="1" w:space="0" w:color="CCCCCC"/>
              <w:left w:val="single" w:sz="1" w:space="0" w:color="CCCCCC"/>
              <w:bottom w:val="single" w:sz="1" w:space="0" w:color="CCCCCC"/>
              <w:right w:val="single" w:sz="1" w:space="0" w:color="CCCCCC"/>
            </w:tcBorders>
            <w:shd w:val="clear" w:color="auto" w:fill="1A1A1A"/>
            <w:tcMar>
              <w:top w:w="80" w:type="dxa"/>
              <w:left w:w="100" w:type="dxa"/>
              <w:bottom w:w="80" w:type="dxa"/>
              <w:right w:w="100" w:type="dxa"/>
            </w:tcMar>
            <w:vAlign w:val="center"/>
          </w:tcPr>
          <w:p w14:paraId="6FE04FAF" w14:textId="77777777" w:rsidR="00207084" w:rsidRPr="00156482" w:rsidRDefault="005A0481">
            <w:pPr>
              <w:jc w:val="center"/>
              <w:rPr>
                <w:rFonts w:ascii="Aptos" w:hAnsi="Aptos"/>
              </w:rPr>
            </w:pPr>
            <w:r w:rsidRPr="00156482">
              <w:rPr>
                <w:rFonts w:ascii="Aptos" w:hAnsi="Aptos"/>
                <w:b/>
                <w:bCs/>
                <w:color w:val="FFFFFF"/>
                <w:sz w:val="14"/>
                <w:szCs w:val="14"/>
              </w:rPr>
              <w:t>YoY Change</w:t>
            </w:r>
          </w:p>
        </w:tc>
        <w:tc>
          <w:tcPr>
            <w:tcW w:w="1000" w:type="dxa"/>
            <w:tcBorders>
              <w:top w:val="single" w:sz="1" w:space="0" w:color="CCCCCC"/>
              <w:left w:val="single" w:sz="1" w:space="0" w:color="CCCCCC"/>
              <w:bottom w:val="single" w:sz="1" w:space="0" w:color="CCCCCC"/>
              <w:right w:val="single" w:sz="1" w:space="0" w:color="CCCCCC"/>
            </w:tcBorders>
            <w:shd w:val="clear" w:color="auto" w:fill="1A1A1A"/>
            <w:tcMar>
              <w:top w:w="80" w:type="dxa"/>
              <w:left w:w="100" w:type="dxa"/>
              <w:bottom w:w="80" w:type="dxa"/>
              <w:right w:w="100" w:type="dxa"/>
            </w:tcMar>
            <w:vAlign w:val="center"/>
          </w:tcPr>
          <w:p w14:paraId="0B5DEF54" w14:textId="77777777" w:rsidR="00207084" w:rsidRPr="00156482" w:rsidRDefault="005A0481">
            <w:pPr>
              <w:jc w:val="center"/>
              <w:rPr>
                <w:rFonts w:ascii="Aptos" w:hAnsi="Aptos"/>
              </w:rPr>
            </w:pPr>
            <w:r w:rsidRPr="00156482">
              <w:rPr>
                <w:rFonts w:ascii="Aptos" w:hAnsi="Aptos"/>
                <w:b/>
                <w:bCs/>
                <w:color w:val="FFFFFF"/>
                <w:sz w:val="14"/>
                <w:szCs w:val="14"/>
              </w:rPr>
              <w:t>PV of Terminal Value</w:t>
            </w:r>
          </w:p>
        </w:tc>
        <w:tc>
          <w:tcPr>
            <w:tcW w:w="780" w:type="dxa"/>
            <w:tcBorders>
              <w:top w:val="single" w:sz="1" w:space="0" w:color="CCCCCC"/>
              <w:left w:val="single" w:sz="1" w:space="0" w:color="CCCCCC"/>
              <w:bottom w:val="single" w:sz="1" w:space="0" w:color="CCCCCC"/>
              <w:right w:val="single" w:sz="1" w:space="0" w:color="CCCCCC"/>
            </w:tcBorders>
            <w:shd w:val="clear" w:color="auto" w:fill="1A1A1A"/>
            <w:tcMar>
              <w:top w:w="80" w:type="dxa"/>
              <w:left w:w="100" w:type="dxa"/>
              <w:bottom w:w="80" w:type="dxa"/>
              <w:right w:w="100" w:type="dxa"/>
            </w:tcMar>
            <w:vAlign w:val="center"/>
          </w:tcPr>
          <w:p w14:paraId="2DB31BA5" w14:textId="77777777" w:rsidR="00207084" w:rsidRPr="00156482" w:rsidRDefault="005A0481">
            <w:pPr>
              <w:jc w:val="center"/>
              <w:rPr>
                <w:rFonts w:ascii="Aptos" w:hAnsi="Aptos"/>
              </w:rPr>
            </w:pPr>
            <w:r w:rsidRPr="00156482">
              <w:rPr>
                <w:rFonts w:ascii="Aptos" w:hAnsi="Aptos"/>
                <w:b/>
                <w:bCs/>
                <w:color w:val="FFFFFF"/>
                <w:sz w:val="14"/>
                <w:szCs w:val="14"/>
              </w:rPr>
              <w:t>YoY Change</w:t>
            </w:r>
          </w:p>
        </w:tc>
        <w:tc>
          <w:tcPr>
            <w:tcW w:w="780" w:type="dxa"/>
            <w:tcBorders>
              <w:top w:val="single" w:sz="1" w:space="0" w:color="CCCCCC"/>
              <w:left w:val="single" w:sz="1" w:space="0" w:color="CCCCCC"/>
              <w:bottom w:val="single" w:sz="1" w:space="0" w:color="CCCCCC"/>
              <w:right w:val="single" w:sz="1" w:space="0" w:color="CCCCCC"/>
            </w:tcBorders>
            <w:shd w:val="clear" w:color="auto" w:fill="1A1A1A"/>
            <w:tcMar>
              <w:top w:w="80" w:type="dxa"/>
              <w:left w:w="100" w:type="dxa"/>
              <w:bottom w:w="80" w:type="dxa"/>
              <w:right w:w="100" w:type="dxa"/>
            </w:tcMar>
            <w:vAlign w:val="center"/>
          </w:tcPr>
          <w:p w14:paraId="4B385046" w14:textId="77777777" w:rsidR="00207084" w:rsidRPr="00156482" w:rsidRDefault="005A0481">
            <w:pPr>
              <w:jc w:val="center"/>
              <w:rPr>
                <w:rFonts w:ascii="Aptos" w:hAnsi="Aptos"/>
              </w:rPr>
            </w:pPr>
            <w:r w:rsidRPr="00156482">
              <w:rPr>
                <w:rFonts w:ascii="Aptos" w:hAnsi="Aptos"/>
                <w:b/>
                <w:bCs/>
                <w:color w:val="FFFFFF"/>
                <w:sz w:val="14"/>
                <w:szCs w:val="14"/>
              </w:rPr>
              <w:t>Market Cap</w:t>
            </w:r>
          </w:p>
        </w:tc>
        <w:tc>
          <w:tcPr>
            <w:tcW w:w="780" w:type="dxa"/>
            <w:tcBorders>
              <w:top w:val="single" w:sz="1" w:space="0" w:color="CCCCCC"/>
              <w:left w:val="single" w:sz="1" w:space="0" w:color="CCCCCC"/>
              <w:bottom w:val="single" w:sz="1" w:space="0" w:color="CCCCCC"/>
              <w:right w:val="single" w:sz="1" w:space="0" w:color="CCCCCC"/>
            </w:tcBorders>
            <w:shd w:val="clear" w:color="auto" w:fill="1A1A1A"/>
            <w:tcMar>
              <w:top w:w="80" w:type="dxa"/>
              <w:left w:w="100" w:type="dxa"/>
              <w:bottom w:w="80" w:type="dxa"/>
              <w:right w:w="100" w:type="dxa"/>
            </w:tcMar>
            <w:vAlign w:val="center"/>
          </w:tcPr>
          <w:p w14:paraId="4A6C6445" w14:textId="77777777" w:rsidR="00207084" w:rsidRPr="00156482" w:rsidRDefault="005A0481">
            <w:pPr>
              <w:jc w:val="center"/>
              <w:rPr>
                <w:rFonts w:ascii="Aptos" w:hAnsi="Aptos"/>
              </w:rPr>
            </w:pPr>
            <w:r w:rsidRPr="00156482">
              <w:rPr>
                <w:rFonts w:ascii="Aptos" w:hAnsi="Aptos"/>
                <w:b/>
                <w:bCs/>
                <w:color w:val="FFFFFF"/>
                <w:sz w:val="14"/>
                <w:szCs w:val="14"/>
              </w:rPr>
              <w:t>YoY Change</w:t>
            </w:r>
          </w:p>
        </w:tc>
      </w:tr>
      <w:tr w:rsidR="00207084" w:rsidRPr="00156482" w14:paraId="34EE5098" w14:textId="77777777">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7AA076C" w14:textId="77777777" w:rsidR="00207084" w:rsidRPr="00156482" w:rsidRDefault="005A0481">
            <w:pPr>
              <w:rPr>
                <w:rFonts w:ascii="Aptos" w:hAnsi="Aptos"/>
              </w:rPr>
            </w:pPr>
            <w:r w:rsidRPr="00156482">
              <w:rPr>
                <w:rFonts w:ascii="Aptos" w:hAnsi="Aptos"/>
                <w:sz w:val="15"/>
                <w:szCs w:val="15"/>
              </w:rPr>
              <w:t>FY2017</w:t>
            </w:r>
          </w:p>
        </w:tc>
        <w:tc>
          <w:tcPr>
            <w:tcW w:w="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0EB9FD6" w14:textId="77777777" w:rsidR="00207084" w:rsidRPr="00156482" w:rsidRDefault="005A0481">
            <w:pPr>
              <w:jc w:val="center"/>
              <w:rPr>
                <w:rFonts w:ascii="Aptos" w:hAnsi="Aptos"/>
              </w:rPr>
            </w:pPr>
            <w:r w:rsidRPr="00156482">
              <w:rPr>
                <w:rFonts w:ascii="Aptos" w:hAnsi="Aptos"/>
                <w:sz w:val="15"/>
                <w:szCs w:val="15"/>
              </w:rPr>
              <w:t>44.98%</w:t>
            </w:r>
          </w:p>
        </w:tc>
        <w:tc>
          <w:tcPr>
            <w:tcW w:w="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A5FBA44" w14:textId="77777777" w:rsidR="00207084" w:rsidRPr="00156482" w:rsidRDefault="005A0481">
            <w:pPr>
              <w:jc w:val="center"/>
              <w:rPr>
                <w:rFonts w:ascii="Aptos" w:hAnsi="Aptos"/>
              </w:rPr>
            </w:pPr>
            <w:r w:rsidRPr="00156482">
              <w:rPr>
                <w:rFonts w:ascii="Aptos" w:hAnsi="Aptos"/>
                <w:sz w:val="15"/>
                <w:szCs w:val="15"/>
              </w:rPr>
              <w:t>10.53%</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579C7A0" w14:textId="77777777" w:rsidR="00207084" w:rsidRPr="00156482" w:rsidRDefault="005A0481">
            <w:pPr>
              <w:jc w:val="center"/>
              <w:rPr>
                <w:rFonts w:ascii="Aptos" w:hAnsi="Aptos"/>
              </w:rPr>
            </w:pPr>
            <w:r w:rsidRPr="00156482">
              <w:rPr>
                <w:rFonts w:ascii="Aptos" w:hAnsi="Aptos"/>
                <w:sz w:val="15"/>
                <w:szCs w:val="15"/>
              </w:rPr>
              <w:t>34.45 pp</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BEC27CE" w14:textId="77777777" w:rsidR="00207084" w:rsidRPr="00156482" w:rsidRDefault="005A0481">
            <w:pPr>
              <w:jc w:val="center"/>
              <w:rPr>
                <w:rFonts w:ascii="Aptos" w:hAnsi="Aptos"/>
              </w:rPr>
            </w:pPr>
            <w:r w:rsidRPr="00156482">
              <w:rPr>
                <w:rFonts w:ascii="Aptos" w:hAnsi="Aptos"/>
                <w:sz w:val="15"/>
                <w:szCs w:val="15"/>
              </w:rPr>
              <w:t>$0.08T</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DBFEC24" w14:textId="77777777" w:rsidR="00207084" w:rsidRPr="00156482" w:rsidRDefault="005A0481">
            <w:pPr>
              <w:jc w:val="center"/>
              <w:rPr>
                <w:rFonts w:ascii="Aptos" w:hAnsi="Aptos"/>
              </w:rPr>
            </w:pPr>
            <w:r w:rsidRPr="00156482">
              <w:rPr>
                <w:rFonts w:ascii="Aptos" w:hAnsi="Aptos"/>
                <w:sz w:val="15"/>
                <w:szCs w:val="15"/>
              </w:rPr>
              <w: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6D306E8" w14:textId="77777777" w:rsidR="00207084" w:rsidRPr="00156482" w:rsidRDefault="005A0481">
            <w:pPr>
              <w:jc w:val="center"/>
              <w:rPr>
                <w:rFonts w:ascii="Aptos" w:hAnsi="Aptos"/>
              </w:rPr>
            </w:pPr>
            <w:r w:rsidRPr="00156482">
              <w:rPr>
                <w:rFonts w:ascii="Aptos" w:hAnsi="Aptos"/>
                <w:sz w:val="15"/>
                <w:szCs w:val="15"/>
              </w:rPr>
              <w:t>$0.05T</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8BCC65B" w14:textId="77777777" w:rsidR="00207084" w:rsidRPr="00156482" w:rsidRDefault="005A0481">
            <w:pPr>
              <w:jc w:val="center"/>
              <w:rPr>
                <w:rFonts w:ascii="Aptos" w:hAnsi="Aptos"/>
              </w:rPr>
            </w:pPr>
            <w:r w:rsidRPr="00156482">
              <w:rPr>
                <w:rFonts w:ascii="Aptos" w:hAnsi="Aptos"/>
                <w:sz w:val="15"/>
                <w:szCs w:val="15"/>
              </w:rPr>
              <w:t>—</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D123CE4" w14:textId="77777777" w:rsidR="00207084" w:rsidRPr="00156482" w:rsidRDefault="005A0481">
            <w:pPr>
              <w:jc w:val="center"/>
              <w:rPr>
                <w:rFonts w:ascii="Aptos" w:hAnsi="Aptos"/>
              </w:rPr>
            </w:pPr>
            <w:r w:rsidRPr="00156482">
              <w:rPr>
                <w:rFonts w:ascii="Aptos" w:hAnsi="Aptos"/>
                <w:sz w:val="15"/>
                <w:szCs w:val="15"/>
              </w:rPr>
              <w:t>$0.06T</w:t>
            </w:r>
          </w:p>
        </w:tc>
        <w:tc>
          <w:tcPr>
            <w:tcW w:w="7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FB6DAA2" w14:textId="77777777" w:rsidR="00207084" w:rsidRPr="00156482" w:rsidRDefault="005A0481">
            <w:pPr>
              <w:jc w:val="center"/>
              <w:rPr>
                <w:rFonts w:ascii="Aptos" w:hAnsi="Aptos"/>
              </w:rPr>
            </w:pPr>
            <w:r w:rsidRPr="00156482">
              <w:rPr>
                <w:rFonts w:ascii="Aptos" w:hAnsi="Aptos"/>
                <w:sz w:val="15"/>
                <w:szCs w:val="15"/>
              </w:rPr>
              <w:t>—</w:t>
            </w:r>
          </w:p>
        </w:tc>
      </w:tr>
      <w:tr w:rsidR="00207084" w:rsidRPr="00156482" w14:paraId="4DBAF50C" w14:textId="77777777">
        <w:tc>
          <w:tcPr>
            <w:tcW w:w="72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00" w:type="dxa"/>
              <w:bottom w:w="60" w:type="dxa"/>
              <w:right w:w="100" w:type="dxa"/>
            </w:tcMar>
            <w:vAlign w:val="center"/>
          </w:tcPr>
          <w:p w14:paraId="3596A598" w14:textId="77777777" w:rsidR="00207084" w:rsidRPr="00156482" w:rsidRDefault="005A0481">
            <w:pPr>
              <w:rPr>
                <w:rFonts w:ascii="Aptos" w:hAnsi="Aptos"/>
              </w:rPr>
            </w:pPr>
            <w:r w:rsidRPr="00156482">
              <w:rPr>
                <w:rFonts w:ascii="Aptos" w:hAnsi="Aptos"/>
                <w:sz w:val="15"/>
                <w:szCs w:val="15"/>
              </w:rPr>
              <w:t>FY2018</w:t>
            </w:r>
          </w:p>
        </w:tc>
        <w:tc>
          <w:tcPr>
            <w:tcW w:w="68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00" w:type="dxa"/>
              <w:bottom w:w="60" w:type="dxa"/>
              <w:right w:w="100" w:type="dxa"/>
            </w:tcMar>
            <w:vAlign w:val="center"/>
          </w:tcPr>
          <w:p w14:paraId="6F5B91E8" w14:textId="77777777" w:rsidR="00207084" w:rsidRPr="00156482" w:rsidRDefault="005A0481">
            <w:pPr>
              <w:jc w:val="center"/>
              <w:rPr>
                <w:rFonts w:ascii="Aptos" w:hAnsi="Aptos"/>
              </w:rPr>
            </w:pPr>
            <w:r w:rsidRPr="00156482">
              <w:rPr>
                <w:rFonts w:ascii="Aptos" w:hAnsi="Aptos"/>
                <w:sz w:val="15"/>
                <w:szCs w:val="15"/>
              </w:rPr>
              <w:t>67.42%</w:t>
            </w:r>
          </w:p>
        </w:tc>
        <w:tc>
          <w:tcPr>
            <w:tcW w:w="68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00" w:type="dxa"/>
              <w:bottom w:w="60" w:type="dxa"/>
              <w:right w:w="100" w:type="dxa"/>
            </w:tcMar>
            <w:vAlign w:val="center"/>
          </w:tcPr>
          <w:p w14:paraId="26F95B62" w14:textId="77777777" w:rsidR="00207084" w:rsidRPr="00156482" w:rsidRDefault="005A0481">
            <w:pPr>
              <w:jc w:val="center"/>
              <w:rPr>
                <w:rFonts w:ascii="Aptos" w:hAnsi="Aptos"/>
              </w:rPr>
            </w:pPr>
            <w:r w:rsidRPr="00156482">
              <w:rPr>
                <w:rFonts w:ascii="Aptos" w:hAnsi="Aptos"/>
                <w:sz w:val="15"/>
                <w:szCs w:val="15"/>
              </w:rPr>
              <w:t>10.78%</w:t>
            </w:r>
          </w:p>
        </w:tc>
        <w:tc>
          <w:tcPr>
            <w:tcW w:w="8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00" w:type="dxa"/>
              <w:bottom w:w="60" w:type="dxa"/>
              <w:right w:w="100" w:type="dxa"/>
            </w:tcMar>
            <w:vAlign w:val="center"/>
          </w:tcPr>
          <w:p w14:paraId="473379DF" w14:textId="77777777" w:rsidR="00207084" w:rsidRPr="00156482" w:rsidRDefault="005A0481">
            <w:pPr>
              <w:jc w:val="center"/>
              <w:rPr>
                <w:rFonts w:ascii="Aptos" w:hAnsi="Aptos"/>
              </w:rPr>
            </w:pPr>
            <w:r w:rsidRPr="00156482">
              <w:rPr>
                <w:rFonts w:ascii="Aptos" w:hAnsi="Aptos"/>
                <w:color w:val="1A6600"/>
                <w:sz w:val="15"/>
                <w:szCs w:val="15"/>
              </w:rPr>
              <w:t>56.64 pp</w:t>
            </w:r>
          </w:p>
        </w:tc>
        <w:tc>
          <w:tcPr>
            <w:tcW w:w="10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00" w:type="dxa"/>
              <w:bottom w:w="60" w:type="dxa"/>
              <w:right w:w="100" w:type="dxa"/>
            </w:tcMar>
            <w:vAlign w:val="center"/>
          </w:tcPr>
          <w:p w14:paraId="1CD72D7D" w14:textId="77777777" w:rsidR="00207084" w:rsidRPr="00156482" w:rsidRDefault="005A0481">
            <w:pPr>
              <w:jc w:val="center"/>
              <w:rPr>
                <w:rFonts w:ascii="Aptos" w:hAnsi="Aptos"/>
              </w:rPr>
            </w:pPr>
            <w:r w:rsidRPr="00156482">
              <w:rPr>
                <w:rFonts w:ascii="Aptos" w:hAnsi="Aptos"/>
                <w:sz w:val="15"/>
                <w:szCs w:val="15"/>
              </w:rPr>
              <w:t>$0.20T</w:t>
            </w:r>
          </w:p>
        </w:tc>
        <w:tc>
          <w:tcPr>
            <w:tcW w:w="78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00" w:type="dxa"/>
              <w:bottom w:w="60" w:type="dxa"/>
              <w:right w:w="100" w:type="dxa"/>
            </w:tcMar>
            <w:vAlign w:val="center"/>
          </w:tcPr>
          <w:p w14:paraId="05F8E736" w14:textId="77777777" w:rsidR="00207084" w:rsidRPr="00156482" w:rsidRDefault="005A0481">
            <w:pPr>
              <w:jc w:val="center"/>
              <w:rPr>
                <w:rFonts w:ascii="Aptos" w:hAnsi="Aptos"/>
              </w:rPr>
            </w:pPr>
            <w:r w:rsidRPr="00156482">
              <w:rPr>
                <w:rFonts w:ascii="Aptos" w:hAnsi="Aptos"/>
                <w:sz w:val="15"/>
                <w:szCs w:val="15"/>
              </w:rPr>
              <w:t>+143.2%</w:t>
            </w:r>
          </w:p>
        </w:tc>
        <w:tc>
          <w:tcPr>
            <w:tcW w:w="10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00" w:type="dxa"/>
              <w:bottom w:w="60" w:type="dxa"/>
              <w:right w:w="100" w:type="dxa"/>
            </w:tcMar>
            <w:vAlign w:val="center"/>
          </w:tcPr>
          <w:p w14:paraId="38CAAB14" w14:textId="77777777" w:rsidR="00207084" w:rsidRPr="00156482" w:rsidRDefault="005A0481">
            <w:pPr>
              <w:jc w:val="center"/>
              <w:rPr>
                <w:rFonts w:ascii="Aptos" w:hAnsi="Aptos"/>
              </w:rPr>
            </w:pPr>
            <w:r w:rsidRPr="00156482">
              <w:rPr>
                <w:rFonts w:ascii="Aptos" w:hAnsi="Aptos"/>
                <w:sz w:val="15"/>
                <w:szCs w:val="15"/>
              </w:rPr>
              <w:t>$0.12T</w:t>
            </w:r>
          </w:p>
        </w:tc>
        <w:tc>
          <w:tcPr>
            <w:tcW w:w="78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00" w:type="dxa"/>
              <w:bottom w:w="60" w:type="dxa"/>
              <w:right w:w="100" w:type="dxa"/>
            </w:tcMar>
            <w:vAlign w:val="center"/>
          </w:tcPr>
          <w:p w14:paraId="5211FB67" w14:textId="77777777" w:rsidR="00207084" w:rsidRPr="00156482" w:rsidRDefault="005A0481">
            <w:pPr>
              <w:jc w:val="center"/>
              <w:rPr>
                <w:rFonts w:ascii="Aptos" w:hAnsi="Aptos"/>
              </w:rPr>
            </w:pPr>
            <w:r w:rsidRPr="00156482">
              <w:rPr>
                <w:rFonts w:ascii="Aptos" w:hAnsi="Aptos"/>
                <w:sz w:val="15"/>
                <w:szCs w:val="15"/>
              </w:rPr>
              <w:t>+141.9%</w:t>
            </w:r>
          </w:p>
        </w:tc>
        <w:tc>
          <w:tcPr>
            <w:tcW w:w="78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00" w:type="dxa"/>
              <w:bottom w:w="60" w:type="dxa"/>
              <w:right w:w="100" w:type="dxa"/>
            </w:tcMar>
            <w:vAlign w:val="center"/>
          </w:tcPr>
          <w:p w14:paraId="16E66FCB" w14:textId="77777777" w:rsidR="00207084" w:rsidRPr="00156482" w:rsidRDefault="005A0481">
            <w:pPr>
              <w:jc w:val="center"/>
              <w:rPr>
                <w:rFonts w:ascii="Aptos" w:hAnsi="Aptos"/>
              </w:rPr>
            </w:pPr>
            <w:r w:rsidRPr="00156482">
              <w:rPr>
                <w:rFonts w:ascii="Aptos" w:hAnsi="Aptos"/>
                <w:sz w:val="15"/>
                <w:szCs w:val="15"/>
              </w:rPr>
              <w:t>$0.15T</w:t>
            </w:r>
          </w:p>
        </w:tc>
        <w:tc>
          <w:tcPr>
            <w:tcW w:w="74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00" w:type="dxa"/>
              <w:bottom w:w="60" w:type="dxa"/>
              <w:right w:w="100" w:type="dxa"/>
            </w:tcMar>
            <w:vAlign w:val="center"/>
          </w:tcPr>
          <w:p w14:paraId="215B7C44" w14:textId="77777777" w:rsidR="00207084" w:rsidRPr="00156482" w:rsidRDefault="005A0481">
            <w:pPr>
              <w:jc w:val="center"/>
              <w:rPr>
                <w:rFonts w:ascii="Aptos" w:hAnsi="Aptos"/>
              </w:rPr>
            </w:pPr>
            <w:r w:rsidRPr="00156482">
              <w:rPr>
                <w:rFonts w:ascii="Aptos" w:hAnsi="Aptos"/>
                <w:sz w:val="15"/>
                <w:szCs w:val="15"/>
              </w:rPr>
              <w:t>+141.0%</w:t>
            </w:r>
          </w:p>
        </w:tc>
      </w:tr>
      <w:tr w:rsidR="00207084" w:rsidRPr="00156482" w14:paraId="263E7DEA" w14:textId="77777777">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857BDFB" w14:textId="77777777" w:rsidR="00207084" w:rsidRPr="00156482" w:rsidRDefault="005A0481">
            <w:pPr>
              <w:rPr>
                <w:rFonts w:ascii="Aptos" w:hAnsi="Aptos"/>
              </w:rPr>
            </w:pPr>
            <w:r w:rsidRPr="00156482">
              <w:rPr>
                <w:rFonts w:ascii="Aptos" w:hAnsi="Aptos"/>
                <w:sz w:val="15"/>
                <w:szCs w:val="15"/>
              </w:rPr>
              <w:t>FY2019</w:t>
            </w:r>
          </w:p>
        </w:tc>
        <w:tc>
          <w:tcPr>
            <w:tcW w:w="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91FF9E2" w14:textId="77777777" w:rsidR="00207084" w:rsidRPr="00156482" w:rsidRDefault="005A0481">
            <w:pPr>
              <w:jc w:val="center"/>
              <w:rPr>
                <w:rFonts w:ascii="Aptos" w:hAnsi="Aptos"/>
              </w:rPr>
            </w:pPr>
            <w:r w:rsidRPr="00156482">
              <w:rPr>
                <w:rFonts w:ascii="Aptos" w:hAnsi="Aptos"/>
                <w:sz w:val="15"/>
                <w:szCs w:val="15"/>
              </w:rPr>
              <w:t>62.32%</w:t>
            </w:r>
          </w:p>
        </w:tc>
        <w:tc>
          <w:tcPr>
            <w:tcW w:w="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AC239AD" w14:textId="77777777" w:rsidR="00207084" w:rsidRPr="00156482" w:rsidRDefault="005A0481">
            <w:pPr>
              <w:jc w:val="center"/>
              <w:rPr>
                <w:rFonts w:ascii="Aptos" w:hAnsi="Aptos"/>
              </w:rPr>
            </w:pPr>
            <w:r w:rsidRPr="00156482">
              <w:rPr>
                <w:rFonts w:ascii="Aptos" w:hAnsi="Aptos"/>
                <w:sz w:val="15"/>
                <w:szCs w:val="15"/>
              </w:rPr>
              <w:t>12.84%</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82B954F" w14:textId="77777777" w:rsidR="00207084" w:rsidRPr="00156482" w:rsidRDefault="005A0481">
            <w:pPr>
              <w:jc w:val="center"/>
              <w:rPr>
                <w:rFonts w:ascii="Aptos" w:hAnsi="Aptos"/>
              </w:rPr>
            </w:pPr>
            <w:r w:rsidRPr="00156482">
              <w:rPr>
                <w:rFonts w:ascii="Aptos" w:hAnsi="Aptos"/>
                <w:sz w:val="15"/>
                <w:szCs w:val="15"/>
              </w:rPr>
              <w:t>49.48 pp</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B0BF461" w14:textId="77777777" w:rsidR="00207084" w:rsidRPr="00156482" w:rsidRDefault="005A0481">
            <w:pPr>
              <w:jc w:val="center"/>
              <w:rPr>
                <w:rFonts w:ascii="Aptos" w:hAnsi="Aptos"/>
              </w:rPr>
            </w:pPr>
            <w:r w:rsidRPr="00156482">
              <w:rPr>
                <w:rFonts w:ascii="Aptos" w:hAnsi="Aptos"/>
                <w:sz w:val="15"/>
                <w:szCs w:val="15"/>
              </w:rPr>
              <w:t>$0.11T</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4AB10AB" w14:textId="77777777" w:rsidR="00207084" w:rsidRPr="00156482" w:rsidRDefault="005A0481">
            <w:pPr>
              <w:jc w:val="center"/>
              <w:rPr>
                <w:rFonts w:ascii="Aptos" w:hAnsi="Aptos"/>
              </w:rPr>
            </w:pPr>
            <w:r w:rsidRPr="00156482">
              <w:rPr>
                <w:rFonts w:ascii="Aptos" w:hAnsi="Aptos"/>
                <w:sz w:val="15"/>
                <w:szCs w:val="15"/>
              </w:rPr>
              <w:t>-44.8%</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1AB4B75" w14:textId="77777777" w:rsidR="00207084" w:rsidRPr="00156482" w:rsidRDefault="005A0481">
            <w:pPr>
              <w:jc w:val="center"/>
              <w:rPr>
                <w:rFonts w:ascii="Aptos" w:hAnsi="Aptos"/>
              </w:rPr>
            </w:pPr>
            <w:r w:rsidRPr="00156482">
              <w:rPr>
                <w:rFonts w:ascii="Aptos" w:hAnsi="Aptos"/>
                <w:sz w:val="15"/>
                <w:szCs w:val="15"/>
              </w:rPr>
              <w:t>$0.06T</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37AB174" w14:textId="77777777" w:rsidR="00207084" w:rsidRPr="00156482" w:rsidRDefault="005A0481">
            <w:pPr>
              <w:jc w:val="center"/>
              <w:rPr>
                <w:rFonts w:ascii="Aptos" w:hAnsi="Aptos"/>
              </w:rPr>
            </w:pPr>
            <w:r w:rsidRPr="00156482">
              <w:rPr>
                <w:rFonts w:ascii="Aptos" w:hAnsi="Aptos"/>
                <w:sz w:val="15"/>
                <w:szCs w:val="15"/>
              </w:rPr>
              <w:t>-53.0%</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4F682D6" w14:textId="77777777" w:rsidR="00207084" w:rsidRPr="00156482" w:rsidRDefault="005A0481">
            <w:pPr>
              <w:jc w:val="center"/>
              <w:rPr>
                <w:rFonts w:ascii="Aptos" w:hAnsi="Aptos"/>
              </w:rPr>
            </w:pPr>
            <w:r w:rsidRPr="00156482">
              <w:rPr>
                <w:rFonts w:ascii="Aptos" w:hAnsi="Aptos"/>
                <w:sz w:val="15"/>
                <w:szCs w:val="15"/>
              </w:rPr>
              <w:t>$0.10T</w:t>
            </w:r>
          </w:p>
        </w:tc>
        <w:tc>
          <w:tcPr>
            <w:tcW w:w="7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0062176" w14:textId="77777777" w:rsidR="00207084" w:rsidRPr="00156482" w:rsidRDefault="005A0481">
            <w:pPr>
              <w:jc w:val="center"/>
              <w:rPr>
                <w:rFonts w:ascii="Aptos" w:hAnsi="Aptos"/>
              </w:rPr>
            </w:pPr>
            <w:r w:rsidRPr="00156482">
              <w:rPr>
                <w:rFonts w:ascii="Aptos" w:hAnsi="Aptos"/>
                <w:sz w:val="15"/>
                <w:szCs w:val="15"/>
              </w:rPr>
              <w:t>-33.2%</w:t>
            </w:r>
          </w:p>
        </w:tc>
      </w:tr>
      <w:tr w:rsidR="00207084" w:rsidRPr="00156482" w14:paraId="1DEC3C84" w14:textId="77777777">
        <w:tc>
          <w:tcPr>
            <w:tcW w:w="72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00" w:type="dxa"/>
              <w:bottom w:w="60" w:type="dxa"/>
              <w:right w:w="100" w:type="dxa"/>
            </w:tcMar>
            <w:vAlign w:val="center"/>
          </w:tcPr>
          <w:p w14:paraId="46714FE0" w14:textId="77777777" w:rsidR="00207084" w:rsidRPr="00156482" w:rsidRDefault="005A0481">
            <w:pPr>
              <w:rPr>
                <w:rFonts w:ascii="Aptos" w:hAnsi="Aptos"/>
              </w:rPr>
            </w:pPr>
            <w:r w:rsidRPr="00156482">
              <w:rPr>
                <w:rFonts w:ascii="Aptos" w:hAnsi="Aptos"/>
                <w:sz w:val="15"/>
                <w:szCs w:val="15"/>
              </w:rPr>
              <w:t>FY2020</w:t>
            </w:r>
          </w:p>
        </w:tc>
        <w:tc>
          <w:tcPr>
            <w:tcW w:w="68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00" w:type="dxa"/>
              <w:bottom w:w="60" w:type="dxa"/>
              <w:right w:w="100" w:type="dxa"/>
            </w:tcMar>
            <w:vAlign w:val="center"/>
          </w:tcPr>
          <w:p w14:paraId="0412245D" w14:textId="77777777" w:rsidR="00207084" w:rsidRPr="00156482" w:rsidRDefault="005A0481">
            <w:pPr>
              <w:jc w:val="center"/>
              <w:rPr>
                <w:rFonts w:ascii="Aptos" w:hAnsi="Aptos"/>
              </w:rPr>
            </w:pPr>
            <w:r w:rsidRPr="00156482">
              <w:rPr>
                <w:rFonts w:ascii="Aptos" w:hAnsi="Aptos"/>
                <w:sz w:val="15"/>
                <w:szCs w:val="15"/>
              </w:rPr>
              <w:t>42.89%</w:t>
            </w:r>
          </w:p>
        </w:tc>
        <w:tc>
          <w:tcPr>
            <w:tcW w:w="68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00" w:type="dxa"/>
              <w:bottom w:w="60" w:type="dxa"/>
              <w:right w:w="100" w:type="dxa"/>
            </w:tcMar>
            <w:vAlign w:val="center"/>
          </w:tcPr>
          <w:p w14:paraId="4709AB0C" w14:textId="77777777" w:rsidR="00207084" w:rsidRPr="00156482" w:rsidRDefault="005A0481">
            <w:pPr>
              <w:jc w:val="center"/>
              <w:rPr>
                <w:rFonts w:ascii="Aptos" w:hAnsi="Aptos"/>
              </w:rPr>
            </w:pPr>
            <w:r w:rsidRPr="00156482">
              <w:rPr>
                <w:rFonts w:ascii="Aptos" w:hAnsi="Aptos"/>
                <w:sz w:val="15"/>
                <w:szCs w:val="15"/>
              </w:rPr>
              <w:t>10.41%</w:t>
            </w:r>
          </w:p>
        </w:tc>
        <w:tc>
          <w:tcPr>
            <w:tcW w:w="8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00" w:type="dxa"/>
              <w:bottom w:w="60" w:type="dxa"/>
              <w:right w:w="100" w:type="dxa"/>
            </w:tcMar>
            <w:vAlign w:val="center"/>
          </w:tcPr>
          <w:p w14:paraId="58F3CC17" w14:textId="77777777" w:rsidR="00207084" w:rsidRPr="00156482" w:rsidRDefault="005A0481">
            <w:pPr>
              <w:jc w:val="center"/>
              <w:rPr>
                <w:rFonts w:ascii="Aptos" w:hAnsi="Aptos"/>
              </w:rPr>
            </w:pPr>
            <w:r w:rsidRPr="00156482">
              <w:rPr>
                <w:rFonts w:ascii="Aptos" w:hAnsi="Aptos"/>
                <w:sz w:val="15"/>
                <w:szCs w:val="15"/>
              </w:rPr>
              <w:t>32.48 pp</w:t>
            </w:r>
          </w:p>
        </w:tc>
        <w:tc>
          <w:tcPr>
            <w:tcW w:w="10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00" w:type="dxa"/>
              <w:bottom w:w="60" w:type="dxa"/>
              <w:right w:w="100" w:type="dxa"/>
            </w:tcMar>
            <w:vAlign w:val="center"/>
          </w:tcPr>
          <w:p w14:paraId="1BE97B4E" w14:textId="77777777" w:rsidR="00207084" w:rsidRPr="00156482" w:rsidRDefault="005A0481">
            <w:pPr>
              <w:jc w:val="center"/>
              <w:rPr>
                <w:rFonts w:ascii="Aptos" w:hAnsi="Aptos"/>
              </w:rPr>
            </w:pPr>
            <w:r w:rsidRPr="00156482">
              <w:rPr>
                <w:rFonts w:ascii="Aptos" w:hAnsi="Aptos"/>
                <w:sz w:val="15"/>
                <w:szCs w:val="15"/>
              </w:rPr>
              <w:t>$0.23T</w:t>
            </w:r>
          </w:p>
        </w:tc>
        <w:tc>
          <w:tcPr>
            <w:tcW w:w="78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00" w:type="dxa"/>
              <w:bottom w:w="60" w:type="dxa"/>
              <w:right w:w="100" w:type="dxa"/>
            </w:tcMar>
            <w:vAlign w:val="center"/>
          </w:tcPr>
          <w:p w14:paraId="672C16DB" w14:textId="77777777" w:rsidR="00207084" w:rsidRPr="00156482" w:rsidRDefault="005A0481">
            <w:pPr>
              <w:jc w:val="center"/>
              <w:rPr>
                <w:rFonts w:ascii="Aptos" w:hAnsi="Aptos"/>
              </w:rPr>
            </w:pPr>
            <w:r w:rsidRPr="00156482">
              <w:rPr>
                <w:rFonts w:ascii="Aptos" w:hAnsi="Aptos"/>
                <w:sz w:val="15"/>
                <w:szCs w:val="15"/>
              </w:rPr>
              <w:t>+105.8%</w:t>
            </w:r>
          </w:p>
        </w:tc>
        <w:tc>
          <w:tcPr>
            <w:tcW w:w="10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00" w:type="dxa"/>
              <w:bottom w:w="60" w:type="dxa"/>
              <w:right w:w="100" w:type="dxa"/>
            </w:tcMar>
            <w:vAlign w:val="center"/>
          </w:tcPr>
          <w:p w14:paraId="2175C041" w14:textId="77777777" w:rsidR="00207084" w:rsidRPr="00156482" w:rsidRDefault="005A0481">
            <w:pPr>
              <w:jc w:val="center"/>
              <w:rPr>
                <w:rFonts w:ascii="Aptos" w:hAnsi="Aptos"/>
              </w:rPr>
            </w:pPr>
            <w:r w:rsidRPr="00156482">
              <w:rPr>
                <w:rFonts w:ascii="Aptos" w:hAnsi="Aptos"/>
                <w:sz w:val="15"/>
                <w:szCs w:val="15"/>
              </w:rPr>
              <w:t>$0.15T</w:t>
            </w:r>
          </w:p>
        </w:tc>
        <w:tc>
          <w:tcPr>
            <w:tcW w:w="78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00" w:type="dxa"/>
              <w:bottom w:w="60" w:type="dxa"/>
              <w:right w:w="100" w:type="dxa"/>
            </w:tcMar>
            <w:vAlign w:val="center"/>
          </w:tcPr>
          <w:p w14:paraId="3D5D3848" w14:textId="77777777" w:rsidR="00207084" w:rsidRPr="00156482" w:rsidRDefault="005A0481">
            <w:pPr>
              <w:jc w:val="center"/>
              <w:rPr>
                <w:rFonts w:ascii="Aptos" w:hAnsi="Aptos"/>
              </w:rPr>
            </w:pPr>
            <w:r w:rsidRPr="00156482">
              <w:rPr>
                <w:rFonts w:ascii="Aptos" w:hAnsi="Aptos"/>
                <w:sz w:val="15"/>
                <w:szCs w:val="15"/>
              </w:rPr>
              <w:t>+157.3%</w:t>
            </w:r>
          </w:p>
        </w:tc>
        <w:tc>
          <w:tcPr>
            <w:tcW w:w="78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00" w:type="dxa"/>
              <w:bottom w:w="60" w:type="dxa"/>
              <w:right w:w="100" w:type="dxa"/>
            </w:tcMar>
            <w:vAlign w:val="center"/>
          </w:tcPr>
          <w:p w14:paraId="3C45049D" w14:textId="77777777" w:rsidR="00207084" w:rsidRPr="00156482" w:rsidRDefault="005A0481">
            <w:pPr>
              <w:jc w:val="center"/>
              <w:rPr>
                <w:rFonts w:ascii="Aptos" w:hAnsi="Aptos"/>
              </w:rPr>
            </w:pPr>
            <w:r w:rsidRPr="00156482">
              <w:rPr>
                <w:rFonts w:ascii="Aptos" w:hAnsi="Aptos"/>
                <w:sz w:val="15"/>
                <w:szCs w:val="15"/>
              </w:rPr>
              <w:t>$0.15T</w:t>
            </w:r>
          </w:p>
        </w:tc>
        <w:tc>
          <w:tcPr>
            <w:tcW w:w="74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00" w:type="dxa"/>
              <w:bottom w:w="60" w:type="dxa"/>
              <w:right w:w="100" w:type="dxa"/>
            </w:tcMar>
            <w:vAlign w:val="center"/>
          </w:tcPr>
          <w:p w14:paraId="3ECEC870" w14:textId="77777777" w:rsidR="00207084" w:rsidRPr="00156482" w:rsidRDefault="005A0481">
            <w:pPr>
              <w:jc w:val="center"/>
              <w:rPr>
                <w:rFonts w:ascii="Aptos" w:hAnsi="Aptos"/>
              </w:rPr>
            </w:pPr>
            <w:r w:rsidRPr="00156482">
              <w:rPr>
                <w:rFonts w:ascii="Aptos" w:hAnsi="Aptos"/>
                <w:sz w:val="15"/>
                <w:szCs w:val="15"/>
              </w:rPr>
              <w:t>+56.7%</w:t>
            </w:r>
          </w:p>
        </w:tc>
      </w:tr>
      <w:tr w:rsidR="00207084" w:rsidRPr="00156482" w14:paraId="2895B475" w14:textId="77777777">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ADA66E7" w14:textId="77777777" w:rsidR="00207084" w:rsidRPr="00156482" w:rsidRDefault="005A0481">
            <w:pPr>
              <w:rPr>
                <w:rFonts w:ascii="Aptos" w:hAnsi="Aptos"/>
              </w:rPr>
            </w:pPr>
            <w:r w:rsidRPr="00156482">
              <w:rPr>
                <w:rFonts w:ascii="Aptos" w:hAnsi="Aptos"/>
                <w:sz w:val="15"/>
                <w:szCs w:val="15"/>
              </w:rPr>
              <w:t>FY2021</w:t>
            </w:r>
          </w:p>
        </w:tc>
        <w:tc>
          <w:tcPr>
            <w:tcW w:w="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7AA6250" w14:textId="77777777" w:rsidR="00207084" w:rsidRPr="00156482" w:rsidRDefault="005A0481">
            <w:pPr>
              <w:jc w:val="center"/>
              <w:rPr>
                <w:rFonts w:ascii="Aptos" w:hAnsi="Aptos"/>
              </w:rPr>
            </w:pPr>
            <w:r w:rsidRPr="00156482">
              <w:rPr>
                <w:rFonts w:ascii="Aptos" w:hAnsi="Aptos"/>
                <w:sz w:val="15"/>
                <w:szCs w:val="15"/>
              </w:rPr>
              <w:t>31.48%</w:t>
            </w:r>
          </w:p>
        </w:tc>
        <w:tc>
          <w:tcPr>
            <w:tcW w:w="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E8A9251" w14:textId="77777777" w:rsidR="00207084" w:rsidRPr="00156482" w:rsidRDefault="005A0481">
            <w:pPr>
              <w:jc w:val="center"/>
              <w:rPr>
                <w:rFonts w:ascii="Aptos" w:hAnsi="Aptos"/>
              </w:rPr>
            </w:pPr>
            <w:r w:rsidRPr="00156482">
              <w:rPr>
                <w:rFonts w:ascii="Aptos" w:hAnsi="Aptos"/>
                <w:sz w:val="15"/>
                <w:szCs w:val="15"/>
              </w:rPr>
              <w:t>8.16%</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51C25FD" w14:textId="77777777" w:rsidR="00207084" w:rsidRPr="00156482" w:rsidRDefault="005A0481">
            <w:pPr>
              <w:jc w:val="center"/>
              <w:rPr>
                <w:rFonts w:ascii="Aptos" w:hAnsi="Aptos"/>
              </w:rPr>
            </w:pPr>
            <w:r w:rsidRPr="00156482">
              <w:rPr>
                <w:rFonts w:ascii="Aptos" w:hAnsi="Aptos"/>
                <w:sz w:val="15"/>
                <w:szCs w:val="15"/>
              </w:rPr>
              <w:t>23.32 pp</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3EA185A" w14:textId="77777777" w:rsidR="00207084" w:rsidRPr="00156482" w:rsidRDefault="005A0481">
            <w:pPr>
              <w:jc w:val="center"/>
              <w:rPr>
                <w:rFonts w:ascii="Aptos" w:hAnsi="Aptos"/>
              </w:rPr>
            </w:pPr>
            <w:r w:rsidRPr="00156482">
              <w:rPr>
                <w:rFonts w:ascii="Aptos" w:hAnsi="Aptos"/>
                <w:sz w:val="15"/>
                <w:szCs w:val="15"/>
              </w:rPr>
              <w:t>$0.51T</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6B50C6F" w14:textId="77777777" w:rsidR="00207084" w:rsidRPr="00156482" w:rsidRDefault="005A0481">
            <w:pPr>
              <w:jc w:val="center"/>
              <w:rPr>
                <w:rFonts w:ascii="Aptos" w:hAnsi="Aptos"/>
              </w:rPr>
            </w:pPr>
            <w:r w:rsidRPr="00156482">
              <w:rPr>
                <w:rFonts w:ascii="Aptos" w:hAnsi="Aptos"/>
                <w:sz w:val="15"/>
                <w:szCs w:val="15"/>
              </w:rPr>
              <w:t>+123.3%</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AAAF310" w14:textId="77777777" w:rsidR="00207084" w:rsidRPr="00156482" w:rsidRDefault="005A0481">
            <w:pPr>
              <w:jc w:val="center"/>
              <w:rPr>
                <w:rFonts w:ascii="Aptos" w:hAnsi="Aptos"/>
              </w:rPr>
            </w:pPr>
            <w:r w:rsidRPr="00156482">
              <w:rPr>
                <w:rFonts w:ascii="Aptos" w:hAnsi="Aptos"/>
                <w:sz w:val="15"/>
                <w:szCs w:val="15"/>
              </w:rPr>
              <w:t>$0.36T</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B3B8681" w14:textId="77777777" w:rsidR="00207084" w:rsidRPr="00156482" w:rsidRDefault="005A0481">
            <w:pPr>
              <w:jc w:val="center"/>
              <w:rPr>
                <w:rFonts w:ascii="Aptos" w:hAnsi="Aptos"/>
              </w:rPr>
            </w:pPr>
            <w:r w:rsidRPr="00156482">
              <w:rPr>
                <w:rFonts w:ascii="Aptos" w:hAnsi="Aptos"/>
                <w:sz w:val="15"/>
                <w:szCs w:val="15"/>
              </w:rPr>
              <w:t>+149.3%</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5A3C699" w14:textId="77777777" w:rsidR="00207084" w:rsidRPr="00156482" w:rsidRDefault="005A0481">
            <w:pPr>
              <w:jc w:val="center"/>
              <w:rPr>
                <w:rFonts w:ascii="Aptos" w:hAnsi="Aptos"/>
              </w:rPr>
            </w:pPr>
            <w:r w:rsidRPr="00156482">
              <w:rPr>
                <w:rFonts w:ascii="Aptos" w:hAnsi="Aptos"/>
                <w:sz w:val="15"/>
                <w:szCs w:val="15"/>
              </w:rPr>
              <w:t>$0.32T</w:t>
            </w:r>
          </w:p>
        </w:tc>
        <w:tc>
          <w:tcPr>
            <w:tcW w:w="7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706BD38" w14:textId="77777777" w:rsidR="00207084" w:rsidRPr="00156482" w:rsidRDefault="005A0481">
            <w:pPr>
              <w:jc w:val="center"/>
              <w:rPr>
                <w:rFonts w:ascii="Aptos" w:hAnsi="Aptos"/>
              </w:rPr>
            </w:pPr>
            <w:r w:rsidRPr="00156482">
              <w:rPr>
                <w:rFonts w:ascii="Aptos" w:hAnsi="Aptos"/>
                <w:sz w:val="15"/>
                <w:szCs w:val="15"/>
              </w:rPr>
              <w:t>+110.2%</w:t>
            </w:r>
          </w:p>
        </w:tc>
      </w:tr>
      <w:tr w:rsidR="00207084" w:rsidRPr="00156482" w14:paraId="49FDCF92" w14:textId="77777777">
        <w:tc>
          <w:tcPr>
            <w:tcW w:w="72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00" w:type="dxa"/>
              <w:bottom w:w="60" w:type="dxa"/>
              <w:right w:w="100" w:type="dxa"/>
            </w:tcMar>
            <w:vAlign w:val="center"/>
          </w:tcPr>
          <w:p w14:paraId="1238BF4E" w14:textId="77777777" w:rsidR="00207084" w:rsidRPr="00156482" w:rsidRDefault="005A0481">
            <w:pPr>
              <w:rPr>
                <w:rFonts w:ascii="Aptos" w:hAnsi="Aptos"/>
              </w:rPr>
            </w:pPr>
            <w:r w:rsidRPr="00156482">
              <w:rPr>
                <w:rFonts w:ascii="Aptos" w:hAnsi="Aptos"/>
                <w:sz w:val="15"/>
                <w:szCs w:val="15"/>
              </w:rPr>
              <w:t>FY2022</w:t>
            </w:r>
          </w:p>
        </w:tc>
        <w:tc>
          <w:tcPr>
            <w:tcW w:w="68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00" w:type="dxa"/>
              <w:bottom w:w="60" w:type="dxa"/>
              <w:right w:w="100" w:type="dxa"/>
            </w:tcMar>
            <w:vAlign w:val="center"/>
          </w:tcPr>
          <w:p w14:paraId="260FBBCD" w14:textId="77777777" w:rsidR="00207084" w:rsidRPr="00156482" w:rsidRDefault="005A0481">
            <w:pPr>
              <w:jc w:val="center"/>
              <w:rPr>
                <w:rFonts w:ascii="Aptos" w:hAnsi="Aptos"/>
              </w:rPr>
            </w:pPr>
            <w:r w:rsidRPr="00156482">
              <w:rPr>
                <w:rFonts w:ascii="Aptos" w:hAnsi="Aptos"/>
                <w:sz w:val="15"/>
                <w:szCs w:val="15"/>
              </w:rPr>
              <w:t>48.13%</w:t>
            </w:r>
          </w:p>
        </w:tc>
        <w:tc>
          <w:tcPr>
            <w:tcW w:w="68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00" w:type="dxa"/>
              <w:bottom w:w="60" w:type="dxa"/>
              <w:right w:w="100" w:type="dxa"/>
            </w:tcMar>
            <w:vAlign w:val="center"/>
          </w:tcPr>
          <w:p w14:paraId="44A45E3F" w14:textId="77777777" w:rsidR="00207084" w:rsidRPr="00156482" w:rsidRDefault="005A0481">
            <w:pPr>
              <w:jc w:val="center"/>
              <w:rPr>
                <w:rFonts w:ascii="Aptos" w:hAnsi="Aptos"/>
              </w:rPr>
            </w:pPr>
            <w:r w:rsidRPr="00156482">
              <w:rPr>
                <w:rFonts w:ascii="Aptos" w:hAnsi="Aptos"/>
                <w:sz w:val="15"/>
                <w:szCs w:val="15"/>
              </w:rPr>
              <w:t>9.20%</w:t>
            </w:r>
          </w:p>
        </w:tc>
        <w:tc>
          <w:tcPr>
            <w:tcW w:w="8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00" w:type="dxa"/>
              <w:bottom w:w="60" w:type="dxa"/>
              <w:right w:w="100" w:type="dxa"/>
            </w:tcMar>
            <w:vAlign w:val="center"/>
          </w:tcPr>
          <w:p w14:paraId="70C06842" w14:textId="77777777" w:rsidR="00207084" w:rsidRPr="00156482" w:rsidRDefault="005A0481">
            <w:pPr>
              <w:jc w:val="center"/>
              <w:rPr>
                <w:rFonts w:ascii="Aptos" w:hAnsi="Aptos"/>
              </w:rPr>
            </w:pPr>
            <w:r w:rsidRPr="00156482">
              <w:rPr>
                <w:rFonts w:ascii="Aptos" w:hAnsi="Aptos"/>
                <w:sz w:val="15"/>
                <w:szCs w:val="15"/>
              </w:rPr>
              <w:t>38.93 pp</w:t>
            </w:r>
          </w:p>
        </w:tc>
        <w:tc>
          <w:tcPr>
            <w:tcW w:w="10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00" w:type="dxa"/>
              <w:bottom w:w="60" w:type="dxa"/>
              <w:right w:w="100" w:type="dxa"/>
            </w:tcMar>
            <w:vAlign w:val="center"/>
          </w:tcPr>
          <w:p w14:paraId="206C8FDC" w14:textId="77777777" w:rsidR="00207084" w:rsidRPr="00156482" w:rsidRDefault="005A0481">
            <w:pPr>
              <w:jc w:val="center"/>
              <w:rPr>
                <w:rFonts w:ascii="Aptos" w:hAnsi="Aptos"/>
              </w:rPr>
            </w:pPr>
            <w:r w:rsidRPr="00156482">
              <w:rPr>
                <w:rFonts w:ascii="Aptos" w:hAnsi="Aptos"/>
                <w:sz w:val="15"/>
                <w:szCs w:val="15"/>
              </w:rPr>
              <w:t>$0.78T</w:t>
            </w:r>
          </w:p>
        </w:tc>
        <w:tc>
          <w:tcPr>
            <w:tcW w:w="78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00" w:type="dxa"/>
              <w:bottom w:w="60" w:type="dxa"/>
              <w:right w:w="100" w:type="dxa"/>
            </w:tcMar>
            <w:vAlign w:val="center"/>
          </w:tcPr>
          <w:p w14:paraId="7FD7A357" w14:textId="77777777" w:rsidR="00207084" w:rsidRPr="00156482" w:rsidRDefault="005A0481">
            <w:pPr>
              <w:jc w:val="center"/>
              <w:rPr>
                <w:rFonts w:ascii="Aptos" w:hAnsi="Aptos"/>
              </w:rPr>
            </w:pPr>
            <w:r w:rsidRPr="00156482">
              <w:rPr>
                <w:rFonts w:ascii="Aptos" w:hAnsi="Aptos"/>
                <w:sz w:val="15"/>
                <w:szCs w:val="15"/>
              </w:rPr>
              <w:t>+51.9%</w:t>
            </w:r>
          </w:p>
        </w:tc>
        <w:tc>
          <w:tcPr>
            <w:tcW w:w="10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00" w:type="dxa"/>
              <w:bottom w:w="60" w:type="dxa"/>
              <w:right w:w="100" w:type="dxa"/>
            </w:tcMar>
            <w:vAlign w:val="center"/>
          </w:tcPr>
          <w:p w14:paraId="0EA23832" w14:textId="77777777" w:rsidR="00207084" w:rsidRPr="00156482" w:rsidRDefault="005A0481">
            <w:pPr>
              <w:jc w:val="center"/>
              <w:rPr>
                <w:rFonts w:ascii="Aptos" w:hAnsi="Aptos"/>
              </w:rPr>
            </w:pPr>
            <w:r w:rsidRPr="00156482">
              <w:rPr>
                <w:rFonts w:ascii="Aptos" w:hAnsi="Aptos"/>
                <w:sz w:val="15"/>
                <w:szCs w:val="15"/>
              </w:rPr>
              <w:t>$0.51T</w:t>
            </w:r>
          </w:p>
        </w:tc>
        <w:tc>
          <w:tcPr>
            <w:tcW w:w="78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00" w:type="dxa"/>
              <w:bottom w:w="60" w:type="dxa"/>
              <w:right w:w="100" w:type="dxa"/>
            </w:tcMar>
            <w:vAlign w:val="center"/>
          </w:tcPr>
          <w:p w14:paraId="005285BF" w14:textId="77777777" w:rsidR="00207084" w:rsidRPr="00156482" w:rsidRDefault="005A0481">
            <w:pPr>
              <w:jc w:val="center"/>
              <w:rPr>
                <w:rFonts w:ascii="Aptos" w:hAnsi="Aptos"/>
              </w:rPr>
            </w:pPr>
            <w:r w:rsidRPr="00156482">
              <w:rPr>
                <w:rFonts w:ascii="Aptos" w:hAnsi="Aptos"/>
                <w:sz w:val="15"/>
                <w:szCs w:val="15"/>
              </w:rPr>
              <w:t>+40.9%</w:t>
            </w:r>
          </w:p>
        </w:tc>
        <w:tc>
          <w:tcPr>
            <w:tcW w:w="78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00" w:type="dxa"/>
              <w:bottom w:w="60" w:type="dxa"/>
              <w:right w:w="100" w:type="dxa"/>
            </w:tcMar>
            <w:vAlign w:val="center"/>
          </w:tcPr>
          <w:p w14:paraId="78E1B0F9" w14:textId="77777777" w:rsidR="00207084" w:rsidRPr="00156482" w:rsidRDefault="005A0481">
            <w:pPr>
              <w:jc w:val="center"/>
              <w:rPr>
                <w:rFonts w:ascii="Aptos" w:hAnsi="Aptos"/>
              </w:rPr>
            </w:pPr>
            <w:r w:rsidRPr="00156482">
              <w:rPr>
                <w:rFonts w:ascii="Aptos" w:hAnsi="Aptos"/>
                <w:sz w:val="15"/>
                <w:szCs w:val="15"/>
              </w:rPr>
              <w:t>$0.57T</w:t>
            </w:r>
          </w:p>
        </w:tc>
        <w:tc>
          <w:tcPr>
            <w:tcW w:w="74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00" w:type="dxa"/>
              <w:bottom w:w="60" w:type="dxa"/>
              <w:right w:w="100" w:type="dxa"/>
            </w:tcMar>
            <w:vAlign w:val="center"/>
          </w:tcPr>
          <w:p w14:paraId="054F3055" w14:textId="77777777" w:rsidR="00207084" w:rsidRPr="00156482" w:rsidRDefault="005A0481">
            <w:pPr>
              <w:jc w:val="center"/>
              <w:rPr>
                <w:rFonts w:ascii="Aptos" w:hAnsi="Aptos"/>
              </w:rPr>
            </w:pPr>
            <w:r w:rsidRPr="00156482">
              <w:rPr>
                <w:rFonts w:ascii="Aptos" w:hAnsi="Aptos"/>
                <w:sz w:val="15"/>
                <w:szCs w:val="15"/>
              </w:rPr>
              <w:t>+77.8%</w:t>
            </w:r>
          </w:p>
        </w:tc>
      </w:tr>
      <w:tr w:rsidR="00207084" w:rsidRPr="00156482" w14:paraId="2548EA97" w14:textId="77777777">
        <w:tc>
          <w:tcPr>
            <w:tcW w:w="720" w:type="dxa"/>
            <w:tcBorders>
              <w:top w:val="single" w:sz="1" w:space="0" w:color="CCCCCC"/>
              <w:left w:val="single" w:sz="1" w:space="0" w:color="CCCCCC"/>
              <w:bottom w:val="single" w:sz="1" w:space="0" w:color="CCCCCC"/>
              <w:right w:val="single" w:sz="1" w:space="0" w:color="CCCCCC"/>
            </w:tcBorders>
            <w:shd w:val="clear" w:color="auto" w:fill="FFF3F3"/>
            <w:tcMar>
              <w:top w:w="60" w:type="dxa"/>
              <w:left w:w="100" w:type="dxa"/>
              <w:bottom w:w="60" w:type="dxa"/>
              <w:right w:w="100" w:type="dxa"/>
            </w:tcMar>
            <w:vAlign w:val="center"/>
          </w:tcPr>
          <w:p w14:paraId="2910F1B3" w14:textId="77777777" w:rsidR="00207084" w:rsidRPr="00156482" w:rsidRDefault="005A0481">
            <w:pPr>
              <w:rPr>
                <w:rFonts w:ascii="Aptos" w:hAnsi="Aptos"/>
              </w:rPr>
            </w:pPr>
            <w:r w:rsidRPr="00156482">
              <w:rPr>
                <w:rFonts w:ascii="Aptos" w:hAnsi="Aptos"/>
                <w:sz w:val="15"/>
                <w:szCs w:val="15"/>
              </w:rPr>
              <w:t>FY2023</w:t>
            </w:r>
          </w:p>
        </w:tc>
        <w:tc>
          <w:tcPr>
            <w:tcW w:w="680" w:type="dxa"/>
            <w:tcBorders>
              <w:top w:val="single" w:sz="1" w:space="0" w:color="CCCCCC"/>
              <w:left w:val="single" w:sz="1" w:space="0" w:color="CCCCCC"/>
              <w:bottom w:val="single" w:sz="1" w:space="0" w:color="CCCCCC"/>
              <w:right w:val="single" w:sz="1" w:space="0" w:color="CCCCCC"/>
            </w:tcBorders>
            <w:shd w:val="clear" w:color="auto" w:fill="FFF3F3"/>
            <w:tcMar>
              <w:top w:w="60" w:type="dxa"/>
              <w:left w:w="100" w:type="dxa"/>
              <w:bottom w:w="60" w:type="dxa"/>
              <w:right w:w="100" w:type="dxa"/>
            </w:tcMar>
            <w:vAlign w:val="center"/>
          </w:tcPr>
          <w:p w14:paraId="0A153BD1" w14:textId="77777777" w:rsidR="00207084" w:rsidRPr="00156482" w:rsidRDefault="005A0481">
            <w:pPr>
              <w:jc w:val="center"/>
              <w:rPr>
                <w:rFonts w:ascii="Aptos" w:hAnsi="Aptos"/>
              </w:rPr>
            </w:pPr>
            <w:r w:rsidRPr="00156482">
              <w:rPr>
                <w:rFonts w:ascii="Aptos" w:hAnsi="Aptos"/>
                <w:sz w:val="15"/>
                <w:szCs w:val="15"/>
              </w:rPr>
              <w:t>23.76%</w:t>
            </w:r>
          </w:p>
        </w:tc>
        <w:tc>
          <w:tcPr>
            <w:tcW w:w="680" w:type="dxa"/>
            <w:tcBorders>
              <w:top w:val="single" w:sz="1" w:space="0" w:color="CCCCCC"/>
              <w:left w:val="single" w:sz="1" w:space="0" w:color="CCCCCC"/>
              <w:bottom w:val="single" w:sz="1" w:space="0" w:color="CCCCCC"/>
              <w:right w:val="single" w:sz="1" w:space="0" w:color="CCCCCC"/>
            </w:tcBorders>
            <w:shd w:val="clear" w:color="auto" w:fill="FFF3F3"/>
            <w:tcMar>
              <w:top w:w="60" w:type="dxa"/>
              <w:left w:w="100" w:type="dxa"/>
              <w:bottom w:w="60" w:type="dxa"/>
              <w:right w:w="100" w:type="dxa"/>
            </w:tcMar>
            <w:vAlign w:val="center"/>
          </w:tcPr>
          <w:p w14:paraId="6BA487F5" w14:textId="77777777" w:rsidR="00207084" w:rsidRPr="00156482" w:rsidRDefault="005A0481">
            <w:pPr>
              <w:jc w:val="center"/>
              <w:rPr>
                <w:rFonts w:ascii="Aptos" w:hAnsi="Aptos"/>
              </w:rPr>
            </w:pPr>
            <w:r w:rsidRPr="00156482">
              <w:rPr>
                <w:rFonts w:ascii="Aptos" w:hAnsi="Aptos"/>
                <w:sz w:val="15"/>
                <w:szCs w:val="15"/>
              </w:rPr>
              <w:t>14.34%</w:t>
            </w:r>
          </w:p>
        </w:tc>
        <w:tc>
          <w:tcPr>
            <w:tcW w:w="800" w:type="dxa"/>
            <w:tcBorders>
              <w:top w:val="single" w:sz="1" w:space="0" w:color="CCCCCC"/>
              <w:left w:val="single" w:sz="1" w:space="0" w:color="CCCCCC"/>
              <w:bottom w:val="single" w:sz="1" w:space="0" w:color="CCCCCC"/>
              <w:right w:val="single" w:sz="1" w:space="0" w:color="CCCCCC"/>
            </w:tcBorders>
            <w:shd w:val="clear" w:color="auto" w:fill="FFF3F3"/>
            <w:tcMar>
              <w:top w:w="60" w:type="dxa"/>
              <w:left w:w="100" w:type="dxa"/>
              <w:bottom w:w="60" w:type="dxa"/>
              <w:right w:w="100" w:type="dxa"/>
            </w:tcMar>
            <w:vAlign w:val="center"/>
          </w:tcPr>
          <w:p w14:paraId="2200A357" w14:textId="77777777" w:rsidR="00207084" w:rsidRPr="00156482" w:rsidRDefault="005A0481">
            <w:pPr>
              <w:jc w:val="center"/>
              <w:rPr>
                <w:rFonts w:ascii="Aptos" w:hAnsi="Aptos"/>
              </w:rPr>
            </w:pPr>
            <w:r w:rsidRPr="00156482">
              <w:rPr>
                <w:rFonts w:ascii="Aptos" w:hAnsi="Aptos"/>
                <w:color w:val="CC0000"/>
                <w:sz w:val="15"/>
                <w:szCs w:val="15"/>
              </w:rPr>
              <w:t>9.42 pp</w:t>
            </w:r>
          </w:p>
        </w:tc>
        <w:tc>
          <w:tcPr>
            <w:tcW w:w="1000" w:type="dxa"/>
            <w:tcBorders>
              <w:top w:val="single" w:sz="1" w:space="0" w:color="CCCCCC"/>
              <w:left w:val="single" w:sz="1" w:space="0" w:color="CCCCCC"/>
              <w:bottom w:val="single" w:sz="1" w:space="0" w:color="CCCCCC"/>
              <w:right w:val="single" w:sz="1" w:space="0" w:color="CCCCCC"/>
            </w:tcBorders>
            <w:shd w:val="clear" w:color="auto" w:fill="FFF3F3"/>
            <w:tcMar>
              <w:top w:w="60" w:type="dxa"/>
              <w:left w:w="100" w:type="dxa"/>
              <w:bottom w:w="60" w:type="dxa"/>
              <w:right w:w="100" w:type="dxa"/>
            </w:tcMar>
            <w:vAlign w:val="center"/>
          </w:tcPr>
          <w:p w14:paraId="0D86F249" w14:textId="77777777" w:rsidR="00207084" w:rsidRPr="00156482" w:rsidRDefault="005A0481">
            <w:pPr>
              <w:jc w:val="center"/>
              <w:rPr>
                <w:rFonts w:ascii="Aptos" w:hAnsi="Aptos"/>
              </w:rPr>
            </w:pPr>
            <w:r w:rsidRPr="00156482">
              <w:rPr>
                <w:rFonts w:ascii="Aptos" w:hAnsi="Aptos"/>
                <w:sz w:val="15"/>
                <w:szCs w:val="15"/>
              </w:rPr>
              <w:t>$0.71T</w:t>
            </w:r>
          </w:p>
        </w:tc>
        <w:tc>
          <w:tcPr>
            <w:tcW w:w="780" w:type="dxa"/>
            <w:tcBorders>
              <w:top w:val="single" w:sz="1" w:space="0" w:color="CCCCCC"/>
              <w:left w:val="single" w:sz="1" w:space="0" w:color="CCCCCC"/>
              <w:bottom w:val="single" w:sz="1" w:space="0" w:color="CCCCCC"/>
              <w:right w:val="single" w:sz="1" w:space="0" w:color="CCCCCC"/>
            </w:tcBorders>
            <w:shd w:val="clear" w:color="auto" w:fill="FFF3F3"/>
            <w:tcMar>
              <w:top w:w="60" w:type="dxa"/>
              <w:left w:w="100" w:type="dxa"/>
              <w:bottom w:w="60" w:type="dxa"/>
              <w:right w:w="100" w:type="dxa"/>
            </w:tcMar>
            <w:vAlign w:val="center"/>
          </w:tcPr>
          <w:p w14:paraId="0D099E68" w14:textId="77777777" w:rsidR="00207084" w:rsidRPr="00156482" w:rsidRDefault="005A0481">
            <w:pPr>
              <w:jc w:val="center"/>
              <w:rPr>
                <w:rFonts w:ascii="Aptos" w:hAnsi="Aptos"/>
              </w:rPr>
            </w:pPr>
            <w:r w:rsidRPr="00156482">
              <w:rPr>
                <w:rFonts w:ascii="Aptos" w:hAnsi="Aptos"/>
                <w:sz w:val="15"/>
                <w:szCs w:val="15"/>
              </w:rPr>
              <w:t>-8.1%</w:t>
            </w:r>
          </w:p>
        </w:tc>
        <w:tc>
          <w:tcPr>
            <w:tcW w:w="1000" w:type="dxa"/>
            <w:tcBorders>
              <w:top w:val="single" w:sz="1" w:space="0" w:color="CCCCCC"/>
              <w:left w:val="single" w:sz="1" w:space="0" w:color="CCCCCC"/>
              <w:bottom w:val="single" w:sz="1" w:space="0" w:color="CCCCCC"/>
              <w:right w:val="single" w:sz="1" w:space="0" w:color="CCCCCC"/>
            </w:tcBorders>
            <w:shd w:val="clear" w:color="auto" w:fill="FFF3F3"/>
            <w:tcMar>
              <w:top w:w="60" w:type="dxa"/>
              <w:left w:w="100" w:type="dxa"/>
              <w:bottom w:w="60" w:type="dxa"/>
              <w:right w:w="100" w:type="dxa"/>
            </w:tcMar>
            <w:vAlign w:val="center"/>
          </w:tcPr>
          <w:p w14:paraId="450EC4FC" w14:textId="77777777" w:rsidR="00207084" w:rsidRPr="00156482" w:rsidRDefault="005A0481">
            <w:pPr>
              <w:jc w:val="center"/>
              <w:rPr>
                <w:rFonts w:ascii="Aptos" w:hAnsi="Aptos"/>
              </w:rPr>
            </w:pPr>
            <w:r w:rsidRPr="00156482">
              <w:rPr>
                <w:rFonts w:ascii="Aptos" w:hAnsi="Aptos"/>
                <w:sz w:val="15"/>
                <w:szCs w:val="15"/>
              </w:rPr>
              <w:t>$0.60T</w:t>
            </w:r>
          </w:p>
        </w:tc>
        <w:tc>
          <w:tcPr>
            <w:tcW w:w="780" w:type="dxa"/>
            <w:tcBorders>
              <w:top w:val="single" w:sz="1" w:space="0" w:color="CCCCCC"/>
              <w:left w:val="single" w:sz="1" w:space="0" w:color="CCCCCC"/>
              <w:bottom w:val="single" w:sz="1" w:space="0" w:color="CCCCCC"/>
              <w:right w:val="single" w:sz="1" w:space="0" w:color="CCCCCC"/>
            </w:tcBorders>
            <w:shd w:val="clear" w:color="auto" w:fill="FFF3F3"/>
            <w:tcMar>
              <w:top w:w="60" w:type="dxa"/>
              <w:left w:w="100" w:type="dxa"/>
              <w:bottom w:w="60" w:type="dxa"/>
              <w:right w:w="100" w:type="dxa"/>
            </w:tcMar>
            <w:vAlign w:val="center"/>
          </w:tcPr>
          <w:p w14:paraId="62A7E324" w14:textId="77777777" w:rsidR="00207084" w:rsidRPr="00156482" w:rsidRDefault="005A0481">
            <w:pPr>
              <w:jc w:val="center"/>
              <w:rPr>
                <w:rFonts w:ascii="Aptos" w:hAnsi="Aptos"/>
              </w:rPr>
            </w:pPr>
            <w:r w:rsidRPr="00156482">
              <w:rPr>
                <w:rFonts w:ascii="Aptos" w:hAnsi="Aptos"/>
                <w:sz w:val="15"/>
                <w:szCs w:val="15"/>
              </w:rPr>
              <w:t>+17.5%</w:t>
            </w:r>
          </w:p>
        </w:tc>
        <w:tc>
          <w:tcPr>
            <w:tcW w:w="780" w:type="dxa"/>
            <w:tcBorders>
              <w:top w:val="single" w:sz="1" w:space="0" w:color="CCCCCC"/>
              <w:left w:val="single" w:sz="1" w:space="0" w:color="CCCCCC"/>
              <w:bottom w:val="single" w:sz="1" w:space="0" w:color="CCCCCC"/>
              <w:right w:val="single" w:sz="1" w:space="0" w:color="CCCCCC"/>
            </w:tcBorders>
            <w:shd w:val="clear" w:color="auto" w:fill="FFF3F3"/>
            <w:tcMar>
              <w:top w:w="60" w:type="dxa"/>
              <w:left w:w="100" w:type="dxa"/>
              <w:bottom w:w="60" w:type="dxa"/>
              <w:right w:w="100" w:type="dxa"/>
            </w:tcMar>
            <w:vAlign w:val="center"/>
          </w:tcPr>
          <w:p w14:paraId="5DC1D5FC" w14:textId="77777777" w:rsidR="00207084" w:rsidRPr="00156482" w:rsidRDefault="005A0481">
            <w:pPr>
              <w:jc w:val="center"/>
              <w:rPr>
                <w:rFonts w:ascii="Aptos" w:hAnsi="Aptos"/>
              </w:rPr>
            </w:pPr>
            <w:r w:rsidRPr="00156482">
              <w:rPr>
                <w:rFonts w:ascii="Aptos" w:hAnsi="Aptos"/>
                <w:sz w:val="15"/>
                <w:szCs w:val="15"/>
              </w:rPr>
              <w:t>$0.50T</w:t>
            </w:r>
          </w:p>
        </w:tc>
        <w:tc>
          <w:tcPr>
            <w:tcW w:w="740" w:type="dxa"/>
            <w:tcBorders>
              <w:top w:val="single" w:sz="1" w:space="0" w:color="CCCCCC"/>
              <w:left w:val="single" w:sz="1" w:space="0" w:color="CCCCCC"/>
              <w:bottom w:val="single" w:sz="1" w:space="0" w:color="CCCCCC"/>
              <w:right w:val="single" w:sz="1" w:space="0" w:color="CCCCCC"/>
            </w:tcBorders>
            <w:shd w:val="clear" w:color="auto" w:fill="FFF3F3"/>
            <w:tcMar>
              <w:top w:w="60" w:type="dxa"/>
              <w:left w:w="100" w:type="dxa"/>
              <w:bottom w:w="60" w:type="dxa"/>
              <w:right w:w="100" w:type="dxa"/>
            </w:tcMar>
            <w:vAlign w:val="center"/>
          </w:tcPr>
          <w:p w14:paraId="703B12B0" w14:textId="77777777" w:rsidR="00207084" w:rsidRPr="00156482" w:rsidRDefault="005A0481">
            <w:pPr>
              <w:jc w:val="center"/>
              <w:rPr>
                <w:rFonts w:ascii="Aptos" w:hAnsi="Aptos"/>
              </w:rPr>
            </w:pPr>
            <w:r w:rsidRPr="00156482">
              <w:rPr>
                <w:rFonts w:ascii="Aptos" w:hAnsi="Aptos"/>
                <w:sz w:val="15"/>
                <w:szCs w:val="15"/>
              </w:rPr>
              <w:t>-12.0%</w:t>
            </w:r>
          </w:p>
        </w:tc>
      </w:tr>
      <w:tr w:rsidR="00207084" w:rsidRPr="00156482" w14:paraId="7A7315D9" w14:textId="77777777">
        <w:tc>
          <w:tcPr>
            <w:tcW w:w="72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00" w:type="dxa"/>
              <w:bottom w:w="60" w:type="dxa"/>
              <w:right w:w="100" w:type="dxa"/>
            </w:tcMar>
            <w:vAlign w:val="center"/>
          </w:tcPr>
          <w:p w14:paraId="795C780C" w14:textId="77777777" w:rsidR="00207084" w:rsidRPr="00156482" w:rsidRDefault="005A0481">
            <w:pPr>
              <w:rPr>
                <w:rFonts w:ascii="Aptos" w:hAnsi="Aptos"/>
              </w:rPr>
            </w:pPr>
            <w:r w:rsidRPr="00156482">
              <w:rPr>
                <w:rFonts w:ascii="Aptos" w:hAnsi="Aptos"/>
                <w:sz w:val="15"/>
                <w:szCs w:val="15"/>
              </w:rPr>
              <w:t>FY2024</w:t>
            </w:r>
          </w:p>
        </w:tc>
        <w:tc>
          <w:tcPr>
            <w:tcW w:w="68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00" w:type="dxa"/>
              <w:bottom w:w="60" w:type="dxa"/>
              <w:right w:w="100" w:type="dxa"/>
            </w:tcMar>
            <w:vAlign w:val="center"/>
          </w:tcPr>
          <w:p w14:paraId="6B76525A" w14:textId="77777777" w:rsidR="00207084" w:rsidRPr="00156482" w:rsidRDefault="005A0481">
            <w:pPr>
              <w:jc w:val="center"/>
              <w:rPr>
                <w:rFonts w:ascii="Aptos" w:hAnsi="Aptos"/>
              </w:rPr>
            </w:pPr>
            <w:r w:rsidRPr="00156482">
              <w:rPr>
                <w:rFonts w:ascii="Aptos" w:hAnsi="Aptos"/>
                <w:sz w:val="15"/>
                <w:szCs w:val="15"/>
              </w:rPr>
              <w:t>75.69%</w:t>
            </w:r>
          </w:p>
        </w:tc>
        <w:tc>
          <w:tcPr>
            <w:tcW w:w="68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00" w:type="dxa"/>
              <w:bottom w:w="60" w:type="dxa"/>
              <w:right w:w="100" w:type="dxa"/>
            </w:tcMar>
            <w:vAlign w:val="center"/>
          </w:tcPr>
          <w:p w14:paraId="35423969" w14:textId="77777777" w:rsidR="00207084" w:rsidRPr="00156482" w:rsidRDefault="005A0481">
            <w:pPr>
              <w:jc w:val="center"/>
              <w:rPr>
                <w:rFonts w:ascii="Aptos" w:hAnsi="Aptos"/>
              </w:rPr>
            </w:pPr>
            <w:r w:rsidRPr="00156482">
              <w:rPr>
                <w:rFonts w:ascii="Aptos" w:hAnsi="Aptos"/>
                <w:sz w:val="15"/>
                <w:szCs w:val="15"/>
              </w:rPr>
              <w:t>11.55%</w:t>
            </w:r>
          </w:p>
        </w:tc>
        <w:tc>
          <w:tcPr>
            <w:tcW w:w="8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00" w:type="dxa"/>
              <w:bottom w:w="60" w:type="dxa"/>
              <w:right w:w="100" w:type="dxa"/>
            </w:tcMar>
            <w:vAlign w:val="center"/>
          </w:tcPr>
          <w:p w14:paraId="48A14E94" w14:textId="77777777" w:rsidR="00207084" w:rsidRPr="00156482" w:rsidRDefault="005A0481">
            <w:pPr>
              <w:jc w:val="center"/>
              <w:rPr>
                <w:rFonts w:ascii="Aptos" w:hAnsi="Aptos"/>
              </w:rPr>
            </w:pPr>
            <w:r w:rsidRPr="00156482">
              <w:rPr>
                <w:rFonts w:ascii="Aptos" w:hAnsi="Aptos"/>
                <w:color w:val="1A6600"/>
                <w:sz w:val="15"/>
                <w:szCs w:val="15"/>
              </w:rPr>
              <w:t>64.14 pp</w:t>
            </w:r>
          </w:p>
        </w:tc>
        <w:tc>
          <w:tcPr>
            <w:tcW w:w="10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00" w:type="dxa"/>
              <w:bottom w:w="60" w:type="dxa"/>
              <w:right w:w="100" w:type="dxa"/>
            </w:tcMar>
            <w:vAlign w:val="center"/>
          </w:tcPr>
          <w:p w14:paraId="6F507102" w14:textId="77777777" w:rsidR="00207084" w:rsidRPr="00156482" w:rsidRDefault="005A0481">
            <w:pPr>
              <w:jc w:val="center"/>
              <w:rPr>
                <w:rFonts w:ascii="Aptos" w:hAnsi="Aptos"/>
              </w:rPr>
            </w:pPr>
            <w:r w:rsidRPr="00156482">
              <w:rPr>
                <w:rFonts w:ascii="Aptos" w:hAnsi="Aptos"/>
                <w:sz w:val="15"/>
                <w:szCs w:val="15"/>
              </w:rPr>
              <w:t>$2.48T</w:t>
            </w:r>
          </w:p>
        </w:tc>
        <w:tc>
          <w:tcPr>
            <w:tcW w:w="78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00" w:type="dxa"/>
              <w:bottom w:w="60" w:type="dxa"/>
              <w:right w:w="100" w:type="dxa"/>
            </w:tcMar>
            <w:vAlign w:val="center"/>
          </w:tcPr>
          <w:p w14:paraId="7C0C537B" w14:textId="77777777" w:rsidR="00207084" w:rsidRPr="00156482" w:rsidRDefault="005A0481">
            <w:pPr>
              <w:jc w:val="center"/>
              <w:rPr>
                <w:rFonts w:ascii="Aptos" w:hAnsi="Aptos"/>
              </w:rPr>
            </w:pPr>
            <w:r w:rsidRPr="00156482">
              <w:rPr>
                <w:rFonts w:ascii="Aptos" w:hAnsi="Aptos"/>
                <w:sz w:val="15"/>
                <w:szCs w:val="15"/>
              </w:rPr>
              <w:t>+247.9%</w:t>
            </w:r>
          </w:p>
        </w:tc>
        <w:tc>
          <w:tcPr>
            <w:tcW w:w="10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00" w:type="dxa"/>
              <w:bottom w:w="60" w:type="dxa"/>
              <w:right w:w="100" w:type="dxa"/>
            </w:tcMar>
            <w:vAlign w:val="center"/>
          </w:tcPr>
          <w:p w14:paraId="7FEB9C53" w14:textId="77777777" w:rsidR="00207084" w:rsidRPr="00156482" w:rsidRDefault="005A0481">
            <w:pPr>
              <w:jc w:val="center"/>
              <w:rPr>
                <w:rFonts w:ascii="Aptos" w:hAnsi="Aptos"/>
              </w:rPr>
            </w:pPr>
            <w:r w:rsidRPr="00156482">
              <w:rPr>
                <w:rFonts w:ascii="Aptos" w:hAnsi="Aptos"/>
                <w:sz w:val="15"/>
                <w:szCs w:val="15"/>
              </w:rPr>
              <w:t>$1.87T</w:t>
            </w:r>
          </w:p>
        </w:tc>
        <w:tc>
          <w:tcPr>
            <w:tcW w:w="78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00" w:type="dxa"/>
              <w:bottom w:w="60" w:type="dxa"/>
              <w:right w:w="100" w:type="dxa"/>
            </w:tcMar>
            <w:vAlign w:val="center"/>
          </w:tcPr>
          <w:p w14:paraId="0CD92C18" w14:textId="77777777" w:rsidR="00207084" w:rsidRPr="00156482" w:rsidRDefault="005A0481">
            <w:pPr>
              <w:jc w:val="center"/>
              <w:rPr>
                <w:rFonts w:ascii="Aptos" w:hAnsi="Aptos"/>
              </w:rPr>
            </w:pPr>
            <w:r w:rsidRPr="00156482">
              <w:rPr>
                <w:rFonts w:ascii="Aptos" w:hAnsi="Aptos"/>
                <w:sz w:val="15"/>
                <w:szCs w:val="15"/>
              </w:rPr>
              <w:t>+211.3%</w:t>
            </w:r>
          </w:p>
        </w:tc>
        <w:tc>
          <w:tcPr>
            <w:tcW w:w="78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00" w:type="dxa"/>
              <w:bottom w:w="60" w:type="dxa"/>
              <w:right w:w="100" w:type="dxa"/>
            </w:tcMar>
            <w:vAlign w:val="center"/>
          </w:tcPr>
          <w:p w14:paraId="027D45A7" w14:textId="77777777" w:rsidR="00207084" w:rsidRPr="00156482" w:rsidRDefault="005A0481">
            <w:pPr>
              <w:jc w:val="center"/>
              <w:rPr>
                <w:rFonts w:ascii="Aptos" w:hAnsi="Aptos"/>
              </w:rPr>
            </w:pPr>
            <w:r w:rsidRPr="00156482">
              <w:rPr>
                <w:rFonts w:ascii="Aptos" w:hAnsi="Aptos"/>
                <w:sz w:val="15"/>
                <w:szCs w:val="15"/>
              </w:rPr>
              <w:t>$1.51T</w:t>
            </w:r>
          </w:p>
        </w:tc>
        <w:tc>
          <w:tcPr>
            <w:tcW w:w="74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00" w:type="dxa"/>
              <w:bottom w:w="60" w:type="dxa"/>
              <w:right w:w="100" w:type="dxa"/>
            </w:tcMar>
            <w:vAlign w:val="center"/>
          </w:tcPr>
          <w:p w14:paraId="1AE5BC3C" w14:textId="77777777" w:rsidR="00207084" w:rsidRPr="00156482" w:rsidRDefault="005A0481">
            <w:pPr>
              <w:jc w:val="center"/>
              <w:rPr>
                <w:rFonts w:ascii="Aptos" w:hAnsi="Aptos"/>
              </w:rPr>
            </w:pPr>
            <w:r w:rsidRPr="00156482">
              <w:rPr>
                <w:rFonts w:ascii="Aptos" w:hAnsi="Aptos"/>
                <w:sz w:val="15"/>
                <w:szCs w:val="15"/>
              </w:rPr>
              <w:t>+199.9%</w:t>
            </w:r>
          </w:p>
        </w:tc>
      </w:tr>
      <w:tr w:rsidR="00207084" w:rsidRPr="00156482" w14:paraId="493DB983" w14:textId="77777777">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C1A24B0" w14:textId="77777777" w:rsidR="00207084" w:rsidRPr="00156482" w:rsidRDefault="005A0481">
            <w:pPr>
              <w:rPr>
                <w:rFonts w:ascii="Aptos" w:hAnsi="Aptos"/>
              </w:rPr>
            </w:pPr>
            <w:r w:rsidRPr="00156482">
              <w:rPr>
                <w:rFonts w:ascii="Aptos" w:hAnsi="Aptos"/>
                <w:sz w:val="15"/>
                <w:szCs w:val="15"/>
              </w:rPr>
              <w:t>FY2025</w:t>
            </w:r>
          </w:p>
        </w:tc>
        <w:tc>
          <w:tcPr>
            <w:tcW w:w="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1FE3B59" w14:textId="77777777" w:rsidR="00207084" w:rsidRPr="00156482" w:rsidRDefault="005A0481">
            <w:pPr>
              <w:jc w:val="center"/>
              <w:rPr>
                <w:rFonts w:ascii="Aptos" w:hAnsi="Aptos"/>
              </w:rPr>
            </w:pPr>
            <w:r w:rsidRPr="00156482">
              <w:rPr>
                <w:rFonts w:ascii="Aptos" w:hAnsi="Aptos"/>
                <w:sz w:val="15"/>
                <w:szCs w:val="15"/>
              </w:rPr>
              <w:t>114.91%</w:t>
            </w:r>
          </w:p>
        </w:tc>
        <w:tc>
          <w:tcPr>
            <w:tcW w:w="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1377CC8" w14:textId="77777777" w:rsidR="00207084" w:rsidRPr="00156482" w:rsidRDefault="005A0481">
            <w:pPr>
              <w:jc w:val="center"/>
              <w:rPr>
                <w:rFonts w:ascii="Aptos" w:hAnsi="Aptos"/>
              </w:rPr>
            </w:pPr>
            <w:r w:rsidRPr="00156482">
              <w:rPr>
                <w:rFonts w:ascii="Aptos" w:hAnsi="Aptos"/>
                <w:sz w:val="15"/>
                <w:szCs w:val="15"/>
              </w:rPr>
              <w:t>12.54%</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8BAC806" w14:textId="77777777" w:rsidR="00207084" w:rsidRPr="00156482" w:rsidRDefault="005A0481">
            <w:pPr>
              <w:jc w:val="center"/>
              <w:rPr>
                <w:rFonts w:ascii="Aptos" w:hAnsi="Aptos"/>
              </w:rPr>
            </w:pPr>
            <w:r w:rsidRPr="00156482">
              <w:rPr>
                <w:rFonts w:ascii="Aptos" w:hAnsi="Aptos"/>
                <w:color w:val="1A6600"/>
                <w:sz w:val="15"/>
                <w:szCs w:val="15"/>
              </w:rPr>
              <w:t>102.37 pp</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0983D9C" w14:textId="77777777" w:rsidR="00207084" w:rsidRPr="00156482" w:rsidRDefault="005A0481">
            <w:pPr>
              <w:jc w:val="center"/>
              <w:rPr>
                <w:rFonts w:ascii="Aptos" w:hAnsi="Aptos"/>
              </w:rPr>
            </w:pPr>
            <w:r w:rsidRPr="00156482">
              <w:rPr>
                <w:rFonts w:ascii="Aptos" w:hAnsi="Aptos"/>
                <w:sz w:val="15"/>
                <w:szCs w:val="15"/>
              </w:rPr>
              <w:t>$3.46T</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B8062AF" w14:textId="77777777" w:rsidR="00207084" w:rsidRPr="00156482" w:rsidRDefault="005A0481">
            <w:pPr>
              <w:jc w:val="center"/>
              <w:rPr>
                <w:rFonts w:ascii="Aptos" w:hAnsi="Aptos"/>
              </w:rPr>
            </w:pPr>
            <w:r w:rsidRPr="00156482">
              <w:rPr>
                <w:rFonts w:ascii="Aptos" w:hAnsi="Aptos"/>
                <w:sz w:val="15"/>
                <w:szCs w:val="15"/>
              </w:rPr>
              <w:t>+39.4%</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756CBB0" w14:textId="77777777" w:rsidR="00207084" w:rsidRPr="00156482" w:rsidRDefault="005A0481">
            <w:pPr>
              <w:jc w:val="center"/>
              <w:rPr>
                <w:rFonts w:ascii="Aptos" w:hAnsi="Aptos"/>
              </w:rPr>
            </w:pPr>
            <w:r w:rsidRPr="00156482">
              <w:rPr>
                <w:rFonts w:ascii="Aptos" w:hAnsi="Aptos"/>
                <w:sz w:val="15"/>
                <w:szCs w:val="15"/>
              </w:rPr>
              <w:t>$2.32T</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7D0D902" w14:textId="77777777" w:rsidR="00207084" w:rsidRPr="00156482" w:rsidRDefault="005A0481">
            <w:pPr>
              <w:jc w:val="center"/>
              <w:rPr>
                <w:rFonts w:ascii="Aptos" w:hAnsi="Aptos"/>
              </w:rPr>
            </w:pPr>
            <w:r w:rsidRPr="00156482">
              <w:rPr>
                <w:rFonts w:ascii="Aptos" w:hAnsi="Aptos"/>
                <w:sz w:val="15"/>
                <w:szCs w:val="15"/>
              </w:rPr>
              <w:t>+23.9%</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221F2CD" w14:textId="77777777" w:rsidR="00207084" w:rsidRPr="00156482" w:rsidRDefault="005A0481">
            <w:pPr>
              <w:jc w:val="center"/>
              <w:rPr>
                <w:rFonts w:ascii="Aptos" w:hAnsi="Aptos"/>
              </w:rPr>
            </w:pPr>
            <w:r w:rsidRPr="00156482">
              <w:rPr>
                <w:rFonts w:ascii="Aptos" w:hAnsi="Aptos"/>
                <w:sz w:val="15"/>
                <w:szCs w:val="15"/>
              </w:rPr>
              <w:t>$3.50T</w:t>
            </w:r>
          </w:p>
        </w:tc>
        <w:tc>
          <w:tcPr>
            <w:tcW w:w="7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B6C6A7B" w14:textId="77777777" w:rsidR="00207084" w:rsidRPr="00156482" w:rsidRDefault="005A0481">
            <w:pPr>
              <w:jc w:val="center"/>
              <w:rPr>
                <w:rFonts w:ascii="Aptos" w:hAnsi="Aptos"/>
              </w:rPr>
            </w:pPr>
            <w:r w:rsidRPr="00156482">
              <w:rPr>
                <w:rFonts w:ascii="Aptos" w:hAnsi="Aptos"/>
                <w:sz w:val="15"/>
                <w:szCs w:val="15"/>
              </w:rPr>
              <w:t>+132.7%</w:t>
            </w:r>
          </w:p>
        </w:tc>
      </w:tr>
      <w:tr w:rsidR="00207084" w:rsidRPr="00156482" w14:paraId="2B7CCFB3" w14:textId="77777777">
        <w:tc>
          <w:tcPr>
            <w:tcW w:w="720" w:type="dxa"/>
            <w:tcBorders>
              <w:top w:val="single" w:sz="1" w:space="0" w:color="CCCCCC"/>
              <w:left w:val="single" w:sz="1" w:space="0" w:color="CCCCCC"/>
              <w:bottom w:val="single" w:sz="1" w:space="0" w:color="CCCCCC"/>
              <w:right w:val="single" w:sz="1" w:space="0" w:color="CCCCCC"/>
            </w:tcBorders>
            <w:shd w:val="clear" w:color="auto" w:fill="E8F5D0"/>
            <w:tcMar>
              <w:top w:w="60" w:type="dxa"/>
              <w:left w:w="100" w:type="dxa"/>
              <w:bottom w:w="60" w:type="dxa"/>
              <w:right w:w="100" w:type="dxa"/>
            </w:tcMar>
            <w:vAlign w:val="center"/>
          </w:tcPr>
          <w:p w14:paraId="6002C5B5" w14:textId="77777777" w:rsidR="00207084" w:rsidRPr="00156482" w:rsidRDefault="005A0481">
            <w:pPr>
              <w:rPr>
                <w:rFonts w:ascii="Aptos" w:hAnsi="Aptos"/>
              </w:rPr>
            </w:pPr>
            <w:r w:rsidRPr="00156482">
              <w:rPr>
                <w:rFonts w:ascii="Aptos" w:hAnsi="Aptos"/>
                <w:b/>
                <w:bCs/>
                <w:sz w:val="15"/>
                <w:szCs w:val="15"/>
              </w:rPr>
              <w:t>FY2026</w:t>
            </w:r>
          </w:p>
        </w:tc>
        <w:tc>
          <w:tcPr>
            <w:tcW w:w="680" w:type="dxa"/>
            <w:tcBorders>
              <w:top w:val="single" w:sz="1" w:space="0" w:color="CCCCCC"/>
              <w:left w:val="single" w:sz="1" w:space="0" w:color="CCCCCC"/>
              <w:bottom w:val="single" w:sz="1" w:space="0" w:color="CCCCCC"/>
              <w:right w:val="single" w:sz="1" w:space="0" w:color="CCCCCC"/>
            </w:tcBorders>
            <w:shd w:val="clear" w:color="auto" w:fill="E8F5D0"/>
            <w:tcMar>
              <w:top w:w="60" w:type="dxa"/>
              <w:left w:w="100" w:type="dxa"/>
              <w:bottom w:w="60" w:type="dxa"/>
              <w:right w:w="100" w:type="dxa"/>
            </w:tcMar>
            <w:vAlign w:val="center"/>
          </w:tcPr>
          <w:p w14:paraId="656798E7" w14:textId="77777777" w:rsidR="00207084" w:rsidRPr="00156482" w:rsidRDefault="005A0481">
            <w:pPr>
              <w:jc w:val="center"/>
              <w:rPr>
                <w:rFonts w:ascii="Aptos" w:hAnsi="Aptos"/>
              </w:rPr>
            </w:pPr>
            <w:r w:rsidRPr="00156482">
              <w:rPr>
                <w:rFonts w:ascii="Aptos" w:hAnsi="Aptos"/>
                <w:b/>
                <w:bCs/>
                <w:sz w:val="15"/>
                <w:szCs w:val="15"/>
              </w:rPr>
              <w:t>88.81%</w:t>
            </w:r>
          </w:p>
        </w:tc>
        <w:tc>
          <w:tcPr>
            <w:tcW w:w="680" w:type="dxa"/>
            <w:tcBorders>
              <w:top w:val="single" w:sz="1" w:space="0" w:color="CCCCCC"/>
              <w:left w:val="single" w:sz="1" w:space="0" w:color="CCCCCC"/>
              <w:bottom w:val="single" w:sz="1" w:space="0" w:color="CCCCCC"/>
              <w:right w:val="single" w:sz="1" w:space="0" w:color="CCCCCC"/>
            </w:tcBorders>
            <w:shd w:val="clear" w:color="auto" w:fill="E8F5D0"/>
            <w:tcMar>
              <w:top w:w="60" w:type="dxa"/>
              <w:left w:w="100" w:type="dxa"/>
              <w:bottom w:w="60" w:type="dxa"/>
              <w:right w:w="100" w:type="dxa"/>
            </w:tcMar>
            <w:vAlign w:val="center"/>
          </w:tcPr>
          <w:p w14:paraId="5261C230" w14:textId="77777777" w:rsidR="00207084" w:rsidRPr="00156482" w:rsidRDefault="005A0481">
            <w:pPr>
              <w:jc w:val="center"/>
              <w:rPr>
                <w:rFonts w:ascii="Aptos" w:hAnsi="Aptos"/>
              </w:rPr>
            </w:pPr>
            <w:r w:rsidRPr="00156482">
              <w:rPr>
                <w:rFonts w:ascii="Aptos" w:hAnsi="Aptos"/>
                <w:b/>
                <w:bCs/>
                <w:sz w:val="15"/>
                <w:szCs w:val="15"/>
              </w:rPr>
              <w:t>14.37%</w:t>
            </w:r>
          </w:p>
        </w:tc>
        <w:tc>
          <w:tcPr>
            <w:tcW w:w="800" w:type="dxa"/>
            <w:tcBorders>
              <w:top w:val="single" w:sz="1" w:space="0" w:color="CCCCCC"/>
              <w:left w:val="single" w:sz="1" w:space="0" w:color="CCCCCC"/>
              <w:bottom w:val="single" w:sz="1" w:space="0" w:color="CCCCCC"/>
              <w:right w:val="single" w:sz="1" w:space="0" w:color="CCCCCC"/>
            </w:tcBorders>
            <w:shd w:val="clear" w:color="auto" w:fill="E8F5D0"/>
            <w:tcMar>
              <w:top w:w="60" w:type="dxa"/>
              <w:left w:w="100" w:type="dxa"/>
              <w:bottom w:w="60" w:type="dxa"/>
              <w:right w:w="100" w:type="dxa"/>
            </w:tcMar>
            <w:vAlign w:val="center"/>
          </w:tcPr>
          <w:p w14:paraId="0B639756" w14:textId="77777777" w:rsidR="00207084" w:rsidRPr="00156482" w:rsidRDefault="005A0481">
            <w:pPr>
              <w:jc w:val="center"/>
              <w:rPr>
                <w:rFonts w:ascii="Aptos" w:hAnsi="Aptos"/>
              </w:rPr>
            </w:pPr>
            <w:r w:rsidRPr="00156482">
              <w:rPr>
                <w:rFonts w:ascii="Aptos" w:hAnsi="Aptos"/>
                <w:b/>
                <w:bCs/>
                <w:color w:val="1A6600"/>
                <w:sz w:val="15"/>
                <w:szCs w:val="15"/>
              </w:rPr>
              <w:t>74.44 pp</w:t>
            </w:r>
          </w:p>
        </w:tc>
        <w:tc>
          <w:tcPr>
            <w:tcW w:w="1000" w:type="dxa"/>
            <w:tcBorders>
              <w:top w:val="single" w:sz="1" w:space="0" w:color="CCCCCC"/>
              <w:left w:val="single" w:sz="1" w:space="0" w:color="CCCCCC"/>
              <w:bottom w:val="single" w:sz="1" w:space="0" w:color="CCCCCC"/>
              <w:right w:val="single" w:sz="1" w:space="0" w:color="CCCCCC"/>
            </w:tcBorders>
            <w:shd w:val="clear" w:color="auto" w:fill="E8F5D0"/>
            <w:tcMar>
              <w:top w:w="60" w:type="dxa"/>
              <w:left w:w="100" w:type="dxa"/>
              <w:bottom w:w="60" w:type="dxa"/>
              <w:right w:w="100" w:type="dxa"/>
            </w:tcMar>
            <w:vAlign w:val="center"/>
          </w:tcPr>
          <w:p w14:paraId="06B1874D" w14:textId="77777777" w:rsidR="00207084" w:rsidRPr="00156482" w:rsidRDefault="005A0481">
            <w:pPr>
              <w:jc w:val="center"/>
              <w:rPr>
                <w:rFonts w:ascii="Aptos" w:hAnsi="Aptos"/>
              </w:rPr>
            </w:pPr>
            <w:r w:rsidRPr="00156482">
              <w:rPr>
                <w:rFonts w:ascii="Aptos" w:hAnsi="Aptos"/>
                <w:b/>
                <w:bCs/>
                <w:sz w:val="15"/>
                <w:szCs w:val="15"/>
              </w:rPr>
              <w:t>$5.72T</w:t>
            </w:r>
          </w:p>
        </w:tc>
        <w:tc>
          <w:tcPr>
            <w:tcW w:w="780" w:type="dxa"/>
            <w:tcBorders>
              <w:top w:val="single" w:sz="1" w:space="0" w:color="CCCCCC"/>
              <w:left w:val="single" w:sz="1" w:space="0" w:color="CCCCCC"/>
              <w:bottom w:val="single" w:sz="1" w:space="0" w:color="CCCCCC"/>
              <w:right w:val="single" w:sz="1" w:space="0" w:color="CCCCCC"/>
            </w:tcBorders>
            <w:shd w:val="clear" w:color="auto" w:fill="E8F5D0"/>
            <w:tcMar>
              <w:top w:w="60" w:type="dxa"/>
              <w:left w:w="100" w:type="dxa"/>
              <w:bottom w:w="60" w:type="dxa"/>
              <w:right w:w="100" w:type="dxa"/>
            </w:tcMar>
            <w:vAlign w:val="center"/>
          </w:tcPr>
          <w:p w14:paraId="63A04C45" w14:textId="77777777" w:rsidR="00207084" w:rsidRPr="00156482" w:rsidRDefault="005A0481">
            <w:pPr>
              <w:jc w:val="center"/>
              <w:rPr>
                <w:rFonts w:ascii="Aptos" w:hAnsi="Aptos"/>
              </w:rPr>
            </w:pPr>
            <w:r w:rsidRPr="00156482">
              <w:rPr>
                <w:rFonts w:ascii="Aptos" w:hAnsi="Aptos"/>
                <w:b/>
                <w:bCs/>
                <w:sz w:val="15"/>
                <w:szCs w:val="15"/>
              </w:rPr>
              <w:t>+65.5%</w:t>
            </w:r>
          </w:p>
        </w:tc>
        <w:tc>
          <w:tcPr>
            <w:tcW w:w="1000" w:type="dxa"/>
            <w:tcBorders>
              <w:top w:val="single" w:sz="1" w:space="0" w:color="CCCCCC"/>
              <w:left w:val="single" w:sz="1" w:space="0" w:color="CCCCCC"/>
              <w:bottom w:val="single" w:sz="1" w:space="0" w:color="CCCCCC"/>
              <w:right w:val="single" w:sz="1" w:space="0" w:color="CCCCCC"/>
            </w:tcBorders>
            <w:shd w:val="clear" w:color="auto" w:fill="E8F5D0"/>
            <w:tcMar>
              <w:top w:w="60" w:type="dxa"/>
              <w:left w:w="100" w:type="dxa"/>
              <w:bottom w:w="60" w:type="dxa"/>
              <w:right w:w="100" w:type="dxa"/>
            </w:tcMar>
            <w:vAlign w:val="center"/>
          </w:tcPr>
          <w:p w14:paraId="179ACEDB" w14:textId="77777777" w:rsidR="00207084" w:rsidRPr="00156482" w:rsidRDefault="005A0481">
            <w:pPr>
              <w:jc w:val="center"/>
              <w:rPr>
                <w:rFonts w:ascii="Aptos" w:hAnsi="Aptos"/>
              </w:rPr>
            </w:pPr>
            <w:r w:rsidRPr="00156482">
              <w:rPr>
                <w:rFonts w:ascii="Aptos" w:hAnsi="Aptos"/>
                <w:b/>
                <w:bCs/>
                <w:sz w:val="15"/>
                <w:szCs w:val="15"/>
              </w:rPr>
              <w:t>$3.86T</w:t>
            </w:r>
          </w:p>
        </w:tc>
        <w:tc>
          <w:tcPr>
            <w:tcW w:w="780" w:type="dxa"/>
            <w:tcBorders>
              <w:top w:val="single" w:sz="1" w:space="0" w:color="CCCCCC"/>
              <w:left w:val="single" w:sz="1" w:space="0" w:color="CCCCCC"/>
              <w:bottom w:val="single" w:sz="1" w:space="0" w:color="CCCCCC"/>
              <w:right w:val="single" w:sz="1" w:space="0" w:color="CCCCCC"/>
            </w:tcBorders>
            <w:shd w:val="clear" w:color="auto" w:fill="E8F5D0"/>
            <w:tcMar>
              <w:top w:w="60" w:type="dxa"/>
              <w:left w:w="100" w:type="dxa"/>
              <w:bottom w:w="60" w:type="dxa"/>
              <w:right w:w="100" w:type="dxa"/>
            </w:tcMar>
            <w:vAlign w:val="center"/>
          </w:tcPr>
          <w:p w14:paraId="28FE6E98" w14:textId="77777777" w:rsidR="00207084" w:rsidRPr="00156482" w:rsidRDefault="005A0481">
            <w:pPr>
              <w:jc w:val="center"/>
              <w:rPr>
                <w:rFonts w:ascii="Aptos" w:hAnsi="Aptos"/>
              </w:rPr>
            </w:pPr>
            <w:r w:rsidRPr="00156482">
              <w:rPr>
                <w:rFonts w:ascii="Aptos" w:hAnsi="Aptos"/>
                <w:b/>
                <w:bCs/>
                <w:sz w:val="15"/>
                <w:szCs w:val="15"/>
              </w:rPr>
              <w:t>+66.4%</w:t>
            </w:r>
          </w:p>
        </w:tc>
        <w:tc>
          <w:tcPr>
            <w:tcW w:w="780" w:type="dxa"/>
            <w:tcBorders>
              <w:top w:val="single" w:sz="1" w:space="0" w:color="CCCCCC"/>
              <w:left w:val="single" w:sz="1" w:space="0" w:color="CCCCCC"/>
              <w:bottom w:val="single" w:sz="1" w:space="0" w:color="CCCCCC"/>
              <w:right w:val="single" w:sz="1" w:space="0" w:color="CCCCCC"/>
            </w:tcBorders>
            <w:shd w:val="clear" w:color="auto" w:fill="E8F5D0"/>
            <w:tcMar>
              <w:top w:w="60" w:type="dxa"/>
              <w:left w:w="100" w:type="dxa"/>
              <w:bottom w:w="60" w:type="dxa"/>
              <w:right w:w="100" w:type="dxa"/>
            </w:tcMar>
            <w:vAlign w:val="center"/>
          </w:tcPr>
          <w:p w14:paraId="43E57830" w14:textId="77777777" w:rsidR="00207084" w:rsidRPr="00156482" w:rsidRDefault="005A0481">
            <w:pPr>
              <w:jc w:val="center"/>
              <w:rPr>
                <w:rFonts w:ascii="Aptos" w:hAnsi="Aptos"/>
              </w:rPr>
            </w:pPr>
            <w:r w:rsidRPr="00156482">
              <w:rPr>
                <w:rFonts w:ascii="Aptos" w:hAnsi="Aptos"/>
                <w:b/>
                <w:bCs/>
                <w:sz w:val="15"/>
                <w:szCs w:val="15"/>
              </w:rPr>
              <w:t>$4.57T</w:t>
            </w:r>
          </w:p>
        </w:tc>
        <w:tc>
          <w:tcPr>
            <w:tcW w:w="740" w:type="dxa"/>
            <w:tcBorders>
              <w:top w:val="single" w:sz="1" w:space="0" w:color="CCCCCC"/>
              <w:left w:val="single" w:sz="1" w:space="0" w:color="CCCCCC"/>
              <w:bottom w:val="single" w:sz="1" w:space="0" w:color="CCCCCC"/>
              <w:right w:val="single" w:sz="1" w:space="0" w:color="CCCCCC"/>
            </w:tcBorders>
            <w:shd w:val="clear" w:color="auto" w:fill="E8F5D0"/>
            <w:tcMar>
              <w:top w:w="60" w:type="dxa"/>
              <w:left w:w="100" w:type="dxa"/>
              <w:bottom w:w="60" w:type="dxa"/>
              <w:right w:w="100" w:type="dxa"/>
            </w:tcMar>
            <w:vAlign w:val="center"/>
          </w:tcPr>
          <w:p w14:paraId="5540A167" w14:textId="77777777" w:rsidR="00207084" w:rsidRPr="00156482" w:rsidRDefault="005A0481">
            <w:pPr>
              <w:jc w:val="center"/>
              <w:rPr>
                <w:rFonts w:ascii="Aptos" w:hAnsi="Aptos"/>
              </w:rPr>
            </w:pPr>
            <w:r w:rsidRPr="00156482">
              <w:rPr>
                <w:rFonts w:ascii="Aptos" w:hAnsi="Aptos"/>
                <w:b/>
                <w:bCs/>
                <w:sz w:val="15"/>
                <w:szCs w:val="15"/>
              </w:rPr>
              <w:t>+30.5%</w:t>
            </w:r>
          </w:p>
        </w:tc>
      </w:tr>
    </w:tbl>
    <w:p w14:paraId="15110EEC" w14:textId="59760193" w:rsidR="00207084" w:rsidRPr="00156482" w:rsidRDefault="005A0481" w:rsidP="00156482">
      <w:pPr>
        <w:spacing w:before="120" w:after="320"/>
        <w:rPr>
          <w:rFonts w:ascii="Aptos" w:hAnsi="Aptos"/>
        </w:rPr>
      </w:pPr>
      <w:r w:rsidRPr="00156482">
        <w:rPr>
          <w:rFonts w:ascii="Aptos" w:hAnsi="Aptos"/>
          <w:i/>
          <w:iCs/>
          <w:color w:val="888888"/>
          <w:sz w:val="16"/>
          <w:szCs w:val="16"/>
        </w:rPr>
        <w:t xml:space="preserve">Source: NVIDIA Valuation FY2017–Present, Euclid Technologies. Values rounded and adjusted for the FY2025 10:1 split where applicable. FY2026 Q4 snapshot dated January 24, 2026; May 4, </w:t>
      </w:r>
      <w:proofErr w:type="gramStart"/>
      <w:r w:rsidRPr="00156482">
        <w:rPr>
          <w:rFonts w:ascii="Aptos" w:hAnsi="Aptos"/>
          <w:i/>
          <w:iCs/>
          <w:color w:val="888888"/>
          <w:sz w:val="16"/>
          <w:szCs w:val="16"/>
        </w:rPr>
        <w:t>2026</w:t>
      </w:r>
      <w:proofErr w:type="gramEnd"/>
      <w:r w:rsidRPr="00156482">
        <w:rPr>
          <w:rFonts w:ascii="Aptos" w:hAnsi="Aptos"/>
          <w:i/>
          <w:iCs/>
          <w:color w:val="888888"/>
          <w:sz w:val="16"/>
          <w:szCs w:val="16"/>
        </w:rPr>
        <w:t xml:space="preserve"> close shown separately.</w:t>
      </w:r>
    </w:p>
    <w:p w14:paraId="4A762483" w14:textId="77777777" w:rsidR="00207084" w:rsidRPr="00156482" w:rsidRDefault="005A0481">
      <w:pPr>
        <w:spacing w:before="280" w:after="120"/>
        <w:rPr>
          <w:rFonts w:ascii="Aptos" w:hAnsi="Aptos"/>
        </w:rPr>
      </w:pPr>
      <w:r w:rsidRPr="00156482">
        <w:rPr>
          <w:rFonts w:ascii="Aptos" w:hAnsi="Aptos"/>
          <w:b/>
          <w:bCs/>
          <w:sz w:val="22"/>
          <w:szCs w:val="22"/>
        </w:rPr>
        <w:lastRenderedPageBreak/>
        <w:t>The Moat Question</w:t>
      </w:r>
    </w:p>
    <w:p w14:paraId="316398F2" w14:textId="77777777" w:rsidR="00207084" w:rsidRPr="00156482" w:rsidRDefault="005A0481">
      <w:pPr>
        <w:spacing w:after="160"/>
        <w:rPr>
          <w:rFonts w:ascii="Aptos" w:hAnsi="Aptos"/>
        </w:rPr>
      </w:pPr>
      <w:r w:rsidRPr="00156482">
        <w:rPr>
          <w:rFonts w:ascii="Aptos" w:hAnsi="Aptos"/>
        </w:rPr>
        <w:t>The market already understands that NVIDIA is an extraordinary company. It dominates the accelerator market for AI workloads. It benefits from explosive demand for training and inference. It has become central to the infrastructure buildout behind generative AI. The terminal value debate, however, is not about whether NVIDIA is excellent today. The harder question is whether the company's excess returns can endure long enough to justify the expectations embedded in its valuation.</w:t>
      </w:r>
    </w:p>
    <w:p w14:paraId="54EF5035" w14:textId="77777777" w:rsidR="00207084" w:rsidRPr="00156482" w:rsidRDefault="005A0481">
      <w:pPr>
        <w:spacing w:after="160"/>
        <w:rPr>
          <w:rFonts w:ascii="Aptos" w:hAnsi="Aptos"/>
        </w:rPr>
      </w:pPr>
      <w:r w:rsidRPr="00156482">
        <w:rPr>
          <w:rFonts w:ascii="Aptos" w:hAnsi="Aptos"/>
        </w:rPr>
        <w:t>This is where moat analysis becomes critical.</w:t>
      </w:r>
    </w:p>
    <w:p w14:paraId="7BE4E85A" w14:textId="77777777" w:rsidR="00207084" w:rsidRPr="00156482" w:rsidRDefault="005A0481">
      <w:pPr>
        <w:spacing w:after="160"/>
        <w:rPr>
          <w:rFonts w:ascii="Aptos" w:hAnsi="Aptos"/>
        </w:rPr>
      </w:pPr>
      <w:r w:rsidRPr="00156482">
        <w:rPr>
          <w:rFonts w:ascii="Aptos" w:hAnsi="Aptos"/>
        </w:rPr>
        <w:t xml:space="preserve">NVIDIA's moat does not primarily come from the GPU itself, impressive as the engineering may be. Hardware leadership matters, but hardware alone is rarely the most durable source of terminal value. Chips improve. Competitors respond. </w:t>
      </w:r>
      <w:proofErr w:type="spellStart"/>
      <w:r w:rsidRPr="00156482">
        <w:rPr>
          <w:rFonts w:ascii="Aptos" w:hAnsi="Aptos"/>
        </w:rPr>
        <w:t>Hyperscalers</w:t>
      </w:r>
      <w:proofErr w:type="spellEnd"/>
      <w:r w:rsidRPr="00156482">
        <w:rPr>
          <w:rFonts w:ascii="Aptos" w:hAnsi="Aptos"/>
        </w:rPr>
        <w:t xml:space="preserve"> design custom silicon. Customers seek second sources. Margins attract competition. In semiconductors, technological leadership can be powerful, while remaining exposed to cycles, substitution, and rapid innovation.</w:t>
      </w:r>
    </w:p>
    <w:p w14:paraId="17B2C281" w14:textId="77777777" w:rsidR="00207084" w:rsidRPr="00156482" w:rsidRDefault="005A0481">
      <w:pPr>
        <w:spacing w:after="160"/>
        <w:rPr>
          <w:rFonts w:ascii="Aptos" w:hAnsi="Aptos"/>
        </w:rPr>
      </w:pPr>
      <w:r w:rsidRPr="00156482">
        <w:rPr>
          <w:rFonts w:ascii="Aptos" w:hAnsi="Aptos"/>
        </w:rPr>
        <w:t>The deeper advantage lies in NVIDIA's full technology stack: CUDA, parallel processing architecture, networking, libraries, developer tools, model-optimized services, and an ecosystem that has been built over many years. CUDA is not just software. It is the abstraction layer through which developers build, optimize, and deploy accelerated computing workloads. It turns NVIDIA from a chip company into a platform company. Critically, CUDA is backwards compatible across architectures, meaning that software improvements benefit existing hardware generations. NVIDIA systems can extend their useful life as the platform evolves, delivering improved performance on the same physical infrastructure. This is a structurally unusual property in semiconductors, and it deepens customer commitment with every new release.</w:t>
      </w:r>
    </w:p>
    <w:p w14:paraId="3FDC8171" w14:textId="77777777" w:rsidR="00207084" w:rsidRPr="00156482" w:rsidRDefault="005A0481">
      <w:pPr>
        <w:spacing w:after="160"/>
        <w:rPr>
          <w:rFonts w:ascii="Aptos" w:hAnsi="Aptos"/>
        </w:rPr>
      </w:pPr>
      <w:r w:rsidRPr="00156482">
        <w:rPr>
          <w:rFonts w:ascii="Aptos" w:hAnsi="Aptos"/>
        </w:rPr>
        <w:t>That distinction is central to terminal value.</w:t>
      </w:r>
    </w:p>
    <w:p w14:paraId="095E96D5" w14:textId="77777777" w:rsidR="00207084" w:rsidRPr="00156482" w:rsidRDefault="005A0481">
      <w:pPr>
        <w:spacing w:after="160"/>
        <w:rPr>
          <w:rFonts w:ascii="Aptos" w:hAnsi="Aptos"/>
        </w:rPr>
      </w:pPr>
      <w:r w:rsidRPr="00156482">
        <w:rPr>
          <w:rFonts w:ascii="Aptos" w:hAnsi="Aptos"/>
        </w:rPr>
        <w:t>If NVIDIA were only selling processors, investors would need to assume a faster fade in returns. Hardware businesses can be extraordinary, but they are vulnerable to pricing pressure, customer concentration, supply constraints, and architectural shifts. But if NVIDIA owns the software layer, developer ecosystem, networking fabric, and orchestration layer around accelerated computing, then its competitive advantage period may be much longer.</w:t>
      </w:r>
    </w:p>
    <w:p w14:paraId="0CCD277F" w14:textId="77777777" w:rsidR="00207084" w:rsidRPr="00156482" w:rsidRDefault="005A0481">
      <w:pPr>
        <w:spacing w:after="160"/>
        <w:rPr>
          <w:rFonts w:ascii="Aptos" w:hAnsi="Aptos"/>
        </w:rPr>
      </w:pPr>
      <w:r w:rsidRPr="00156482">
        <w:rPr>
          <w:rFonts w:ascii="Aptos" w:hAnsi="Aptos"/>
        </w:rPr>
        <w:t>The terminal value of NVIDIA depends on whether the company remains the control plane for accelerated computing.</w:t>
      </w:r>
    </w:p>
    <w:p w14:paraId="3570FCDE" w14:textId="77777777" w:rsidR="00207084" w:rsidRPr="00156482" w:rsidRDefault="005A0481">
      <w:pPr>
        <w:spacing w:after="160"/>
        <w:rPr>
          <w:rFonts w:ascii="Aptos" w:hAnsi="Aptos"/>
        </w:rPr>
      </w:pPr>
      <w:r w:rsidRPr="00156482">
        <w:rPr>
          <w:rFonts w:ascii="Aptos" w:hAnsi="Aptos"/>
        </w:rPr>
        <w:t>Today, nearly every serious AI company needs access to GPUs. The strategic question, however, is not merely who manufactures the best chip. It is who controls the most efficient and reliable path to compute. In AI infrastructure, that path includes hardware, software, networking, memory, data-center integration, developer tools, libraries, inference optimization, and workload orchestration.</w:t>
      </w:r>
    </w:p>
    <w:p w14:paraId="4AA1A04C" w14:textId="77777777" w:rsidR="00207084" w:rsidRPr="00156482" w:rsidRDefault="005A0481">
      <w:pPr>
        <w:spacing w:after="160"/>
        <w:rPr>
          <w:rFonts w:ascii="Aptos" w:hAnsi="Aptos"/>
        </w:rPr>
      </w:pPr>
      <w:r w:rsidRPr="00156482">
        <w:rPr>
          <w:rFonts w:ascii="Aptos" w:hAnsi="Aptos"/>
        </w:rPr>
        <w:t>NVIDIA's higher-layer offerings are where the margin argument becomes most compelling. SDKs, CUDA libraries, NIM microservices, model-optimized services, networking systems, and orchestration capabilities allow NVIDIA to capture value beyond the physical GPU. They also allow the company to preserve a structurally higher-margin role in the AI stack without necessarily owning all the logistical burden of data-center infrastructure.</w:t>
      </w:r>
    </w:p>
    <w:p w14:paraId="358F60AC" w14:textId="77777777" w:rsidR="00207084" w:rsidRPr="00156482" w:rsidRDefault="005A0481">
      <w:pPr>
        <w:spacing w:after="160"/>
        <w:rPr>
          <w:rFonts w:ascii="Aptos" w:hAnsi="Aptos"/>
        </w:rPr>
      </w:pPr>
      <w:r w:rsidRPr="00156482">
        <w:rPr>
          <w:rFonts w:ascii="Aptos" w:hAnsi="Aptos"/>
        </w:rPr>
        <w:t xml:space="preserve">Owning and operating global data centers is capital intensive. It requires power, cooling, land, permitting, supply-chain execution, and enormous operational complexity. NVIDIA's most defensible strategic position is as the platform layer that enables others to build, rent, deploy, and optimize compute. By connecting customers to GPU capacity across </w:t>
      </w:r>
      <w:proofErr w:type="spellStart"/>
      <w:r w:rsidRPr="00156482">
        <w:rPr>
          <w:rFonts w:ascii="Aptos" w:hAnsi="Aptos"/>
        </w:rPr>
        <w:t>hyperscalers</w:t>
      </w:r>
      <w:proofErr w:type="spellEnd"/>
      <w:r w:rsidRPr="00156482">
        <w:rPr>
          <w:rFonts w:ascii="Aptos" w:hAnsi="Aptos"/>
        </w:rPr>
        <w:t xml:space="preserve">, </w:t>
      </w:r>
      <w:proofErr w:type="spellStart"/>
      <w:r w:rsidRPr="00156482">
        <w:rPr>
          <w:rFonts w:ascii="Aptos" w:hAnsi="Aptos"/>
        </w:rPr>
        <w:t>neocloud</w:t>
      </w:r>
      <w:proofErr w:type="spellEnd"/>
      <w:r w:rsidRPr="00156482">
        <w:rPr>
          <w:rFonts w:ascii="Aptos" w:hAnsi="Aptos"/>
        </w:rPr>
        <w:t xml:space="preserve"> providers, enterprises, and specialist infrastructure partners, NVIDIA can remain central to AI development without competing directly with every major customer.</w:t>
      </w:r>
    </w:p>
    <w:p w14:paraId="39039C77" w14:textId="3F464D23" w:rsidR="00207084" w:rsidRPr="00156482" w:rsidRDefault="005A0481" w:rsidP="00156482">
      <w:pPr>
        <w:spacing w:after="160"/>
        <w:rPr>
          <w:rFonts w:ascii="Aptos" w:hAnsi="Aptos"/>
        </w:rPr>
      </w:pPr>
      <w:r w:rsidRPr="00156482">
        <w:rPr>
          <w:rFonts w:ascii="Aptos" w:hAnsi="Aptos"/>
        </w:rPr>
        <w:t>This is the kind of business model that can extend the competitive advantage period.</w:t>
      </w:r>
    </w:p>
    <w:p w14:paraId="5A965F90" w14:textId="77777777" w:rsidR="00207084" w:rsidRPr="00156482" w:rsidRDefault="005A0481">
      <w:pPr>
        <w:spacing w:before="280" w:after="120"/>
        <w:rPr>
          <w:rFonts w:ascii="Aptos" w:hAnsi="Aptos"/>
        </w:rPr>
      </w:pPr>
      <w:r w:rsidRPr="00156482">
        <w:rPr>
          <w:rFonts w:ascii="Aptos" w:hAnsi="Aptos"/>
          <w:b/>
          <w:bCs/>
          <w:sz w:val="22"/>
          <w:szCs w:val="22"/>
        </w:rPr>
        <w:lastRenderedPageBreak/>
        <w:t>The CAP Framework and Fade Assumptions</w:t>
      </w:r>
    </w:p>
    <w:p w14:paraId="55DD0B73" w14:textId="77777777" w:rsidR="00207084" w:rsidRPr="00156482" w:rsidRDefault="005A0481">
      <w:pPr>
        <w:spacing w:after="160"/>
        <w:rPr>
          <w:rFonts w:ascii="Aptos" w:hAnsi="Aptos"/>
        </w:rPr>
      </w:pPr>
      <w:r w:rsidRPr="00156482">
        <w:rPr>
          <w:rFonts w:ascii="Aptos" w:hAnsi="Aptos"/>
        </w:rPr>
        <w:t xml:space="preserve">The Morgan Stanley and </w:t>
      </w:r>
      <w:proofErr w:type="spellStart"/>
      <w:r w:rsidRPr="00156482">
        <w:rPr>
          <w:rFonts w:ascii="Aptos" w:hAnsi="Aptos"/>
        </w:rPr>
        <w:t>Mauboussin</w:t>
      </w:r>
      <w:proofErr w:type="spellEnd"/>
      <w:r w:rsidRPr="00156482">
        <w:rPr>
          <w:rFonts w:ascii="Aptos" w:hAnsi="Aptos"/>
        </w:rPr>
        <w:t>-Callahan CAP framework is especially useful here because it forces investors to make the fade assumption explicit. If ROIC fades rapidly toward the cost of capital, terminal value collapses. If ROIC remains elevated for a very long time, valuation can be many multiples higher. The difference between a 20-year competitive advantage period and a much longer one is enormous, especially when the starting spread between ROIC and WACC is large.</w:t>
      </w:r>
    </w:p>
    <w:p w14:paraId="1C0D2973" w14:textId="77777777" w:rsidR="00207084" w:rsidRPr="00156482" w:rsidRDefault="005A0481">
      <w:pPr>
        <w:spacing w:after="160"/>
        <w:rPr>
          <w:rFonts w:ascii="Aptos" w:hAnsi="Aptos"/>
        </w:rPr>
      </w:pPr>
      <w:r w:rsidRPr="00156482">
        <w:rPr>
          <w:rFonts w:ascii="Aptos" w:hAnsi="Aptos"/>
        </w:rPr>
        <w:t xml:space="preserve">That is why high-return companies are so sensitive to fade assumptions. When a business earns modest returns, terminal value does not change dramatically based on small changes in the fade rate. When a business earns extraordinary returns, the fade rate becomes one of the dominant valuation drivers. A company can look reasonably valued under the assumption of a very long CAP and extremely expensive under the assumption that competition compresses </w:t>
      </w:r>
      <w:proofErr w:type="gramStart"/>
      <w:r w:rsidRPr="00156482">
        <w:rPr>
          <w:rFonts w:ascii="Aptos" w:hAnsi="Aptos"/>
        </w:rPr>
        <w:t>returns</w:t>
      </w:r>
      <w:proofErr w:type="gramEnd"/>
      <w:r w:rsidRPr="00156482">
        <w:rPr>
          <w:rFonts w:ascii="Aptos" w:hAnsi="Aptos"/>
        </w:rPr>
        <w:t xml:space="preserve"> faster than expected.</w:t>
      </w:r>
    </w:p>
    <w:p w14:paraId="3FFBDF1E" w14:textId="77777777" w:rsidR="00207084" w:rsidRPr="00156482" w:rsidRDefault="005A0481">
      <w:pPr>
        <w:spacing w:after="160"/>
        <w:rPr>
          <w:rFonts w:ascii="Aptos" w:hAnsi="Aptos"/>
        </w:rPr>
      </w:pPr>
      <w:r w:rsidRPr="00156482">
        <w:rPr>
          <w:rFonts w:ascii="Aptos" w:hAnsi="Aptos"/>
        </w:rPr>
        <w:t>This is the central NVIDIA debate.</w:t>
      </w:r>
    </w:p>
    <w:p w14:paraId="3CAB6089" w14:textId="77777777" w:rsidR="00207084" w:rsidRPr="00156482" w:rsidRDefault="005A0481">
      <w:pPr>
        <w:spacing w:after="160"/>
        <w:rPr>
          <w:rFonts w:ascii="Aptos" w:hAnsi="Aptos"/>
        </w:rPr>
      </w:pPr>
      <w:r w:rsidRPr="00156482">
        <w:rPr>
          <w:rFonts w:ascii="Aptos" w:hAnsi="Aptos"/>
        </w:rPr>
        <w:t>The bullish case is that NVIDIA's moat is not a temporary hardware cycle but a durable platform advantage. CUDA has accumulated years of developer familiarity, tooling, optimization, and institutional knowledge. Developers have built AI stacks around it. Enterprises are standardizing around it. Cloud providers rely on it. AI labs optimize for it. Once workflows, codebases, models, libraries, and operational processes are built around a platform, switching is not merely expensive. It becomes institutionally irrational.</w:t>
      </w:r>
    </w:p>
    <w:p w14:paraId="15A32B0F" w14:textId="77777777" w:rsidR="00207084" w:rsidRPr="00156482" w:rsidRDefault="005A0481">
      <w:pPr>
        <w:spacing w:after="160"/>
        <w:rPr>
          <w:rFonts w:ascii="Aptos" w:hAnsi="Aptos"/>
        </w:rPr>
      </w:pPr>
      <w:r w:rsidRPr="00156482">
        <w:rPr>
          <w:rFonts w:ascii="Aptos" w:hAnsi="Aptos"/>
        </w:rPr>
        <w:t>AMD can make credible progress. Google, Amazon, Microsoft, Meta, and others can advance custom silicon. Startups can build specialized inference chips. Ecosystems with deep developer adoption do not lose position simply because a competitor offers attractive specifications. In platform markets, the best product is not always the product with the best benchmark. It is often the product with the strongest installed base, the deepest tooling, the broadest ecosystem, and the lowest execution risk for customers.</w:t>
      </w:r>
    </w:p>
    <w:p w14:paraId="2FB79646" w14:textId="77777777" w:rsidR="00207084" w:rsidRPr="00156482" w:rsidRDefault="005A0481">
      <w:pPr>
        <w:spacing w:after="160"/>
        <w:rPr>
          <w:rFonts w:ascii="Aptos" w:hAnsi="Aptos"/>
        </w:rPr>
      </w:pPr>
      <w:r w:rsidRPr="00156482">
        <w:rPr>
          <w:rFonts w:ascii="Aptos" w:hAnsi="Aptos"/>
        </w:rPr>
        <w:t>That is why CUDA matters so much. It converts hardware leadership into platform leadership. Platform leadership is what gives a moat its durability.</w:t>
      </w:r>
    </w:p>
    <w:p w14:paraId="310CBB45" w14:textId="77777777" w:rsidR="00207084" w:rsidRPr="00156482" w:rsidRDefault="00207084">
      <w:pPr>
        <w:pBdr>
          <w:bottom w:val="single" w:sz="4" w:space="1" w:color="76B900"/>
        </w:pBdr>
        <w:spacing w:before="160" w:after="160"/>
        <w:rPr>
          <w:rFonts w:ascii="Aptos" w:hAnsi="Aptos"/>
        </w:rPr>
      </w:pPr>
    </w:p>
    <w:p w14:paraId="5079169D" w14:textId="77777777" w:rsidR="00207084" w:rsidRPr="00156482" w:rsidRDefault="005A0481">
      <w:pPr>
        <w:spacing w:before="280" w:after="120"/>
        <w:rPr>
          <w:rFonts w:ascii="Aptos" w:hAnsi="Aptos"/>
        </w:rPr>
      </w:pPr>
      <w:r w:rsidRPr="00156482">
        <w:rPr>
          <w:rFonts w:ascii="Aptos" w:hAnsi="Aptos"/>
          <w:b/>
          <w:bCs/>
          <w:sz w:val="22"/>
          <w:szCs w:val="22"/>
        </w:rPr>
        <w:t>Risks</w:t>
      </w:r>
    </w:p>
    <w:p w14:paraId="506568FD" w14:textId="77777777" w:rsidR="00207084" w:rsidRPr="00156482" w:rsidRDefault="005A0481">
      <w:pPr>
        <w:spacing w:after="160"/>
        <w:rPr>
          <w:rFonts w:ascii="Aptos" w:hAnsi="Aptos"/>
        </w:rPr>
      </w:pPr>
      <w:r w:rsidRPr="00156482">
        <w:rPr>
          <w:rFonts w:ascii="Aptos" w:hAnsi="Aptos"/>
        </w:rPr>
        <w:t xml:space="preserve">Still, this is not a risk-free story. The danger for investors is assuming that today's exceptional economics can persist indefinitely. That is the classic terminal value trap. A company can be exceptional and still be overvalued if the market prices in too much duration. The phrase "priced for perfection" usually means the market is not only assuming high returns, but also </w:t>
      </w:r>
      <w:proofErr w:type="gramStart"/>
      <w:r w:rsidRPr="00156482">
        <w:rPr>
          <w:rFonts w:ascii="Aptos" w:hAnsi="Aptos"/>
        </w:rPr>
        <w:t>assuming that</w:t>
      </w:r>
      <w:proofErr w:type="gramEnd"/>
      <w:r w:rsidRPr="00156482">
        <w:rPr>
          <w:rFonts w:ascii="Aptos" w:hAnsi="Aptos"/>
        </w:rPr>
        <w:t xml:space="preserve"> those returns persist for a very long time with minimal fade.</w:t>
      </w:r>
    </w:p>
    <w:p w14:paraId="5D799796" w14:textId="77777777" w:rsidR="00207084" w:rsidRPr="00156482" w:rsidRDefault="005A0481">
      <w:pPr>
        <w:spacing w:after="160"/>
        <w:rPr>
          <w:rFonts w:ascii="Aptos" w:hAnsi="Aptos"/>
        </w:rPr>
      </w:pPr>
      <w:r w:rsidRPr="00156482">
        <w:rPr>
          <w:rFonts w:ascii="Aptos" w:hAnsi="Aptos"/>
        </w:rPr>
        <w:t xml:space="preserve">For NVIDIA, the key risks are not hard to identify. </w:t>
      </w:r>
      <w:proofErr w:type="spellStart"/>
      <w:r w:rsidRPr="00156482">
        <w:rPr>
          <w:rFonts w:ascii="Aptos" w:hAnsi="Aptos"/>
        </w:rPr>
        <w:t>Hyperscalers</w:t>
      </w:r>
      <w:proofErr w:type="spellEnd"/>
      <w:r w:rsidRPr="00156482">
        <w:rPr>
          <w:rFonts w:ascii="Aptos" w:hAnsi="Aptos"/>
        </w:rPr>
        <w:t xml:space="preserve"> may become more aggressive with internal chips. Inference workloads may diversify across architectures. Customers may seek to reduce dependence on one supplier. Open-source software layers may improve portability. Regulators may scrutinize concentration. Semiconductor cycles may return. Supply-chain constraints may shift from scarcity to overcapacity. Margins may compress as the market matures.</w:t>
      </w:r>
    </w:p>
    <w:p w14:paraId="1CB941FE" w14:textId="77777777" w:rsidR="00207084" w:rsidRPr="00156482" w:rsidRDefault="005A0481">
      <w:pPr>
        <w:spacing w:after="160"/>
        <w:rPr>
          <w:rFonts w:ascii="Aptos" w:hAnsi="Aptos"/>
        </w:rPr>
      </w:pPr>
      <w:r w:rsidRPr="00156482">
        <w:rPr>
          <w:rFonts w:ascii="Aptos" w:hAnsi="Aptos"/>
        </w:rPr>
        <w:t>Two longer-horizon risks warrant monitoring even if near-term probability remains low. China currently leads in open-source model development and its national push for semiconductor self-sufficiency could over time produce hardware optimized for domestic software stacks. If that occurs, NVIDIA's platform relevance in markets where energy constraints are less binding could gradually erode. Geopolitical escalation involving Taiwan represents a separate supply-chain risk that is difficult to hedge and whose probability, while low today, is not negligible.</w:t>
      </w:r>
    </w:p>
    <w:p w14:paraId="0A25615A" w14:textId="77777777" w:rsidR="00207084" w:rsidRPr="00156482" w:rsidRDefault="005A0481">
      <w:pPr>
        <w:spacing w:after="160"/>
        <w:rPr>
          <w:rFonts w:ascii="Aptos" w:hAnsi="Aptos"/>
        </w:rPr>
      </w:pPr>
      <w:r w:rsidRPr="00156482">
        <w:rPr>
          <w:rFonts w:ascii="Aptos" w:hAnsi="Aptos"/>
        </w:rPr>
        <w:t xml:space="preserve">Any credible threat to NVIDIA's competitive advantage period could have a large impact on valuation, even if near-term earnings remain strong. That is the lesson of terminal value. For high-return businesses, most of </w:t>
      </w:r>
      <w:r w:rsidRPr="00156482">
        <w:rPr>
          <w:rFonts w:ascii="Aptos" w:hAnsi="Aptos"/>
        </w:rPr>
        <w:lastRenderedPageBreak/>
        <w:t>the value lies not in next year's earnings, but in the assumed durability of excess returns many years into the future.</w:t>
      </w:r>
    </w:p>
    <w:p w14:paraId="57147663" w14:textId="77777777" w:rsidR="00207084" w:rsidRPr="00156482" w:rsidRDefault="00207084">
      <w:pPr>
        <w:pBdr>
          <w:bottom w:val="single" w:sz="4" w:space="1" w:color="76B900"/>
        </w:pBdr>
        <w:spacing w:before="160" w:after="160"/>
        <w:rPr>
          <w:rFonts w:ascii="Aptos" w:hAnsi="Aptos"/>
        </w:rPr>
      </w:pPr>
    </w:p>
    <w:p w14:paraId="470E92C0" w14:textId="77777777" w:rsidR="00207084" w:rsidRPr="00156482" w:rsidRDefault="005A0481">
      <w:pPr>
        <w:spacing w:before="280" w:after="120"/>
        <w:rPr>
          <w:rFonts w:ascii="Aptos" w:hAnsi="Aptos"/>
        </w:rPr>
      </w:pPr>
      <w:r w:rsidRPr="00156482">
        <w:rPr>
          <w:rFonts w:ascii="Aptos" w:hAnsi="Aptos"/>
          <w:b/>
          <w:bCs/>
          <w:sz w:val="22"/>
          <w:szCs w:val="22"/>
        </w:rPr>
        <w:t>Three Questions</w:t>
      </w:r>
    </w:p>
    <w:p w14:paraId="1520A0FA" w14:textId="77777777" w:rsidR="00207084" w:rsidRPr="00156482" w:rsidRDefault="005A0481">
      <w:pPr>
        <w:spacing w:after="160"/>
        <w:rPr>
          <w:rFonts w:ascii="Aptos" w:hAnsi="Aptos"/>
        </w:rPr>
      </w:pPr>
      <w:r w:rsidRPr="00156482">
        <w:rPr>
          <w:rFonts w:ascii="Aptos" w:hAnsi="Aptos"/>
        </w:rPr>
        <w:t>The analytical framework reduces to three questions.</w:t>
      </w:r>
    </w:p>
    <w:p w14:paraId="1FCC4667" w14:textId="77777777" w:rsidR="00207084" w:rsidRPr="00156482" w:rsidRDefault="005A0481">
      <w:pPr>
        <w:spacing w:after="160"/>
        <w:rPr>
          <w:rFonts w:ascii="Aptos" w:hAnsi="Aptos"/>
        </w:rPr>
      </w:pPr>
      <w:r w:rsidRPr="00156482">
        <w:rPr>
          <w:rFonts w:ascii="Aptos" w:hAnsi="Aptos"/>
        </w:rPr>
        <w:t>First, how large is NVIDIA's current ROIC versus its cost of capital spread?</w:t>
      </w:r>
    </w:p>
    <w:p w14:paraId="7AB59E01" w14:textId="77777777" w:rsidR="00207084" w:rsidRPr="00156482" w:rsidRDefault="005A0481">
      <w:pPr>
        <w:spacing w:after="160"/>
        <w:rPr>
          <w:rFonts w:ascii="Aptos" w:hAnsi="Aptos"/>
        </w:rPr>
      </w:pPr>
      <w:r w:rsidRPr="00156482">
        <w:rPr>
          <w:rFonts w:ascii="Aptos" w:hAnsi="Aptos"/>
        </w:rPr>
        <w:t>Second, how much incremental capital can NVIDIA reinvest at attractive returns?</w:t>
      </w:r>
    </w:p>
    <w:p w14:paraId="247B7C3C" w14:textId="77777777" w:rsidR="00207084" w:rsidRPr="00156482" w:rsidRDefault="005A0481">
      <w:pPr>
        <w:spacing w:after="160"/>
        <w:rPr>
          <w:rFonts w:ascii="Aptos" w:hAnsi="Aptos"/>
        </w:rPr>
      </w:pPr>
      <w:r w:rsidRPr="00156482">
        <w:rPr>
          <w:rFonts w:ascii="Aptos" w:hAnsi="Aptos"/>
        </w:rPr>
        <w:t>Third, and most importantly, how long can NVIDIA sustain that spread before it fades?</w:t>
      </w:r>
    </w:p>
    <w:p w14:paraId="3059C49E" w14:textId="77777777" w:rsidR="00207084" w:rsidRPr="00156482" w:rsidRDefault="005A0481">
      <w:pPr>
        <w:spacing w:after="160"/>
        <w:rPr>
          <w:rFonts w:ascii="Aptos" w:hAnsi="Aptos"/>
        </w:rPr>
      </w:pPr>
      <w:r w:rsidRPr="00156482">
        <w:rPr>
          <w:rFonts w:ascii="Aptos" w:hAnsi="Aptos"/>
        </w:rPr>
        <w:t>The third question is the decisive one. It forces the investor to evaluate the true depth of the moat: not just product quality, but ecosystem control, switching costs, developer adoption, customer dependency, supply-chain position, networking advantages, software monetization, and strategic positioning across the AI stack.</w:t>
      </w:r>
    </w:p>
    <w:p w14:paraId="7ED8AB6D" w14:textId="77777777" w:rsidR="00207084" w:rsidRPr="00156482" w:rsidRDefault="005A0481">
      <w:pPr>
        <w:spacing w:after="160"/>
        <w:rPr>
          <w:rFonts w:ascii="Aptos" w:hAnsi="Aptos"/>
        </w:rPr>
      </w:pPr>
      <w:r w:rsidRPr="00156482">
        <w:rPr>
          <w:rFonts w:ascii="Aptos" w:hAnsi="Aptos"/>
        </w:rPr>
        <w:t>In NVIDIA's case, the strongest argument for a large terminal value is that the company is not merely participating in the AI infrastructure cycle. It is shaping the architecture of that cycle. Its advantage rests on three reinforcing pillars: CUDA, parallel processing architecture, and networking. CUDA serves as the software environment through which developers build and optimize models that fully exploit NVIDIA's full hardware stack, spanning GPUs, CPUs, and networking silicon working in synchronization. The processing architecture provides the raw computational foundation. Networking connects clusters into scalable AI factories.</w:t>
      </w:r>
    </w:p>
    <w:p w14:paraId="5935601E" w14:textId="77777777" w:rsidR="00207084" w:rsidRPr="00156482" w:rsidRDefault="005A0481">
      <w:pPr>
        <w:spacing w:after="160"/>
        <w:rPr>
          <w:rFonts w:ascii="Aptos" w:hAnsi="Aptos"/>
        </w:rPr>
      </w:pPr>
      <w:r w:rsidRPr="00156482">
        <w:rPr>
          <w:rFonts w:ascii="Aptos" w:hAnsi="Aptos"/>
        </w:rPr>
        <w:t>Together, these elements make NVIDIA more than a chip supplier. They make it the operating platform for accelerated computing.</w:t>
      </w:r>
    </w:p>
    <w:p w14:paraId="6FB551E9" w14:textId="77777777" w:rsidR="00207084" w:rsidRPr="00156482" w:rsidRDefault="005A0481">
      <w:pPr>
        <w:spacing w:after="160"/>
        <w:rPr>
          <w:rFonts w:ascii="Aptos" w:hAnsi="Aptos"/>
        </w:rPr>
      </w:pPr>
      <w:r w:rsidRPr="00156482">
        <w:rPr>
          <w:rFonts w:ascii="Aptos" w:hAnsi="Aptos"/>
        </w:rPr>
        <w:t xml:space="preserve">That is the real terminal value question. If NVIDIA remains the default platform for accelerated computing, its competitive advantage period may be far longer than a normal semiconductor cycle. If the market gradually shifts toward a more fragmented, commoditized, or </w:t>
      </w:r>
      <w:proofErr w:type="spellStart"/>
      <w:r w:rsidRPr="00156482">
        <w:rPr>
          <w:rFonts w:ascii="Aptos" w:hAnsi="Aptos"/>
        </w:rPr>
        <w:t>hyperscaler</w:t>
      </w:r>
      <w:proofErr w:type="spellEnd"/>
      <w:r w:rsidRPr="00156482">
        <w:rPr>
          <w:rFonts w:ascii="Aptos" w:hAnsi="Aptos"/>
        </w:rPr>
        <w:t>-controlled architecture, then the fade rate will rise and terminal value will compress.</w:t>
      </w:r>
    </w:p>
    <w:p w14:paraId="1A1450E2" w14:textId="77777777" w:rsidR="00207084" w:rsidRPr="00156482" w:rsidRDefault="005A0481">
      <w:pPr>
        <w:spacing w:after="160"/>
        <w:rPr>
          <w:rFonts w:ascii="Aptos" w:hAnsi="Aptos"/>
        </w:rPr>
      </w:pPr>
      <w:r w:rsidRPr="00156482">
        <w:rPr>
          <w:rFonts w:ascii="Aptos" w:hAnsi="Aptos"/>
        </w:rPr>
        <w:t>The company's future valuation will therefore be determined less by whether AI demand continues growing, and more by who captures the economics of that growth. The highest-quality terminal value belongs to the layer that controls the standard, not merely the layer that supplies the commodity input.</w:t>
      </w:r>
    </w:p>
    <w:p w14:paraId="186F9D89" w14:textId="77777777" w:rsidR="00207084" w:rsidRPr="00156482" w:rsidRDefault="005A0481">
      <w:pPr>
        <w:spacing w:after="160"/>
        <w:rPr>
          <w:rFonts w:ascii="Aptos" w:hAnsi="Aptos"/>
        </w:rPr>
      </w:pPr>
      <w:r w:rsidRPr="00156482">
        <w:rPr>
          <w:rFonts w:ascii="Aptos" w:hAnsi="Aptos"/>
        </w:rPr>
        <w:t>For NVIDIA, that standard is CUDA and the broader accelerated computing ecosystem around it.</w:t>
      </w:r>
    </w:p>
    <w:p w14:paraId="0CFB436D" w14:textId="77777777" w:rsidR="00207084" w:rsidRPr="00156482" w:rsidRDefault="00207084">
      <w:pPr>
        <w:pBdr>
          <w:bottom w:val="single" w:sz="4" w:space="1" w:color="76B900"/>
        </w:pBdr>
        <w:spacing w:before="160" w:after="160"/>
        <w:rPr>
          <w:rFonts w:ascii="Aptos" w:hAnsi="Aptos"/>
        </w:rPr>
      </w:pPr>
    </w:p>
    <w:p w14:paraId="1E5657FC" w14:textId="77777777" w:rsidR="00207084" w:rsidRPr="00156482" w:rsidRDefault="005A0481">
      <w:pPr>
        <w:spacing w:before="160" w:after="160"/>
        <w:rPr>
          <w:rFonts w:ascii="Aptos" w:hAnsi="Aptos"/>
        </w:rPr>
      </w:pPr>
      <w:r w:rsidRPr="00156482">
        <w:rPr>
          <w:rFonts w:ascii="Aptos" w:hAnsi="Aptos"/>
          <w:b/>
          <w:bCs/>
          <w:sz w:val="21"/>
          <w:szCs w:val="21"/>
        </w:rPr>
        <w:t>That is why the terminal value of NVIDIA is not just a forecast of future cash flows. It is a judgment about the durability of platform power. The valuation already reflects an exceptional company. The investor's task is to decide whether it is merely a great cyclical beneficiary of AI demand, or one of the rare platform companies capable of sustaining exceptional returns for a very long time. In valuation, that difference is everything.</w:t>
      </w:r>
    </w:p>
    <w:sectPr w:rsidR="00207084" w:rsidRPr="00156482">
      <w:headerReference w:type="default" r:id="rId9"/>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D6B06B8" w14:textId="77777777" w:rsidR="00D901EF" w:rsidRDefault="00D901EF">
      <w:r>
        <w:separator/>
      </w:r>
    </w:p>
  </w:endnote>
  <w:endnote w:type="continuationSeparator" w:id="0">
    <w:p w14:paraId="7A2F7879" w14:textId="77777777" w:rsidR="00D901EF" w:rsidRDefault="00D901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F52E54D" w14:textId="77777777" w:rsidR="00207084" w:rsidRDefault="005A0481">
    <w:pPr>
      <w:pBdr>
        <w:top w:val="single" w:sz="2" w:space="4" w:color="CCCCCC"/>
      </w:pBdr>
      <w:spacing w:before="120"/>
    </w:pPr>
    <w:r>
      <w:rPr>
        <w:color w:val="999999"/>
        <w:sz w:val="16"/>
        <w:szCs w:val="16"/>
      </w:rPr>
      <w:t xml:space="preserve">Proprietary research. Based on Euclid Technologies DCF analysis. Not investment advice.  </w:t>
    </w:r>
    <w:r>
      <w:rPr>
        <w:color w:val="999999"/>
        <w:sz w:val="16"/>
        <w:szCs w:val="16"/>
      </w:rPr>
      <w:fldChar w:fldCharType="begin"/>
    </w:r>
    <w:r>
      <w:rPr>
        <w:color w:val="999999"/>
        <w:sz w:val="16"/>
        <w:szCs w:val="16"/>
      </w:rPr>
      <w:instrText>PAGE</w:instrText>
    </w:r>
    <w:r>
      <w:rPr>
        <w:color w:val="999999"/>
        <w:sz w:val="16"/>
        <w:szCs w:val="16"/>
      </w:rPr>
      <w:fldChar w:fldCharType="separate"/>
    </w:r>
    <w:r w:rsidR="00156482">
      <w:rPr>
        <w:noProof/>
        <w:color w:val="999999"/>
        <w:sz w:val="16"/>
        <w:szCs w:val="16"/>
      </w:rPr>
      <w:t>1</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E4B9A93" w14:textId="77777777" w:rsidR="00D901EF" w:rsidRDefault="00D901EF">
      <w:r>
        <w:separator/>
      </w:r>
    </w:p>
  </w:footnote>
  <w:footnote w:type="continuationSeparator" w:id="0">
    <w:p w14:paraId="688E4826" w14:textId="77777777" w:rsidR="00D901EF" w:rsidRDefault="00D901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087BEB" w14:textId="7A4C065C" w:rsidR="00207084" w:rsidRPr="00156482" w:rsidRDefault="005A0481">
    <w:pPr>
      <w:pBdr>
        <w:bottom w:val="single" w:sz="4" w:space="4" w:color="76B900"/>
      </w:pBdr>
      <w:spacing w:after="120"/>
      <w:rPr>
        <w:rFonts w:ascii="Aptos" w:hAnsi="Aptos"/>
      </w:rPr>
    </w:pPr>
    <w:r w:rsidRPr="00156482">
      <w:rPr>
        <w:rFonts w:ascii="Aptos" w:hAnsi="Aptos"/>
        <w:b/>
        <w:bCs/>
        <w:color w:val="555555"/>
        <w:sz w:val="18"/>
        <w:szCs w:val="18"/>
      </w:rPr>
      <w:t>NVIDIA — Terminal Value &amp; Moat Analysis</w:t>
    </w:r>
    <w:r w:rsidRPr="00156482">
      <w:rPr>
        <w:rFonts w:ascii="Aptos" w:hAnsi="Aptos"/>
        <w:color w:val="999999"/>
        <w:sz w:val="18"/>
        <w:szCs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4E604D"/>
    <w:multiLevelType w:val="hybridMultilevel"/>
    <w:tmpl w:val="46C8CF9A"/>
    <w:lvl w:ilvl="0" w:tplc="ECC60372">
      <w:start w:val="1"/>
      <w:numFmt w:val="bullet"/>
      <w:lvlText w:val="●"/>
      <w:lvlJc w:val="left"/>
      <w:pPr>
        <w:ind w:left="720" w:hanging="360"/>
      </w:pPr>
    </w:lvl>
    <w:lvl w:ilvl="1" w:tplc="88ACCCE0">
      <w:start w:val="1"/>
      <w:numFmt w:val="bullet"/>
      <w:lvlText w:val="○"/>
      <w:lvlJc w:val="left"/>
      <w:pPr>
        <w:ind w:left="1440" w:hanging="360"/>
      </w:pPr>
    </w:lvl>
    <w:lvl w:ilvl="2" w:tplc="6A28157E">
      <w:start w:val="1"/>
      <w:numFmt w:val="bullet"/>
      <w:lvlText w:val="■"/>
      <w:lvlJc w:val="left"/>
      <w:pPr>
        <w:ind w:left="2160" w:hanging="360"/>
      </w:pPr>
    </w:lvl>
    <w:lvl w:ilvl="3" w:tplc="EC5295AC">
      <w:start w:val="1"/>
      <w:numFmt w:val="bullet"/>
      <w:lvlText w:val="●"/>
      <w:lvlJc w:val="left"/>
      <w:pPr>
        <w:ind w:left="2880" w:hanging="360"/>
      </w:pPr>
    </w:lvl>
    <w:lvl w:ilvl="4" w:tplc="8078EB44">
      <w:start w:val="1"/>
      <w:numFmt w:val="bullet"/>
      <w:lvlText w:val="○"/>
      <w:lvlJc w:val="left"/>
      <w:pPr>
        <w:ind w:left="3600" w:hanging="360"/>
      </w:pPr>
    </w:lvl>
    <w:lvl w:ilvl="5" w:tplc="30D268E0">
      <w:start w:val="1"/>
      <w:numFmt w:val="bullet"/>
      <w:lvlText w:val="■"/>
      <w:lvlJc w:val="left"/>
      <w:pPr>
        <w:ind w:left="4320" w:hanging="360"/>
      </w:pPr>
    </w:lvl>
    <w:lvl w:ilvl="6" w:tplc="DC78901C">
      <w:start w:val="1"/>
      <w:numFmt w:val="bullet"/>
      <w:lvlText w:val="●"/>
      <w:lvlJc w:val="left"/>
      <w:pPr>
        <w:ind w:left="5040" w:hanging="360"/>
      </w:pPr>
    </w:lvl>
    <w:lvl w:ilvl="7" w:tplc="16A62A8E">
      <w:start w:val="1"/>
      <w:numFmt w:val="bullet"/>
      <w:lvlText w:val="●"/>
      <w:lvlJc w:val="left"/>
      <w:pPr>
        <w:ind w:left="5760" w:hanging="360"/>
      </w:pPr>
    </w:lvl>
    <w:lvl w:ilvl="8" w:tplc="ED08F6B0">
      <w:start w:val="1"/>
      <w:numFmt w:val="bullet"/>
      <w:lvlText w:val="●"/>
      <w:lvlJc w:val="left"/>
      <w:pPr>
        <w:ind w:left="6480" w:hanging="360"/>
      </w:pPr>
    </w:lvl>
  </w:abstractNum>
  <w:num w:numId="1" w16cid:durableId="79941642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7084"/>
    <w:rsid w:val="00156482"/>
    <w:rsid w:val="00207084"/>
    <w:rsid w:val="005A0481"/>
    <w:rsid w:val="006C4D11"/>
    <w:rsid w:val="00783405"/>
    <w:rsid w:val="00886E66"/>
    <w:rsid w:val="00D901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89E4A69"/>
  <w15:docId w15:val="{E7AB7BB0-AE55-9F47-AF73-A2DB731EC6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color w:val="2222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156482"/>
    <w:pPr>
      <w:tabs>
        <w:tab w:val="center" w:pos="4680"/>
        <w:tab w:val="right" w:pos="9360"/>
      </w:tabs>
    </w:pPr>
  </w:style>
  <w:style w:type="character" w:customStyle="1" w:styleId="HeaderChar">
    <w:name w:val="Header Char"/>
    <w:basedOn w:val="DefaultParagraphFont"/>
    <w:link w:val="Header"/>
    <w:uiPriority w:val="99"/>
    <w:rsid w:val="00156482"/>
  </w:style>
  <w:style w:type="paragraph" w:styleId="Footer">
    <w:name w:val="footer"/>
    <w:basedOn w:val="Normal"/>
    <w:link w:val="FooterChar"/>
    <w:uiPriority w:val="99"/>
    <w:unhideWhenUsed/>
    <w:rsid w:val="00156482"/>
    <w:pPr>
      <w:tabs>
        <w:tab w:val="center" w:pos="4680"/>
        <w:tab w:val="right" w:pos="9360"/>
      </w:tabs>
    </w:pPr>
  </w:style>
  <w:style w:type="character" w:customStyle="1" w:styleId="FooterChar">
    <w:name w:val="Footer Char"/>
    <w:basedOn w:val="DefaultParagraphFont"/>
    <w:link w:val="Footer"/>
    <w:uiPriority w:val="99"/>
    <w:rsid w:val="00156482"/>
  </w:style>
  <w:style w:type="character" w:styleId="UnresolvedMention">
    <w:name w:val="Unresolved Mention"/>
    <w:basedOn w:val="DefaultParagraphFont"/>
    <w:uiPriority w:val="99"/>
    <w:semiHidden/>
    <w:unhideWhenUsed/>
    <w:rsid w:val="00886E6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yperlink" Target="https://pages.stern.nyu.edu/~adamodar/pdfiles/eqnotes/cap.pdf" TargetMode="External"/><Relationship Id="rId3" Type="http://schemas.openxmlformats.org/officeDocument/2006/relationships/settings" Target="settings.xml"/><Relationship Id="rId7" Type="http://schemas.openxmlformats.org/officeDocument/2006/relationships/hyperlink" Target="https://www.morganstanley.com/im/en-us/financial-advisor/insights/consilient-observer/the-neglected-value-driver.html"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2648</Words>
  <Characters>15100</Characters>
  <Application>Microsoft Office Word</Application>
  <DocSecurity>0</DocSecurity>
  <Lines>125</Lines>
  <Paragraphs>35</Paragraphs>
  <ScaleCrop>false</ScaleCrop>
  <Company/>
  <LinksUpToDate>false</LinksUpToDate>
  <CharactersWithSpaces>17713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Rafael Nicolas Fermin Cota</cp:lastModifiedBy>
  <cp:revision>3</cp:revision>
  <dcterms:created xsi:type="dcterms:W3CDTF">2026-05-09T22:14:00Z</dcterms:created>
  <dcterms:modified xsi:type="dcterms:W3CDTF">2026-05-10T04:08:00Z</dcterms:modified>
</cp:coreProperties>
</file>