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rml4nzcobs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200" w:line="240" w:lineRule="auto"/>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yz5kr9bphety"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cptr8rntm4on" w:id="2"/>
      <w:bookmarkEnd w:id="2"/>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trna1biz906w" w:id="3"/>
      <w:bookmarkEnd w:id="3"/>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vt8p2xe6an75" w:id="4"/>
      <w:bookmarkEnd w:id="4"/>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ilkvn3fvcpho" w:id="5"/>
      <w:bookmarkEnd w:id="5"/>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eb2q3af2d9ca" w:id="6"/>
      <w:bookmarkEnd w:id="6"/>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s5f5jmnzu5c4" w:id="7"/>
      <w:bookmarkEnd w:id="7"/>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77nhida14v3d" w:id="8"/>
      <w:bookmarkEnd w:id="8"/>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dw1iuvs5coe2" w:id="9"/>
      <w:bookmarkEnd w:id="9"/>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o2xmqr90r9vl" w:id="10"/>
      <w:bookmarkEnd w:id="10"/>
      <w:r w:rsidDel="00000000" w:rsidR="00000000" w:rsidRPr="00000000">
        <w:rPr>
          <w:rtl w:val="0"/>
        </w:rPr>
        <w:t xml:space="preserve">genPDF.php documentation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PDF class at the beginning of the code is used to define and extend the header function in the FPDF library to become functional. The header field would not print, properly, without this.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next section of code uses the FPDF library to create the “No-Frills” transcript from the entries in the database. When passed an SSO ID from the requestTranscript.html page, it pulls the experiences associated with that SSO, along with the student’s name and degree/major. These two pieces of information are identified and collected in local variables for later printing, but they are present in every piece of the arrays passed to the php code. The size of the outer layer of the array is calculated with the count() function. For the sake of simplifying the arrays, and removing repeated information, the passed arrays are compiled into a new array which only contains the event data. The for loop converts indexes 2 through 6 on the passed array to indexes 0 to 4 on the array that is processed for printing.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actual printing begins when the “pdf” calls start.  The loop starts at 0, and goes to the previously calculated size of the array, which should be the number of experiences on the student’s transcript. On each iteration, the data contained within the array is printed in the order of date, title, description, category, and hours spent on the event. pdf-&gt;Output generates the pdf file at the end, sending it to the browser.</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