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MODEL INTEGRATION GUIDE</w:t>
      </w:r>
    </w:p>
    <w:p>
      <w:pPr>
        <w:spacing w:after="80"/>
      </w:pPr>
      <w:r>
        <w:rPr>
          <w:rFonts w:ascii="Calibri" w:hAnsi="Calibri"/>
          <w:b/>
          <w:color w:val="111827"/>
          <w:sz w:val="48"/>
        </w:rPr>
        <w:t>ResNet34-Encoder U-Net</w:t>
      </w:r>
    </w:p>
    <w:p>
      <w:pPr>
        <w:spacing w:after="240"/>
      </w:pPr>
      <w:r>
        <w:rPr>
          <w:rFonts w:ascii="Calibri" w:hAnsi="Calibri"/>
          <w:i/>
          <w:color w:val="5B6573"/>
          <w:sz w:val="26"/>
        </w:rPr>
        <w:t>Implementation-ready reference for patient-wise cross-validation experiments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sz w:val="20"/>
              </w:rPr>
              <w:t>Add the prior CNN baseline to the current larger-dataset experiment framework.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Source 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sz w:val="20"/>
              </w:rPr>
              <w:t>Original repository code was not present in the local project mirror; reference code below is reconstructed from prior prototype context.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Primary rule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sz w:val="20"/>
              </w:rPr>
              <w:t>Keep the architecture, replace the old frame-level evaluation and training plumbing.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Recommended comparison condition  </w:t>
            </w:r>
            <w:r>
              <w:rPr>
                <w:rFonts w:ascii="Calibri" w:hAnsi="Calibri"/>
                <w:color w:val="243447"/>
                <w:sz w:val="20"/>
              </w:rPr>
              <w:t>Run this model with the same patient partitions, preprocessing policy, class-balancing policy, metrics, checkpoints, and logging used by SegFormer. Do not compare its old random-frame score with new patient-wise scores.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Model contract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model is a semantic segmentation network with a ResNet34 encoder and a U-Net decoder. It maps a 3-channel image to one logit map per class. The current target taxonomy is: background = 0, complete myotomy = 1, incomplete myotomy = 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2200"/>
        <w:gridCol w:w="4660"/>
      </w:tblGrid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Component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Setting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Integration requirement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sz w:val="19"/>
              </w:rPr>
              <w:t>Input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sz w:val="19"/>
              </w:rPr>
              <w:t>RGB, 256×256 in prototype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sz w:val="19"/>
              </w:rPr>
              <w:t>Use the shared pipeline’s resize/crop policy for all models; record final spatial size.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sz w:val="19"/>
              </w:rPr>
              <w:t>Encoder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sz w:val="19"/>
              </w:rPr>
              <w:t>ResNet34, ImageNet initialization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sz w:val="19"/>
              </w:rPr>
              <w:t>Use pretrained weights only when permitted; log exact library/version.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sz w:val="19"/>
              </w:rPr>
              <w:t>Decoder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sz w:val="19"/>
              </w:rPr>
              <w:t>U-Net upsampling with encoder skips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sz w:val="19"/>
              </w:rPr>
              <w:t>Keep decoder depth/channels fixed across folds.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sz w:val="19"/>
              </w:rPr>
              <w:t>Head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sz w:val="19"/>
              </w:rPr>
              <w:t>1×1 convolution, 3 output channels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sz w:val="19"/>
              </w:rPr>
              <w:t>Return raw logits [B,3,H,W]; argmax only for metrics/inference.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sz w:val="19"/>
              </w:rPr>
              <w:t>Prototype loss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sz w:val="19"/>
              </w:rPr>
              <w:t>0.5 CrossEntropy + 0.5 Dice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sz w:val="19"/>
              </w:rPr>
              <w:t>Starting assumption only; use shared loss protocol for fair comparison.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alibri" w:hAnsi="Calibri"/>
                <w:sz w:val="19"/>
              </w:rPr>
              <w:t>Prototype optimizer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sz w:val="19"/>
              </w:rPr>
              <w:t>Adam, lr 1e-3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sz w:val="19"/>
              </w:rPr>
              <w:t>Replace with shared optimizer/scheduler policy unless explicitly comparing.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Architecture details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Encoder: ResNet34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ResNet34 is a residual convolutional encoder. Early layers capture edges and textures; deeper stages capture semantic, lower-resolution features. Residual blocks use convolution, BatchNorm, and ReLU with shortcut connections. ImageNet weights initialize the encoder; decoder and segmentation head are initialized by the library.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Decoder: U-Net reconstruction path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decoder upsamples the deepest encoder representation and fuses it with same-scale encoder features through skip connections. This restores boundary detail lost during downsampling. In common SMP configuration, encoder_depth=5 yields five feature scales and five decoder blocks; earlier notes described “four upsampling stages.” Pin the actual depth in config and log it.</w:t>
      </w:r>
    </w:p>
    <w:p>
      <w:pPr>
        <w:pStyle w:val="Code"/>
        <w:keepLines/>
      </w:pPr>
      <w:r>
        <w:rPr>
          <w:rFonts w:ascii="Courier New" w:hAnsi="Courier New"/>
          <w:color w:val="243447"/>
          <w:sz w:val="17"/>
        </w:rPr>
        <w:t>Input 256×256×3</w:t>
        <w:br/>
        <w:t xml:space="preserve">  → ResNet34 encoder: progressively lower-resolution feature pyramid</w:t>
        <w:br/>
        <w:t xml:space="preserve">  → U-Net decoder: upsample + fuse skip features</w:t>
        <w:br/>
        <w:t xml:space="preserve">  → 1×1 conv head</w:t>
        <w:br/>
        <w:t>Output: logits [B, 3, H, W]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Reconstructed reference implementation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Recovery note  </w:t>
            </w:r>
            <w:r>
              <w:rPr>
                <w:rFonts w:ascii="Calibri" w:hAnsi="Calibri"/>
                <w:color w:val="243447"/>
                <w:sz w:val="20"/>
              </w:rPr>
              <w:t>No original source files were available under the local project mirror, and no repository URL was present in the referenced conversation. The snippet is an explicit reconstruction of the likely SMP-based prototype, not byte-for-byte recovered code.</w:t>
            </w:r>
          </w:p>
        </w:tc>
      </w:tr>
    </w:tbl>
    <w:p>
      <w:pPr>
        <w:pStyle w:val="Code"/>
        <w:keepLines/>
      </w:pPr>
      <w:r>
        <w:rPr>
          <w:rFonts w:ascii="Courier New" w:hAnsi="Courier New"/>
          <w:color w:val="243447"/>
          <w:sz w:val="17"/>
        </w:rPr>
        <w:t>import segmentation_models_pytorch as smp</w:t>
        <w:br/>
        <w:br/>
        <w:t>def build_model(num_classes=3, pretrained=True):</w:t>
        <w:br/>
        <w:t xml:space="preserve">    return smp.Unet(</w:t>
        <w:br/>
        <w:t xml:space="preserve">        encoder_name="resnet34",</w:t>
        <w:br/>
        <w:t xml:space="preserve">        encoder_weights="imagenet" if pretrained else None,</w:t>
        <w:br/>
        <w:t xml:space="preserve">        in_channels=3,</w:t>
        <w:br/>
        <w:t xml:space="preserve">        classes=num_classes,</w:t>
        <w:br/>
        <w:t xml:space="preserve">        activation=None,</w:t>
        <w:br/>
        <w:t xml:space="preserve">        encoder_depth=5,</w:t>
        <w:br/>
        <w:t xml:space="preserve">        decoder_use_batchnorm=True,</w:t>
        <w:br/>
        <w:t xml:space="preserve">    )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If the framework does not use SMP, implement the same contract with torchvision.models.resnet34 as encoder and expose the feature pyramid to a U-Net decoder. Use one documented normalization policy consistently across models; do not accidentally mix SMP and torchvision preprocessing.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Prototype assumptions to reproduce or audit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Approximately 101 annotated frames; historical context only.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Random frame-level 80/20 train/validation split; not acceptable for the definitive study.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Batch size 8; 20 epochs; early stopping was used.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Adam, initial learning rate 1e-3; ReduceLROnPlateau was used.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Training augmentation included flips, light rotation/scale/translation, and brightness/contrast; apply image and mask transforms together.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Historical reporting included accuracy and mean IoU, with earlier precision/recall tracking; pixel accuracy is secondary for the current imbalanced task.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Integration into the current experiment framework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 Data split: patient-wise, leakage-safe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Build a manifest with image path, mask path, patient ID, video/sequence ID, and fold assignment.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Hold out test patients before cross-validation; no frame or near-duplicate from a test patient may enter train or validation.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Create CV folds only among training patients. Stratify at patient level where feasible, never by individual frame.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Recreate datasets/loaders from the fold manifest and assert train/validation/test patient intersections are empty.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B. Sampling and balancing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Replace implicit frame sampling with the shared balancing policy. Decide whether balancing is by patient, class pixels, foreground presence, or a documented combination. Keep validation and test sampling deterministic and representative; never oversample them.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C. Loss and optimization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Expose loss weights and optimizer settings in the same config schema as SegFormer. A reasonable compatibility baseline is CrossEntropy + multiclass Dice, but every model must use the same loss definition, ignore-index handling, class order, and reduction semantics for a fair comparison.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D. Metrics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Compute metrics from the full accumulated confusion matrix, not by averaging per-batch percentages. Report per fold and aggregate across folds with mean ± standard deviation, preserving patient-level test separation.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Metric tier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Required outputs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sz w:val="19"/>
              </w:rPr>
              <w:t>Dice and IoU per class; macro Dice and macro IoU; foreground-only mean Dice/IoU if defined.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sz w:val="19"/>
              </w:rPr>
              <w:t>Precision and recall per class; support/pixel counts per class.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rFonts w:ascii="Calibri" w:hAnsi="Calibri"/>
                <w:sz w:val="19"/>
              </w:rPr>
              <w:t>Context only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sz w:val="19"/>
              </w:rPr>
              <w:t>Pixel accuracy, clearly labeled secondary because background dominance can inflate it.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rFonts w:ascii="Calibri" w:hAnsi="Calibri"/>
                <w:sz w:val="19"/>
              </w:rPr>
              <w:t>Diagnostics</w:t>
            </w:r>
          </w:p>
        </w:tc>
        <w:tc>
          <w:tcPr>
            <w:tcW w:type="dxa" w:w="6760"/>
          </w:tcPr>
          <w:p>
            <w:r/>
            <w:r>
              <w:rPr>
                <w:rFonts w:ascii="Calibri" w:hAnsi="Calibri"/>
                <w:sz w:val="19"/>
              </w:rPr>
              <w:t>Confusion matrix, empty-class handling, prediction foreground fraction, and qualitative masks.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E. Logging and checkpoints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Log config, package versions, random seeds, fold ID, patient IDs, normalization, augmentation, class mapping, and pretrained-weight source.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Save the best checkpoint using shared validation selection; never select using held-out test data.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Write one machine-readable row per epoch/fold and one summary row per fold.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Load each selected checkpoint and evaluate once on that fold’s untouched test patients.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Minimal agent-facing pseudocode</w:t>
      </w:r>
    </w:p>
    <w:p>
      <w:pPr>
        <w:pStyle w:val="Code"/>
        <w:keepLines/>
      </w:pPr>
      <w:r>
        <w:rPr>
          <w:rFonts w:ascii="Courier New" w:hAnsi="Courier New"/>
          <w:color w:val="243447"/>
          <w:sz w:val="17"/>
        </w:rPr>
        <w:t>for fold_id, split in patientwise_splits(manifest):</w:t>
        <w:br/>
        <w:t xml:space="preserve">    assert not overlap(split.train_patients, split.val_patients)</w:t>
        <w:br/>
        <w:t xml:space="preserve">    assert not overlap(split.train_patients, split.test_patients)</w:t>
        <w:br/>
        <w:t xml:space="preserve">    assert not overlap(split.val_patients, split.test_patients)</w:t>
        <w:br/>
        <w:br/>
        <w:t xml:space="preserve">    train_loader = make_loader(split.train, train=True, balance=cfg.balance)</w:t>
        <w:br/>
        <w:t xml:space="preserve">    val_loader   = make_loader(split.val, train=False)</w:t>
        <w:br/>
        <w:t xml:space="preserve">    test_loader  = make_loader(split.test, train=False)</w:t>
        <w:br/>
        <w:t xml:space="preserve">    model = build_model(num_classes=cfg.num_classes, pretrained=cfg.encoder_pretrained).to(device)</w:t>
        <w:br/>
        <w:t xml:space="preserve">    criterion = build_shared_loss(cfg.loss)</w:t>
        <w:br/>
        <w:t xml:space="preserve">    optimizer, scheduler = build_shared_optimizers(model, cfg.optim)</w:t>
        <w:br/>
        <w:t xml:space="preserve">    fit(model, train_loader, val_loader, criterion, optimizer, scheduler, cfg)</w:t>
        <w:br/>
        <w:t xml:space="preserve">    load_best_checkpoint(model, fold_id)</w:t>
        <w:br/>
        <w:t xml:space="preserve">    fold_metrics = evaluate(model, test_loader, metrics=cfg.metrics)</w:t>
        <w:br/>
        <w:t xml:space="preserve">    log_fold(fold_id, split, cfg, fold_metrics)</w:t>
        <w:br/>
        <w:br/>
        <w:t>aggregate_fold_metrics()  # mean ± SD; retain per-class values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Acceptance checklist before trusting results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Model output has exactly three logits and matches mask labels {0,1,2}.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A dummy forward pass succeeds at the configured image size.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Train/validation/test patient intersections are empty for every fold.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The same fold manifests, preprocessing, metric code, and reporting schema are used for ResNet34-U-Net and SegFormer.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Pretrained versus random initialization is explicit in config and run name.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Best-checkpoint selection uses validation only; final test metrics are computed after selection.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Per-class Dice/IoU, precision/recall, macro scores, and fold variability are in the final report.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[ ] Historical random-frame results are labeled preliminary and are not pooled with patient-wise results.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References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architecture is a composition of the U-Net decoder, ResNet encoder, and ImageNet pretraining; cite all relevant components in the paper or report.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 xml:space="preserve">Ronneberger, O.; Fischer, P.; Brox, T. “U-Net: Convolutional Networks for Biomedical Image Segmentation.” MICCAI, 2015.  </w:t>
      </w:r>
      <w:r>
        <w:rPr>
          <w:rFonts w:ascii="Calibri" w:hAnsi="Calibri"/>
          <w:color w:val="2E74B5"/>
          <w:sz w:val="18"/>
        </w:rPr>
        <w:t>https://arxiv.org/abs/1505.04597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 xml:space="preserve">He, K.; Zhang, X.; Ren, S.; Sun, J. “Deep Residual Learning for Image Recognition.” CVPR, 2016.  </w:t>
      </w:r>
      <w:r>
        <w:rPr>
          <w:rFonts w:ascii="Calibri" w:hAnsi="Calibri"/>
          <w:color w:val="2E74B5"/>
          <w:sz w:val="18"/>
        </w:rPr>
        <w:t>https://arxiv.org/abs/1512.03385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 xml:space="preserve">Yakubovskiy, P. Segmentation Models PyTorch repository and documentation.  </w:t>
      </w:r>
      <w:r>
        <w:rPr>
          <w:rFonts w:ascii="Calibri" w:hAnsi="Calibri"/>
          <w:color w:val="2E74B5"/>
          <w:sz w:val="18"/>
        </w:rPr>
        <w:t>https://github.com/qubvel-org/segmentation_models.pytorch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 xml:space="preserve">SMP encoder documentation: ResNet34 with ImageNet weights and preprocessing guidance.  </w:t>
      </w:r>
      <w:r>
        <w:rPr>
          <w:rFonts w:ascii="Calibri" w:hAnsi="Calibri"/>
          <w:color w:val="2E74B5"/>
          <w:sz w:val="18"/>
        </w:rPr>
        <w:t>https://github.com/qubvel-org/segmentation_models.pytorch/blob/main/docs/encoders.rst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6"/>
      </w:rPr>
      <w:t>ResNet34–U-Net integration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Acalasia computer vision  |  implementation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 w:line="252" w:lineRule="auto"/>
      <w:ind w:left="216" w:righ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ResNet34-Encoder U-Net Integration Guide</dc:title>
  <dc:subject>Implementation-ready reference for patient-wise cross-validation experiments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