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7</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8</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9</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10</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13</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14</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16</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Run the demonstration mode</w:t>
            </w:r>
            <w:r>
              <w:rPr>
                <w:rStyle w:val="Hyperlink"/>
                <w:noProof/>
              </w:rPr>
              <w:tab/>
            </w:r>
            <w:r>
              <w:rPr>
                <w:rStyle w:val="Hyperlink"/>
                <w:noProof/>
              </w:rPr>
              <w:t xml:space="preserve">17</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Check the audit log</w:t>
            </w:r>
            <w:r>
              <w:rPr>
                <w:rStyle w:val="Hyperlink"/>
                <w:noProof/>
              </w:rPr>
              <w:tab/>
            </w:r>
            <w:r>
              <w:rPr>
                <w:rStyle w:val="Hyperlink"/>
                <w:noProof/>
              </w:rPr>
              <w:t xml:space="preserve">18</w:t>
            </w:r>
          </w:hyperlink>
        </w:p>
        <w:p>
          <w:pPr>
            <w:pStyle w:val="Verzeichnis2"/>
          </w:pPr>
          <w:hyperlink w:anchor="_Toc000009026" w:history="1">
            <w:r>
              <w:rPr>
                <w:rStyle w:val="Hyperlink"/>
                <w:noProof/>
              </w:rPr>
              <w:t xml:space="preserve">7.14</w:t>
            </w:r>
            <w:r>
              <w:rPr>
                <w:rStyle w:val="Hyperlink"/>
                <w:noProof/>
              </w:rPr>
              <w:tab/>
            </w:r>
            <w:r>
              <w:rPr>
                <w:rStyle w:val="Hyperlink"/>
                <w:noProof/>
              </w:rPr>
              <w:t xml:space="preserve">Back up and remove data</w:t>
            </w:r>
            <w:r>
              <w:rPr>
                <w:rStyle w:val="Hyperlink"/>
                <w:noProof/>
              </w:rPr>
              <w:tab/>
            </w:r>
            <w:r>
              <w:rPr>
                <w:rStyle w:val="Hyperlink"/>
                <w:noProof/>
              </w:rPr>
              <w:t xml:space="preserve">19</w:t>
            </w:r>
          </w:hyperlink>
        </w:p>
        <w:p>
          <w:pPr>
            <w:pStyle w:val="Verzeichnis1"/>
          </w:pPr>
          <w:hyperlink w:anchor="_Toc000009027"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19</w:t>
            </w:r>
          </w:hyperlink>
        </w:p>
        <w:p>
          <w:pPr>
            <w:pStyle w:val="Verzeichnis2"/>
          </w:pPr>
          <w:hyperlink w:anchor="_Toc000009028"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20</w:t>
            </w:r>
          </w:hyperlink>
        </w:p>
        <w:p>
          <w:pPr>
            <w:pStyle w:val="Verzeichnis1"/>
          </w:pPr>
          <w:hyperlink w:anchor="_Toc000009030"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20</w:t>
            </w:r>
          </w:hyperlink>
        </w:p>
        <w:p>
          <w:pPr>
            <w:pStyle w:val="Verzeichnis1"/>
          </w:pPr>
          <w:hyperlink w:anchor="_Toc000009031"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20</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analysts, viewers and administrators of the vehicle cybersecurity team. The tool runs on the user’s own computer (</w:t>
      </w:r>
      <w:r>
        <w:rPr>
          <w:b/>
        </w:rPr>
        <w:t xml:space="preserve">http://127.0.0.1:8765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http://127.0.0.1:8765.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as 127.0.0.1.</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http://127.0.0.1:8765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2_overview.png"/>
                    <pic:cNvPicPr/>
                  </pic:nvPicPr>
                  <pic:blipFill>
                    <a:blip r:embed="rId17"/>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3: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Add an analyst note there; it is attributed to you.</w:t>
      </w:r>
    </w:p>
    <w:p>
      <w:pPr>
        <w:spacing w:before="0" w:after="60" w:line="276" w:lineRule="auto"/>
        <w:ind w:left="-37" w:right="-680" w:hanging="360"/>
      </w:pPr>
      <w:r>
        <w:t xml:space="preserve">4.</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3_events.png"/>
                    <pic:cNvPicPr/>
                  </pic:nvPicPr>
                  <pic:blipFill>
                    <a:blip r:embed="rId18"/>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4: Events page with search, facets and result list</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6_vehicle.png"/>
                    <pic:cNvPicPr/>
                  </pic:nvPicPr>
                  <pic:blipFill>
                    <a:blip r:embed="rId19"/>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5: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w:t>
      </w:r>
    </w:p>
    <w:p>
      <w:pPr>
        <w:spacing w:before="0" w:after="60" w:line="276" w:lineRule="auto"/>
        <w:ind w:left="-37" w:right="-680" w:hanging="360"/>
      </w:pPr>
      <w:r>
        <w:t xml:space="preserve">5.</w:t>
        <w:tab/>
        <w:t xml:space="preserve">If the alert needs real investigation, create a case from it (next step).</w:t>
      </w:r>
    </w:p>
    <w:p>
      <w:pPr>
        <w:spacing w:before="0" w:after="60" w:line="276" w:lineRule="auto"/>
        <w:ind w:left="-37" w:right="-680" w:hanging="360"/>
      </w:pPr>
      <w:r>
        <w:t xml:space="preserve">6.</w:t>
        <w:tab/>
        <w:t xml:space="preserve">If the same harmless pattern keeps coming back, choose </w:t>
      </w:r>
      <w:r>
        <w:rPr>
          <w:b/>
        </w:rPr>
        <w:t xml:space="preserve">Suppress similar alerts</w:t>
      </w:r>
      <w:r>
        <w:t xml:space="preserve"> in the drawer (analyst). See section 7.9.</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7_alerts.png"/>
                    <pic:cNvPicPr/>
                  </pic:nvPicPr>
                  <pic:blipFill>
                    <a:blip r:embed="rId20"/>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6: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tasks are: review the linked events and the vehicle history; check whether other vehicles show the same pattern; assess the impact on TARA threat scenarios and CSMS; decide on the response and whether reporting is needed; document the findings. Add or remove tasks as needed.</w:t>
      </w:r>
    </w:p>
    <w:p>
      <w:pPr>
        <w:spacing w:before="0" w:after="60" w:line="276" w:lineRule="auto"/>
        <w:ind w:left="-37" w:right="-680" w:hanging="360"/>
      </w:pPr>
      <w:r>
        <w:t xml:space="preserve">4.</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5.</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6.</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7.</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9_case.png"/>
                    <pic:cNvPicPr/>
                  </pic:nvPicPr>
                  <pic:blipFill>
                    <a:blip r:embed="rId21"/>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7: Case with checklist, details and linked alerts</w:t>
      </w:r>
    </w:p>
    <w:p>
      <w:pPr>
        <w:spacing w:before="60" w:after="60" w:line="276" w:lineRule="auto"/>
        <w:ind w:left="-397" w:right="-680"/>
      </w:pPr>
      <w:r>
        <w:t xml:space="preserve">The report contains the case facts, summary, findings and decision, the vehicles with their decoded VIN, the linked alerts, the checklist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937760" cy="6748272"/>
            <wp:docPr id="1" name="Picture 1"/>
            <wp:cNvGraphicFramePr>
              <a:graphicFrameLocks noChangeAspect="1"/>
            </wp:cNvGraphicFramePr>
            <a:graphic>
              <a:graphicData uri="http://schemas.openxmlformats.org/drawingml/2006/picture">
                <pic:pic>
                  <pic:nvPicPr>
                    <pic:cNvPr id="0" name="15_report.png"/>
                    <pic:cNvPicPr/>
                  </pic:nvPicPr>
                  <pic:blipFill>
                    <a:blip r:embed="rId22"/>
                    <a:stretch>
                      <a:fillRect/>
                    </a:stretch>
                  </pic:blipFill>
                  <pic:spPr>
                    <a:xfrm>
                      <a:off x="0" y="0"/>
                      <a:ext cx="4937760" cy="6748272"/>
                    </a:xfrm>
                    <a:prstGeom prst="rect"/>
                  </pic:spPr>
                </pic:pic>
              </a:graphicData>
            </a:graphic>
          </wp:inline>
        </w:drawing>
      </w:r>
    </w:p>
    <w:p>
      <w:pPr>
        <w:spacing w:before="0" w:after="140" w:line="276" w:lineRule="auto"/>
        <w:ind w:left="-397" w:right="-680"/>
      </w:pPr>
      <w:r>
        <w:rPr>
          <w:i/>
          <w:sz w:val="18"/>
          <w:szCs w:val="18"/>
        </w:rPr>
        <w:t xml:space="preserve">Figure 8: Case report (top part)</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477908"/>
            <wp:docPr id="1" name="Picture 1"/>
            <wp:cNvGraphicFramePr>
              <a:graphicFrameLocks noChangeAspect="1"/>
            </wp:cNvGraphicFramePr>
            <a:graphic>
              <a:graphicData uri="http://schemas.openxmlformats.org/drawingml/2006/picture">
                <pic:pic>
                  <pic:nvPicPr>
                    <pic:cNvPr id="0" name="10_detections.png"/>
                    <pic:cNvPicPr/>
                  </pic:nvPicPr>
                  <pic:blipFill>
                    <a:blip r:embed="rId23"/>
                    <a:stretch>
                      <a:fillRect/>
                    </a:stretch>
                  </pic:blipFill>
                  <pic:spPr>
                    <a:xfrm>
                      <a:off x="0" y="0"/>
                      <a:ext cx="5486400" cy="3477908"/>
                    </a:xfrm>
                    <a:prstGeom prst="rect"/>
                  </pic:spPr>
                </pic:pic>
              </a:graphicData>
            </a:graphic>
          </wp:inline>
        </w:drawing>
      </w:r>
    </w:p>
    <w:p>
      <w:pPr>
        <w:spacing w:before="0" w:after="140" w:line="276" w:lineRule="auto"/>
        <w:ind w:left="-397" w:right="-680"/>
      </w:pPr>
      <w:r>
        <w:rPr>
          <w:i/>
          <w:sz w:val="18"/>
          <w:szCs w:val="18"/>
        </w:rPr>
        <w:t xml:space="preserve">Figure 9: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4"/>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10: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5"/>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11: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6"/>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12: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27"/>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13: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127.0.0.1.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477908"/>
            <wp:docPr id="1" name="Picture 1"/>
            <wp:cNvGraphicFramePr>
              <a:graphicFrameLocks noChangeAspect="1"/>
            </wp:cNvGraphicFramePr>
            <a:graphic>
              <a:graphicData uri="http://schemas.openxmlformats.org/drawingml/2006/picture">
                <pic:pic>
                  <pic:nvPicPr>
                    <pic:cNvPr id="0" name="12_users.png"/>
                    <pic:cNvPicPr/>
                  </pic:nvPicPr>
                  <pic:blipFill>
                    <a:blip r:embed="rId28"/>
                    <a:stretch>
                      <a:fillRect/>
                    </a:stretch>
                  </pic:blipFill>
                  <pic:spPr>
                    <a:xfrm>
                      <a:off x="0" y="0"/>
                      <a:ext cx="5486400" cy="3477908"/>
                    </a:xfrm>
                    <a:prstGeom prst="rect"/>
                  </pic:spPr>
                </pic:pic>
              </a:graphicData>
            </a:graphic>
          </wp:inline>
        </w:drawing>
      </w:r>
    </w:p>
    <w:p>
      <w:pPr>
        <w:spacing w:before="0" w:after="140" w:line="276" w:lineRule="auto"/>
        <w:ind w:left="-397" w:right="-680"/>
      </w:pPr>
      <w:r>
        <w:rPr>
          <w:i/>
          <w:sz w:val="18"/>
          <w:szCs w:val="18"/>
        </w:rPr>
        <w:t xml:space="preserve">Figure 14: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Run the demonstration mode</w:t>
      </w:r>
      <w:bookmarkEnd w:id="9024"/>
    </w:p>
    <w:p>
      <w:pPr>
        <w:keepNext/>
        <w:spacing w:before="0" w:after="60" w:line="276" w:lineRule="auto"/>
        <w:ind w:left="-397" w:right="-680"/>
      </w:pPr>
      <w:r>
        <w:rPr>
          <w:b/>
        </w:rPr>
        <w:t xml:space="preserve">Wizard mode</w:t>
      </w:r>
      <w:r>
        <w:t xml:space="preserve"> is for demonstrations. It plays an analyst: it creates cases from all open alerts, works through each checklist, writes notes from the real event data and closes most of the cases over a few minutes. Some cases stay open or waiting, as in real life.</w:t>
      </w:r>
    </w:p>
    <w:p>
      <w:pPr>
        <w:spacing w:before="0" w:after="60" w:line="276" w:lineRule="auto"/>
        <w:ind w:left="-37" w:right="-680" w:hanging="360"/>
      </w:pPr>
      <w:r>
        <w:t xml:space="preserve">1.</w:t>
        <w:tab/>
        <w:t xml:space="preserve">Open </w:t>
      </w:r>
      <w:r>
        <w:rPr>
          <w:b/>
        </w:rPr>
        <w:t xml:space="preserve">Users</w:t>
      </w:r>
      <w:r>
        <w:t xml:space="preserve"> (administrator) and find the panel </w:t>
      </w:r>
      <w:r>
        <w:rPr>
          <w:b/>
        </w:rPr>
        <w:t xml:space="preserve">Wizard mode (demo)</w:t>
      </w:r>
      <w:r>
        <w:t xml:space="preserve">.</w:t>
      </w:r>
    </w:p>
    <w:p>
      <w:pPr>
        <w:spacing w:before="0" w:after="60" w:line="276" w:lineRule="auto"/>
        <w:ind w:left="-37" w:right="-680" w:hanging="360"/>
      </w:pPr>
      <w:r>
        <w:t xml:space="preserve">2.</w:t>
        <w:tab/>
        <w:t xml:space="preserve">Choose a speed (fast, normal or slow). The list shows how long the current alerts take.</w:t>
      </w:r>
    </w:p>
    <w:p>
      <w:pPr>
        <w:spacing w:before="0" w:after="60" w:line="276" w:lineRule="auto"/>
        <w:ind w:left="-37" w:right="-680" w:hanging="360"/>
      </w:pPr>
      <w:r>
        <w:t xml:space="preserve">3.</w:t>
        <w:tab/>
        <w:t xml:space="preserve">Choose </w:t>
      </w:r>
      <w:r>
        <w:rPr>
          <w:b/>
        </w:rPr>
        <w:t xml:space="preserve">Start</w:t>
      </w:r>
      <w:r>
        <w:t xml:space="preserve">. A chip </w:t>
      </w:r>
      <w:r>
        <w:rPr>
          <w:b/>
        </w:rPr>
        <w:t xml:space="preserve">Wizard mode (demo)</w:t>
      </w:r>
      <w:r>
        <w:t xml:space="preserve"> appears in the top bar and the pages refresh by themselves.</w:t>
      </w:r>
    </w:p>
    <w:p>
      <w:pPr>
        <w:spacing w:before="0" w:after="60" w:line="276" w:lineRule="auto"/>
        <w:ind w:left="-37" w:right="-680" w:hanging="360"/>
      </w:pPr>
      <w:r>
        <w:t xml:space="preserve">4.</w:t>
        <w:tab/>
        <w:t xml:space="preserve">Choose </w:t>
      </w:r>
      <w:r>
        <w:rPr>
          <w:b/>
        </w:rPr>
        <w:t xml:space="preserve">Stop</w:t>
      </w:r>
      <w:r>
        <w:t xml:space="preserve"> to pause. </w:t>
      </w:r>
      <w:r>
        <w:rPr>
          <w:b/>
        </w:rPr>
        <w:t xml:space="preserve">Remove demo cases</w:t>
      </w:r>
      <w:r>
        <w:t xml:space="preserve"> deletes the cases it made and sets their alerts back to New.</w:t>
      </w:r>
    </w:p>
    <w:p>
      <w:pPr>
        <w:keepNext/>
        <w:spacing w:before="80" w:after="40"/>
        <w:spacing w:line="276" w:lineRule="auto"/>
        <w:ind w:left="-397" w:right="-680"/>
      </w:pPr>
      <w:r>
        <w:drawing>
          <wp:inline xmlns:a="http://schemas.openxmlformats.org/drawingml/2006/main" xmlns:pic="http://schemas.openxmlformats.org/drawingml/2006/picture">
            <wp:extent cx="5486400" cy="1449029"/>
            <wp:docPr id="1" name="Picture 1"/>
            <wp:cNvGraphicFramePr>
              <a:graphicFrameLocks noChangeAspect="1"/>
            </wp:cNvGraphicFramePr>
            <a:graphic>
              <a:graphicData uri="http://schemas.openxmlformats.org/drawingml/2006/picture">
                <pic:pic>
                  <pic:nvPicPr>
                    <pic:cNvPr id="0" name="16_wizard.png"/>
                    <pic:cNvPicPr/>
                  </pic:nvPicPr>
                  <pic:blipFill>
                    <a:blip r:embed="rId29"/>
                    <a:stretch>
                      <a:fillRect/>
                    </a:stretch>
                  </pic:blipFill>
                  <pic:spPr>
                    <a:xfrm>
                      <a:off x="0" y="0"/>
                      <a:ext cx="5486400" cy="1449029"/>
                    </a:xfrm>
                    <a:prstGeom prst="rect"/>
                  </pic:spPr>
                </pic:pic>
              </a:graphicData>
            </a:graphic>
          </wp:inline>
        </w:drawing>
      </w:r>
    </w:p>
    <w:p>
      <w:pPr>
        <w:spacing w:before="0" w:after="140" w:line="276" w:lineRule="auto"/>
        <w:ind w:left="-397" w:right="-680"/>
      </w:pPr>
      <w:r>
        <w:rPr>
          <w:i/>
          <w:sz w:val="18"/>
          <w:szCs w:val="18"/>
        </w:rPr>
        <w:t xml:space="preserve">Figure 15: Wizard mode on the Users page</w:t>
      </w:r>
    </w:p>
    <w:p>
      <w:pPr>
        <w:spacing w:before="0" w:after="40" w:line="276" w:lineRule="auto"/>
        <w:ind w:left="-37" w:right="-680" w:hanging="360"/>
      </w:pPr>
      <w:r>
        <w:t xml:space="preserve">•</w:t>
        <w:tab/>
        <w:t xml:space="preserve">Everything it does is labelled </w:t>
      </w:r>
      <w:r>
        <w:rPr>
          <w:b/>
        </w:rPr>
        <w:t xml:space="preserve">Wizard (demo)</w:t>
      </w:r>
      <w:r>
        <w:t xml:space="preserve">, shows “[Demo]” in the summary and findings, and is written to the audit log.</w:t>
      </w:r>
    </w:p>
    <w:p>
      <w:pPr>
        <w:spacing w:before="0" w:after="40" w:line="276" w:lineRule="auto"/>
        <w:ind w:left="-37" w:right="-680" w:hanging="360"/>
      </w:pPr>
      <w:r>
        <w:t xml:space="preserve">•</w:t>
        <w:tab/>
        <w:t xml:space="preserve">Events are never changed. Alerts in a suppression rule, or already in a case, are left alone.</w:t>
      </w:r>
    </w:p>
    <w:p>
      <w:pPr>
        <w:spacing w:before="0" w:after="40" w:line="276" w:lineRule="auto"/>
        <w:ind w:left="-37" w:right="-680" w:hanging="360"/>
      </w:pPr>
      <w:r>
        <w:t xml:space="preserve">•</w:t>
        <w:tab/>
        <w:t xml:space="preserve">Times are real: the cases are not back-dated. Do not use it on a database with real work in it.</w:t>
      </w:r>
    </w:p>
    <w:p>
      <w:pPr>
        <w:pStyle w:val="berschrift2"/>
        <w:rPr>
          <w:lang w:val="en-GB"/>
        </w:rPr>
        <w:ind w:left="133" w:hanging="757"/>
      </w:pPr>
      <w:bookmarkStart w:id="9025" w:name="_Toc000009025"/>
      <w:r>
        <w:rPr>
          <w:bCs/>
          <w:lang w:val="en-GB"/>
        </w:rPr>
        <w:t xml:space="preserve">Check the audit log</w:t>
      </w:r>
      <w:bookmarkEnd w:id="9025"/>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477908"/>
            <wp:docPr id="1" name="Picture 1"/>
            <wp:cNvGraphicFramePr>
              <a:graphicFrameLocks noChangeAspect="1"/>
            </wp:cNvGraphicFramePr>
            <a:graphic>
              <a:graphicData uri="http://schemas.openxmlformats.org/drawingml/2006/picture">
                <pic:pic>
                  <pic:nvPicPr>
                    <pic:cNvPr id="0" name="13_audit.png"/>
                    <pic:cNvPicPr/>
                  </pic:nvPicPr>
                  <pic:blipFill>
                    <a:blip r:embed="rId30"/>
                    <a:stretch>
                      <a:fillRect/>
                    </a:stretch>
                  </pic:blipFill>
                  <pic:spPr>
                    <a:xfrm>
                      <a:off x="0" y="0"/>
                      <a:ext cx="5486400" cy="3477908"/>
                    </a:xfrm>
                    <a:prstGeom prst="rect"/>
                  </pic:spPr>
                </pic:pic>
              </a:graphicData>
            </a:graphic>
          </wp:inline>
        </w:drawing>
      </w:r>
    </w:p>
    <w:p>
      <w:pPr>
        <w:spacing w:before="0" w:after="140" w:line="276" w:lineRule="auto"/>
        <w:ind w:left="-397" w:right="-680"/>
      </w:pPr>
      <w:r>
        <w:rPr>
          <w:i/>
          <w:sz w:val="18"/>
          <w:szCs w:val="18"/>
        </w:rPr>
        <w:t xml:space="preserve">Figure 16: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6" w:name="_Toc000009026"/>
      <w:r>
        <w:rPr>
          <w:bCs/>
          <w:lang w:val="en-GB"/>
        </w:rPr>
        <w:t xml:space="preserve">Back up and remove data</w:t>
      </w:r>
      <w:bookmarkEnd w:id="9026"/>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7" w:name="_Toc000009027"/>
      <w:r>
        <w:t xml:space="preserve">FLOW</w:t>
      </w:r>
      <w:bookmarkEnd w:id="9027"/>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350"/>
        <w:gridCol w:w="1350"/>
        <w:gridCol w:w="1350"/>
        <w:gridCol w:w="1200"/>
        <w:gridCol w:w="1300"/>
        <w:gridCol w:w="2307"/>
        <w:gridCol w:w="1350"/>
      </w:tblGrid>
      <w:tr>
        <w:trPr>
          <w:trHeight w:val="850"/>
        </w:trPr>
        <w:tc>
          <w:tcPr>
            <w:tcW w:w="1350" w:type="dxa"/>
            <w:shd w:val="clear" w:color="auto" w:fill="E8E8E8" w:themeFill="background2"/>
            <w:vAlign w:val="center"/>
          </w:tcPr>
          <w:p>
            <w:pPr>
              <w:spacing w:line="276" w:lineRule="auto"/>
            </w:pPr>
            <w:r>
              <w:t>R</w:t>
            </w:r>
          </w:p>
        </w:tc>
        <w:tc>
          <w:tcPr>
            <w:tcW w:w="1350" w:type="dxa"/>
            <w:shd w:val="clear" w:color="auto" w:fill="E8E8E8" w:themeFill="background2"/>
            <w:vAlign w:val="center"/>
          </w:tcPr>
          <w:p>
            <w:pPr>
              <w:spacing w:line="276" w:lineRule="auto"/>
            </w:pPr>
            <w:r>
              <w:t>S</w:t>
            </w:r>
          </w:p>
        </w:tc>
        <w:tc>
          <w:tcPr>
            <w:tcW w:w="1350" w:type="dxa"/>
            <w:shd w:val="clear" w:color="auto" w:fill="E8E8E8" w:themeFill="background2"/>
            <w:vAlign w:val="center"/>
          </w:tcPr>
          <w:p>
            <w:pPr>
              <w:spacing w:line="276" w:lineRule="auto"/>
            </w:pPr>
            <w:r>
              <w:t>I</w:t>
            </w:r>
          </w:p>
        </w:tc>
        <w:tc>
          <w:tcPr>
            <w:tcW w:w="1200" w:type="dxa"/>
            <w:shd w:val="clear" w:color="auto" w:fill="E8E8E8" w:themeFill="background2"/>
            <w:vAlign w:val="center"/>
          </w:tcPr>
          <w:p>
            <w:pPr>
              <w:spacing w:line="276" w:lineRule="auto"/>
            </w:pPr>
            <w:r>
              <w:t>Input</w:t>
            </w:r>
          </w:p>
        </w:tc>
        <w:tc>
          <w:tcPr>
            <w:tcW w:w="1300" w:type="dxa"/>
            <w:shd w:val="clear" w:color="auto" w:fill="E8E8E8" w:themeFill="background2"/>
            <w:vAlign w:val="center"/>
          </w:tcPr>
          <w:p>
            <w:pPr>
              <w:spacing w:line="276" w:lineRule="auto"/>
            </w:pPr>
            <w:r>
              <w:t>Output</w:t>
            </w:r>
          </w:p>
        </w:tc>
        <w:tc>
          <w:tcPr>
            <w:tcW w:w="2307" w:type="dxa"/>
            <w:shd w:val="clear" w:color="auto" w:fill="E8E8E8" w:themeFill="background2"/>
            <w:vAlign w:val="center"/>
          </w:tcPr>
          <w:p>
            <w:pPr>
              <w:spacing w:line="276" w:lineRule="auto"/>
            </w:pPr>
            <w:r>
              <w:t>Activity</w:t>
            </w:r>
          </w:p>
        </w:tc>
        <w:tc>
          <w:tcPr>
            <w:tcW w:w="1350" w:type="dxa"/>
            <w:shd w:val="clear" w:color="auto" w:fill="E8E8E8" w:themeFill="background2"/>
            <w:vAlign w:val="center"/>
          </w:tcPr>
          <w:p>
            <w:pPr>
              <w:spacing w:line="276" w:lineRule="auto"/>
            </w:pPr>
            <w:r>
              <w:t>Documents</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350" w:type="dxa"/>
          </w:tcPr>
          <w:p>
            <w:pPr>
              <w:spacing w:line="276" w:lineRule="auto"/>
              <w:rPr>
                <w:noProof/>
                <w:szCs w:val="20"/>
              </w:rPr>
            </w:pPr>
          </w:p>
        </w:tc>
        <w:tc>
          <w:tcPr>
            <w:tcW w:w="1200" w:type="dxa"/>
          </w:tcPr>
          <w:p>
            <w:pPr>
              <w:spacing w:line="276" w:lineRule="auto"/>
              <w:rPr>
                <w:noProof/>
                <w:szCs w:val="20"/>
              </w:rPr>
            </w:pPr>
            <w:r>
              <w:rPr>
                <w:noProof/>
                <w:sz w:val="16"/>
                <w:szCs w:val="16"/>
              </w:rPr>
              <w:t xml:space="preserve">Event export or backend</w:t>
            </w:r>
          </w:p>
        </w:tc>
        <w:tc>
          <w:tcPr>
            <w:tcW w:w="1300" w:type="dxa"/>
          </w:tcPr>
          <w:p>
            <w:pPr>
              <w:spacing w:line="276" w:lineRule="auto"/>
              <w:rPr>
                <w:noProof/>
                <w:szCs w:val="20"/>
              </w:rPr>
            </w:pPr>
            <w:r>
              <w:rPr>
                <w:noProof/>
                <w:sz w:val="16"/>
                <w:szCs w:val="16"/>
              </w:rPr>
              <w:t xml:space="preserve">Events in the tool</w:t>
            </w:r>
          </w:p>
        </w:tc>
        <w:tc>
          <w:tcPr>
            <w:tcW w:w="2307" w:type="dxa"/>
          </w:tcPr>
          <w:p>
            <w:pPr>
              <w:spacing w:line="276" w:lineRule="auto"/>
              <w:rPr>
                <w:szCs w:val="20"/>
              </w:rPr>
            </w:pPr>
            <w:r>
              <w:rPr>
                <w:noProof/>
                <w:sz w:val="16"/>
                <w:szCs w:val="16"/>
              </w:rPr>
              <w:t xml:space="preserve">Import a file or sync from CycurGUARD, check data quality</w:t>
            </w:r>
          </w:p>
        </w:tc>
        <w:tc>
          <w:tcPr>
            <w:tcW w:w="1350" w:type="dxa"/>
            <w:vAlign w:val="center"/>
          </w:tcPr>
          <w:p>
            <w:pPr>
              <w:spacing w:line="276" w:lineRule="auto"/>
              <w:rPr>
                <w:szCs w:val="20"/>
              </w:rPr>
            </w:pPr>
            <w:r>
              <w:rPr>
                <w:sz w:val="16"/>
                <w:szCs w:val="16"/>
              </w:rPr>
              <w:t xml:space="preserve">Export file</w:t>
              <w:br/>
              <w:t xml:space="preserve">Backend token</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Events</w:t>
            </w:r>
          </w:p>
        </w:tc>
        <w:tc>
          <w:tcPr>
            <w:tcW w:w="1300" w:type="dxa"/>
          </w:tcPr>
          <w:p>
            <w:pPr>
              <w:spacing w:line="276" w:lineRule="auto"/>
              <w:rPr>
                <w:noProof/>
                <w:szCs w:val="20"/>
              </w:rPr>
            </w:pPr>
            <w:r>
              <w:rPr>
                <w:noProof/>
                <w:sz w:val="16"/>
                <w:szCs w:val="16"/>
              </w:rPr>
              <w:t xml:space="preserve">Open alerts</w:t>
            </w:r>
          </w:p>
        </w:tc>
        <w:tc>
          <w:tcPr>
            <w:tcW w:w="2307" w:type="dxa"/>
          </w:tcPr>
          <w:p>
            <w:pPr>
              <w:spacing w:line="276" w:lineRule="auto"/>
              <w:rPr>
                <w:szCs w:val="20"/>
              </w:rPr>
            </w:pPr>
            <w:r>
              <w:rPr>
                <w:noProof/>
                <w:sz w:val="16"/>
                <w:szCs w:val="16"/>
              </w:rPr>
              <w:t xml:space="preserve">Run detections, review the alert queue</w:t>
            </w:r>
          </w:p>
        </w:tc>
        <w:tc>
          <w:tcPr>
            <w:tcW w:w="1350" w:type="dxa"/>
            <w:vAlign w:val="center"/>
          </w:tcPr>
          <w:p>
            <w:pPr>
              <w:spacing w:line="276" w:lineRule="auto"/>
              <w:rPr>
                <w:szCs w:val="20"/>
              </w:rPr>
            </w:pPr>
            <w:r>
              <w:rPr>
                <w:sz w:val="16"/>
                <w:szCs w:val="16"/>
              </w:rPr>
              <w:t xml:space="preserve">Detection settings</w:t>
              <w:br/>
              <w:t xml:space="preserve">Event catalog</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Case owner</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Open alert</w:t>
            </w:r>
          </w:p>
        </w:tc>
        <w:tc>
          <w:tcPr>
            <w:tcW w:w="1300" w:type="dxa"/>
          </w:tcPr>
          <w:p>
            <w:pPr>
              <w:spacing w:line="276" w:lineRule="auto"/>
              <w:rPr>
                <w:noProof/>
                <w:szCs w:val="20"/>
              </w:rPr>
            </w:pPr>
            <w:r>
              <w:rPr>
                <w:noProof/>
                <w:sz w:val="16"/>
                <w:szCs w:val="16"/>
              </w:rPr>
              <w:t xml:space="preserve">Alert resolved, false positive or case</w:t>
            </w:r>
          </w:p>
        </w:tc>
        <w:tc>
          <w:tcPr>
            <w:tcW w:w="2307" w:type="dxa"/>
          </w:tcPr>
          <w:p>
            <w:pPr>
              <w:spacing w:line="276" w:lineRule="auto"/>
              <w:rPr>
                <w:szCs w:val="20"/>
              </w:rPr>
            </w:pPr>
            <w:r>
              <w:rPr>
                <w:noProof/>
                <w:sz w:val="16"/>
                <w:szCs w:val="16"/>
              </w:rPr>
              <w:t xml:space="preserve">Triage the alert, add a note, create a case if needed</w:t>
            </w:r>
          </w:p>
        </w:tc>
        <w:tc>
          <w:tcPr>
            <w:tcW w:w="1350" w:type="dxa"/>
            <w:vAlign w:val="center"/>
          </w:tcPr>
          <w:p>
            <w:pPr>
              <w:spacing w:line="276" w:lineRule="auto"/>
              <w:rPr>
                <w:szCs w:val="20"/>
              </w:rPr>
            </w:pPr>
            <w:r>
              <w:rPr>
                <w:sz w:val="16"/>
                <w:szCs w:val="16"/>
              </w:rPr>
              <w:t xml:space="preserve">Alert notes</w:t>
            </w:r>
          </w:p>
        </w:tc>
      </w:tr>
      <w:tr>
        <w:trPr>
          <w:trHeight w:val="850"/>
        </w:trPr>
        <w:tc>
          <w:tcPr>
            <w:tcW w:w="1350" w:type="dxa"/>
            <w:vAlign w:val="center"/>
          </w:tcPr>
          <w:p>
            <w:pPr>
              <w:spacing w:line="276" w:lineRule="auto"/>
              <w:rPr>
                <w:szCs w:val="20"/>
              </w:rPr>
            </w:pPr>
            <w:r>
              <w:rPr>
                <w:sz w:val="16"/>
                <w:szCs w:val="16"/>
              </w:rPr>
              <w:t xml:space="preserve">Case owner</w:t>
            </w:r>
          </w:p>
        </w:tc>
        <w:tc>
          <w:tcPr>
            <w:tcW w:w="1350" w:type="dxa"/>
          </w:tcPr>
          <w:p>
            <w:pPr>
              <w:spacing w:line="276" w:lineRule="auto"/>
              <w:rPr>
                <w:noProof/>
                <w:szCs w:val="20"/>
              </w:rPr>
            </w:pPr>
            <w:r>
              <w:rPr>
                <w:noProof/>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Case</w:t>
            </w:r>
          </w:p>
        </w:tc>
        <w:tc>
          <w:tcPr>
            <w:tcW w:w="1300" w:type="dxa"/>
          </w:tcPr>
          <w:p>
            <w:pPr>
              <w:spacing w:line="276" w:lineRule="auto"/>
              <w:rPr>
                <w:noProof/>
                <w:szCs w:val="20"/>
              </w:rPr>
            </w:pPr>
            <w:r>
              <w:rPr>
                <w:noProof/>
                <w:sz w:val="16"/>
                <w:szCs w:val="16"/>
              </w:rPr>
              <w:t xml:space="preserve">Closed case with findings and resolution</w:t>
            </w:r>
          </w:p>
        </w:tc>
        <w:tc>
          <w:tcPr>
            <w:tcW w:w="2307" w:type="dxa"/>
          </w:tcPr>
          <w:p>
            <w:pPr>
              <w:spacing w:line="276" w:lineRule="auto"/>
              <w:rPr>
                <w:noProof/>
                <w:szCs w:val="20"/>
              </w:rPr>
            </w:pPr>
            <w:r>
              <w:rPr>
                <w:noProof/>
                <w:sz w:val="16"/>
                <w:szCs w:val="16"/>
              </w:rPr>
              <w:t xml:space="preserve">Work the checklist, record findings, close</w:t>
            </w:r>
          </w:p>
        </w:tc>
        <w:tc>
          <w:tcPr>
            <w:tcW w:w="1350" w:type="dxa"/>
            <w:vAlign w:val="center"/>
          </w:tcPr>
          <w:p>
            <w:pPr>
              <w:spacing w:line="276" w:lineRule="auto"/>
              <w:rPr>
                <w:szCs w:val="20"/>
              </w:rPr>
            </w:pPr>
            <w:r>
              <w:rPr>
                <w:sz w:val="16"/>
                <w:szCs w:val="16"/>
              </w:rPr>
              <w:t xml:space="preserve">Case record</w:t>
              <w:br/>
              <w:t xml:space="preserve">VIN decoder</w:t>
            </w:r>
          </w:p>
        </w:tc>
      </w:tr>
      <w:tr>
        <w:trPr>
          <w:trHeight w:val="850"/>
        </w:trPr>
        <w:tc>
          <w:tcPr>
            <w:tcW w:w="1350" w:type="dxa"/>
            <w:vAlign w:val="center"/>
          </w:tcPr>
          <w:p>
            <w:pPr>
              <w:spacing w:line="276" w:lineRule="auto"/>
              <w:rPr>
                <w:szCs w:val="20"/>
              </w:rPr>
            </w:pPr>
            <w:r>
              <w:rPr>
                <w:sz w:val="16"/>
                <w:szCs w:val="16"/>
              </w:rPr>
              <w:t xml:space="preserve">Administrator</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Analyst</w:t>
            </w:r>
          </w:p>
        </w:tc>
        <w:tc>
          <w:tcPr>
            <w:tcW w:w="1200" w:type="dxa"/>
          </w:tcPr>
          <w:p>
            <w:pPr>
              <w:spacing w:line="276" w:lineRule="auto"/>
              <w:rPr>
                <w:noProof/>
                <w:szCs w:val="20"/>
              </w:rPr>
            </w:pPr>
            <w:r>
              <w:rPr>
                <w:noProof/>
                <w:sz w:val="16"/>
                <w:szCs w:val="16"/>
              </w:rPr>
              <w:t xml:space="preserve">Audit log</w:t>
            </w:r>
          </w:p>
        </w:tc>
        <w:tc>
          <w:tcPr>
            <w:tcW w:w="1300" w:type="dxa"/>
          </w:tcPr>
          <w:p>
            <w:pPr>
              <w:spacing w:line="276" w:lineRule="auto"/>
              <w:rPr>
                <w:noProof/>
                <w:szCs w:val="20"/>
              </w:rPr>
            </w:pPr>
            <w:r>
              <w:rPr>
                <w:noProof/>
                <w:sz w:val="16"/>
                <w:szCs w:val="16"/>
              </w:rPr>
              <w:t xml:space="preserve">Verified log</w:t>
            </w:r>
          </w:p>
        </w:tc>
        <w:tc>
          <w:tcPr>
            <w:tcW w:w="2307" w:type="dxa"/>
          </w:tcPr>
          <w:p>
            <w:pPr>
              <w:spacing w:line="276" w:lineRule="auto"/>
              <w:rPr>
                <w:noProof/>
                <w:szCs w:val="20"/>
              </w:rPr>
            </w:pPr>
            <w:r>
              <w:rPr>
                <w:noProof/>
                <w:sz w:val="16"/>
                <w:szCs w:val="16"/>
              </w:rPr>
              <w:t xml:space="preserve">Verify integrity and export on request</w:t>
            </w:r>
          </w:p>
        </w:tc>
        <w:tc>
          <w:tcPr>
            <w:tcW w:w="1350"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8" w:name="_Toc000009028"/>
      <w:r>
        <w:rPr>
          <w:bCs/>
          <w:lang w:val="en-GB"/>
        </w:rPr>
        <w:t xml:space="preserve">PROCESS FLOW OVERVIEW</w:t>
      </w:r>
      <w:bookmarkEnd w:id="9028"/>
    </w:p>
    <w:p>
      <w:pPr>
        <w:pStyle w:val="berschrift3"/>
      </w:pPr>
      <w:bookmarkStart w:id="9029" w:name="_Toc000009029"/>
      <w:r>
        <w:t xml:space="preserve">Alert and case life cycle</w:t>
      </w:r>
      <w:bookmarkEnd w:id="9029"/>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30" w:name="_Toc000009030"/>
      <w:r>
        <w:t xml:space="preserve">DOCUMENTS &amp; RECORDS</w:t>
      </w:r>
      <w:bookmarkEnd w:id="9030"/>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1" w:name="_Toc000009031"/>
      <w:r>
        <w:t xml:space="preserve">REVISION HISTORY</w:t>
      </w:r>
      <w:bookmarkEnd w:id="9031"/>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Creation of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002</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suppression rules, case report export and phone layout</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003</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wizard mode</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004</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two-step sign-in (authenticator app, passkeys, recovery codes)</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sidR="0008305E">
      <w:rPr>
        <w:caps/>
        <w:noProof/>
        <w:color w:val="808080" w:themeColor="background1" w:themeShade="80"/>
        <w:sz w:val="18"/>
        <w:szCs w:val="18"/>
      </w:rPr>
      <w:fldChar w:fldCharType="begin"/>
    </w:r>
    <w:r w:rsidR="0008305E">
      <w:rPr>
        <w:caps/>
        <w:noProof/>
        <w:color w:val="808080" w:themeColor="background1" w:themeShade="80"/>
        <w:sz w:val="18"/>
        <w:szCs w:val="18"/>
      </w:rPr>
      <w:instrText xml:space="preserve"> FILENAME \* MERGEFORMAT </w:instrText>
    </w:r>
    <w:r w:rsidR="0008305E">
      <w:rPr>
        <w:caps/>
        <w:noProof/>
        <w:color w:val="808080" w:themeColor="background1" w:themeShade="80"/>
        <w:sz w:val="18"/>
        <w:szCs w:val="18"/>
      </w:rPr>
      <w:fldChar w:fldCharType="separate"/>
    </w:r>
    <w:r w:rsidR="0008305E">
      <w:rPr>
        <w:caps/>
        <w:noProof/>
        <w:color w:val="808080" w:themeColor="background1" w:themeShade="80"/>
        <w:sz w:val="18"/>
        <w:szCs w:val="18"/>
      </w:rPr>
      <w:t>Corp-M2-QM-0031_00</w:t>
    </w:r>
    <w:r w:rsidR="00DD0CC2">
      <w:rPr>
        <w:caps/>
        <w:noProof/>
        <w:color w:val="808080" w:themeColor="background1" w:themeShade="80"/>
        <w:sz w:val="18"/>
        <w:szCs w:val="18"/>
      </w:rPr>
      <w:t>3</w:t>
    </w:r>
    <w:r w:rsidR="0008305E">
      <w:rPr>
        <w:caps/>
        <w:noProof/>
        <w:color w:val="808080" w:themeColor="background1" w:themeShade="80"/>
        <w:sz w:val="18"/>
        <w:szCs w:val="18"/>
      </w:rPr>
      <w:t>.docx</w:t>
    </w:r>
    <w:r w:rsidR="0008305E">
      <w:rPr>
        <w:caps/>
        <w:noProof/>
        <w:color w:val="808080" w:themeColor="background1" w:themeShade="80"/>
        <w:sz w:val="18"/>
        <w:szCs w:val="18"/>
      </w:rPr>
      <w:fldChar w:fldCharType="end"/>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6663"/>
      <w:gridCol w:w="2267"/>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3221" w:type="pct"/>
          <w:noWrap/>
          <w:vAlign w:val="center"/>
        </w:tcPr>
        <w:p w14:paraId="11C87BB5" w14:textId="4A5BA170" w:rsidR="00514B61" w:rsidRPr="0043460F" w:rsidRDefault="00514B61" w:rsidP="00514B61">
          <w:pPr>
            <w:rPr>
              <w:b/>
              <w:bCs/>
            </w:rPr>
          </w:pPr>
          <w:r>
            <w:rPr>
              <w:b/>
              <w:bCs/>
            </w:rPr>
            <w:t>Fleet IDS – User Manual</w:t>
          </w:r>
          <w:r>
            <w:rPr>
              <w:b/>
              <w:bCs/>
            </w:rPr>
          </w:r>
          <w:proofErr w:type="spellStart"/>
          <w:r>
            <w:rPr>
              <w:b/>
              <w:bCs/>
            </w:rPr>
          </w:r>
          <w:r w:rsidR="00BE297A">
            <w:rPr>
              <w:b/>
              <w:bCs/>
            </w:rPr>
          </w:r>
          <w:r>
            <w:rPr>
              <w:b/>
              <w:bCs/>
            </w:rPr>
          </w:r>
          <w:proofErr w:type="spellEnd"/>
        </w:p>
      </w:tc>
      <w:tc>
        <w:tcPr>
          <w:tcW w:w="1096" w:type="pct"/>
          <w:vAlign w:val="center"/>
        </w:tcPr>
        <w:p w14:paraId="533E82D4" w14:textId="029D71FE" w:rsidR="00514B61" w:rsidRPr="0043460F" w:rsidRDefault="00514B61" w:rsidP="00514B61">
          <w:pPr>
            <w:rPr>
              <w:b/>
              <w:bCs/>
            </w:rPr>
          </w:pPr>
          <w:r w:rsidRPr="0043460F">
            <w:rPr>
              <w:b/>
              <w:bCs/>
            </w:rPr>
            <w:t>Doc. no.: TBD</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3221"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1096" w:type="pct"/>
          <w:vAlign w:val="center"/>
        </w:tcPr>
        <w:p w14:paraId="5EA918D1" w14:textId="4D8F7682" w:rsidR="00514B61" w:rsidRPr="00FC6487" w:rsidRDefault="00514B61" w:rsidP="00514B61">
          <w:r>
            <w:t>Revision: 004</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 IDS – User Manual</dc:title>
  <dc:subject/>
  <dc:creator>M. Wachs</dc:creator>
  <cp:keywords/>
  <dc:description/>
  <cp:lastModifiedBy>M.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