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15</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17</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19</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20</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21</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22</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22</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23</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23</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 SIEM</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SIEM: analysts, viewers and administrators of the vehicle cybersecurity team. The tool runs on the user’s own computer (</w:t>
      </w:r>
      <w:r>
        <w:rPr>
          <w:b/>
        </w:rPr>
        <w:t xml:space="preserve">http://localhost:8765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http://localhost:8765.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under another address, so the browser has no host name for the passkey.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http://localhost:8765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 set a status, </w:t>
      </w:r>
      <w:r>
        <w:rPr>
          <w:b/>
        </w:rPr>
        <w:t xml:space="preserve">Create case</w:t>
      </w:r>
      <w:r>
        <w:t xml:space="preserve"> (one new case for all of them) or </w:t>
      </w:r>
      <w:r>
        <w:rPr>
          <w:b/>
        </w:rPr>
        <w:t xml:space="preserve">Add to case</w:t>
      </w:r>
      <w:r>
        <w:t xml:space="preserve"> (all of them into an existing case). An alert can be in one case only.</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steps are: review the linked events and the vehicle history; check whether other vehicles show the same pattern; confirm with the system or component owner; document the technical experts you consulted; assess the impact on TARA threat scenarios and CSMS; decide on the response and whether reporting is needed; document the findings. Add or remove steps as needed. To change the order, drag a step by the dots at its left, or use the arrows that appear when you point at it.</w:t>
      </w:r>
    </w:p>
    <w:p>
      <w:pPr>
        <w:spacing w:before="0" w:after="60" w:line="276" w:lineRule="auto"/>
        <w:ind w:left="-37" w:right="-680" w:hanging="360"/>
      </w:pPr>
      <w:r>
        <w:t xml:space="preserve">4.</w:t>
        <w:tab/>
        <w:t xml:space="preserve">Set the status of each step: </w:t>
      </w:r>
      <w:r>
        <w:rPr>
          <w:b/>
        </w:rPr>
        <w:t xml:space="preserve">Not started</w:t>
      </w:r>
      <w:r>
        <w:t xml:space="preserve">, </w:t>
      </w:r>
      <w:r>
        <w:rPr>
          <w:b/>
        </w:rPr>
        <w:t xml:space="preserve">Ongoing</w:t>
      </w:r>
      <w:r>
        <w:t xml:space="preserve">, </w:t>
      </w:r>
      <w:r>
        <w:rPr>
          <w:b/>
        </w:rPr>
        <w:t xml:space="preserve">Waiting for reply</w:t>
      </w:r>
      <w:r>
        <w:t xml:space="preserve"> (you asked someone and wait for the answer) or </w:t>
      </w:r>
      <w:r>
        <w:rPr>
          <w:b/>
        </w:rPr>
        <w:t xml:space="preserve">Completed</w:t>
      </w:r>
      <w:r>
        <w:t xml:space="preserve">. Only completed steps count as done in the progress bar, which also names the ongoing and waiting ones. Every change is written to the activity log.</w:t>
      </w:r>
    </w:p>
    <w:p>
      <w:pPr>
        <w:spacing w:before="0" w:after="60" w:line="276" w:lineRule="auto"/>
        <w:ind w:left="-37" w:right="-680" w:hanging="360"/>
      </w:pPr>
      <w:r>
        <w:t xml:space="preserve">5.</w:t>
        <w:tab/>
        <w:t xml:space="preserve">Write the result of each step into the box under it, for example what you found or decided. It is saved when you leave the box and appears in the activity log and in the case report.</w:t>
      </w:r>
    </w:p>
    <w:p>
      <w:pPr>
        <w:spacing w:before="0" w:after="60" w:line="276" w:lineRule="auto"/>
        <w:ind w:left="-37" w:right="-680" w:hanging="360"/>
      </w:pPr>
      <w:r>
        <w:t xml:space="preserve">6.</w:t>
        <w:tab/>
        <w:t xml:space="preserve">Document the technical experts you ask in the panel </w:t>
      </w:r>
      <w:r>
        <w:rPr>
          <w:b/>
        </w:rPr>
        <w:t xml:space="preserve">Technical experts</w:t>
      </w:r>
      <w:r>
        <w:t xml:space="preserve">: choose </w:t>
      </w:r>
      <w:r>
        <w:rPr>
          <w:b/>
        </w:rPr>
        <w:t xml:space="preserve">Add expert</w:t>
      </w:r>
      <w:r>
        <w:t xml:space="preserve"> and enter name, organisation or team, system or component, contact, the date and what the expert said. Experts are remembered in a list that outlives the cases: as soon as you start typing a name, matching experts are proposed (name, organisation or system); choose one with the mouse or the arrow keys and Enter and the empty fields are filled in. The × in a proposal removes the name from the list. Entries can be edited and removed.</w:t>
      </w:r>
    </w:p>
    <w:p>
      <w:pPr>
        <w:spacing w:before="0" w:after="60" w:line="276" w:lineRule="auto"/>
        <w:ind w:left="-37" w:right="-680" w:hanging="360"/>
      </w:pPr>
      <w:r>
        <w:t xml:space="preserve">7.</w:t>
        <w:tab/>
        <w:t xml:space="preserve">To tie experts to a step, choose them in the field under the step (</w:t>
      </w:r>
      <w:r>
        <w:rPr>
          <w:b/>
        </w:rPr>
        <w:t xml:space="preserve">Asked</w:t>
      </w:r>
      <w:r>
        <w:t xml:space="preserve">), one after the other if you ask several people, or choose </w:t>
      </w:r>
      <w:r>
        <w:rPr>
          <w:b/>
        </w:rPr>
        <w:t xml:space="preserve">New expert...</w:t>
      </w:r>
      <w:r>
        <w:t xml:space="preserve"> to add one on the spot. Each expert shows as a chip; the × removes the expert from that step again. The experts are listed in the case report, next to the steps they belong to.</w:t>
      </w:r>
    </w:p>
    <w:p>
      <w:pPr>
        <w:spacing w:before="0" w:after="60" w:line="276" w:lineRule="auto"/>
        <w:ind w:left="-37" w:right="-680" w:hanging="360"/>
      </w:pPr>
      <w:r>
        <w:t xml:space="preserve">8.</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9.</w:t>
        <w:tab/>
        <w:t xml:space="preserve">Under </w:t>
      </w:r>
      <w:r>
        <w:rPr>
          <w:b/>
        </w:rPr>
        <w:t xml:space="preserve">Related cases</w:t>
      </w:r>
      <w:r>
        <w:t xml:space="preserve"> (right column) link cases that deal with a similar topic, for example the same root cause or a duplicate: choose </w:t>
      </w:r>
      <w:r>
        <w:rPr>
          <w:b/>
        </w:rPr>
        <w:t xml:space="preserve">Link case</w:t>
      </w:r>
      <w:r>
        <w:t xml:space="preserve">, pick the case and write why. </w:t>
      </w:r>
      <w:r>
        <w:rPr>
          <w:b/>
        </w:rPr>
        <w:t xml:space="preserve">Maybe related</w:t>
      </w:r>
      <w:r>
        <w:t xml:space="preserve"> suggests cases with the same event type, ECU, detection, vehicle or a similar title; choose </w:t>
      </w:r>
      <w:r>
        <w:rPr>
          <w:b/>
        </w:rPr>
        <w:t xml:space="preserve">Link</w:t>
      </w:r>
      <w:r>
        <w:t xml:space="preserve"> to accept one. The link shows in both cases, in the activity log and in the report. Closing one case does not change the other.</w:t>
      </w:r>
    </w:p>
    <w:p>
      <w:pPr>
        <w:spacing w:before="0" w:after="60" w:line="276" w:lineRule="auto"/>
        <w:ind w:left="-37" w:right="-680" w:hanging="360"/>
      </w:pPr>
      <w:r>
        <w:t xml:space="preserve">10.</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11.</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12.</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4937760" cy="3291840"/>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4937760" cy="3291840"/>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keepNext/>
        <w:spacing w:before="80" w:after="40"/>
        <w:spacing w:line="276" w:lineRule="auto"/>
        <w:ind w:left="-397" w:right="-680"/>
      </w:pPr>
      <w:r>
        <w:drawing>
          <wp:inline xmlns:a="http://schemas.openxmlformats.org/drawingml/2006/main" xmlns:pic="http://schemas.openxmlformats.org/drawingml/2006/picture">
            <wp:extent cx="4937760" cy="3291840"/>
            <wp:docPr id="1" name="Picture 1"/>
            <wp:cNvGraphicFramePr>
              <a:graphicFrameLocks noChangeAspect="1"/>
            </wp:cNvGraphicFramePr>
            <a:graphic>
              <a:graphicData uri="http://schemas.openxmlformats.org/drawingml/2006/picture">
                <pic:pic>
                  <pic:nvPicPr>
                    <pic:cNvPr id="0" name="16_checklist.png"/>
                    <pic:cNvPicPr/>
                  </pic:nvPicPr>
                  <pic:blipFill>
                    <a:blip r:embed="rId23"/>
                    <a:stretch>
                      <a:fillRect/>
                    </a:stretch>
                  </pic:blipFill>
                  <pic:spPr>
                    <a:xfrm>
                      <a:off x="0" y="0"/>
                      <a:ext cx="4937760" cy="3291840"/>
                    </a:xfrm>
                    <a:prstGeom prst="rect"/>
                  </pic:spPr>
                </pic:pic>
              </a:graphicData>
            </a:graphic>
          </wp:inline>
        </w:drawing>
      </w:r>
    </w:p>
    <w:p>
      <w:pPr>
        <w:spacing w:before="0" w:after="140" w:line="276" w:lineRule="auto"/>
        <w:ind w:left="-397" w:right="-680"/>
      </w:pPr>
      <w:r>
        <w:rPr>
          <w:i/>
          <w:sz w:val="18"/>
          <w:szCs w:val="18"/>
        </w:rPr>
        <w:t xml:space="preserve">Figure 9: Checklist with status and experts per step</w:t>
      </w:r>
    </w:p>
    <w:p>
      <w:pPr>
        <w:keepNext/>
        <w:spacing w:before="80" w:after="40"/>
        <w:spacing w:line="276" w:lineRule="auto"/>
        <w:ind w:left="-397" w:right="-680"/>
      </w:pPr>
      <w:r>
        <w:drawing>
          <wp:inline xmlns:a="http://schemas.openxmlformats.org/drawingml/2006/main" xmlns:pic="http://schemas.openxmlformats.org/drawingml/2006/picture">
            <wp:extent cx="4389120" cy="2926080"/>
            <wp:docPr id="1" name="Picture 1"/>
            <wp:cNvGraphicFramePr>
              <a:graphicFrameLocks noChangeAspect="1"/>
            </wp:cNvGraphicFramePr>
            <a:graphic>
              <a:graphicData uri="http://schemas.openxmlformats.org/drawingml/2006/picture">
                <pic:pic>
                  <pic:nvPicPr>
                    <pic:cNvPr id="0" name="17_expert.png"/>
                    <pic:cNvPicPr/>
                  </pic:nvPicPr>
                  <pic:blipFill>
                    <a:blip r:embed="rId24"/>
                    <a:stretch>
                      <a:fillRect/>
                    </a:stretch>
                  </pic:blipFill>
                  <pic:spPr>
                    <a:xfrm>
                      <a:off x="0" y="0"/>
                      <a:ext cx="4389120" cy="2926080"/>
                    </a:xfrm>
                    <a:prstGeom prst="rect"/>
                  </pic:spPr>
                </pic:pic>
              </a:graphicData>
            </a:graphic>
          </wp:inline>
        </w:drawing>
      </w:r>
    </w:p>
    <w:p>
      <w:pPr>
        <w:spacing w:before="0" w:after="140" w:line="276" w:lineRule="auto"/>
        <w:ind w:left="-397" w:right="-680"/>
      </w:pPr>
      <w:r>
        <w:rPr>
          <w:i/>
          <w:sz w:val="18"/>
          <w:szCs w:val="18"/>
        </w:rPr>
        <w:t xml:space="preserve">Figure 10: Documenting a technical expert</w:t>
      </w:r>
    </w:p>
    <w:p>
      <w:pPr>
        <w:spacing w:before="60" w:after="60" w:line="276" w:lineRule="auto"/>
        <w:ind w:left="-397" w:right="-680"/>
      </w:pPr>
      <w:r>
        <w:t xml:space="preserve">The report contains the case facts, summary, findings and decision, the vehicles with their decoded VIN, the linked alerts, the related cases, the checklist with status and expert per step, the technical experts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023360" cy="5486400"/>
            <wp:docPr id="1" name="Picture 1"/>
            <wp:cNvGraphicFramePr>
              <a:graphicFrameLocks noChangeAspect="1"/>
            </wp:cNvGraphicFramePr>
            <a:graphic>
              <a:graphicData uri="http://schemas.openxmlformats.org/drawingml/2006/picture">
                <pic:pic>
                  <pic:nvPicPr>
                    <pic:cNvPr id="0" name="15_report.png"/>
                    <pic:cNvPicPr/>
                  </pic:nvPicPr>
                  <pic:blipFill>
                    <a:blip r:embed="rId25"/>
                    <a:stretch>
                      <a:fillRect/>
                    </a:stretch>
                  </pic:blipFill>
                  <pic:spPr>
                    <a:xfrm>
                      <a:off x="0" y="0"/>
                      <a:ext cx="4023360" cy="5486400"/>
                    </a:xfrm>
                    <a:prstGeom prst="rect"/>
                  </pic:spPr>
                </pic:pic>
              </a:graphicData>
            </a:graphic>
          </wp:inline>
        </w:drawing>
      </w:r>
    </w:p>
    <w:p>
      <w:pPr>
        <w:spacing w:before="0" w:after="140" w:line="276" w:lineRule="auto"/>
        <w:ind w:left="-397" w:right="-680"/>
      </w:pPr>
      <w:r>
        <w:rPr>
          <w:i/>
          <w:sz w:val="18"/>
          <w:szCs w:val="18"/>
        </w:rPr>
        <w:t xml:space="preserve">Figure 11: Case report with checklist status and experts</w:t>
      </w:r>
    </w:p>
    <w:p>
      <w:pPr>
        <w:spacing w:before="60" w:after="100" w:line="276" w:lineRule="auto"/>
        <w:ind w:left="-397" w:right="-680"/>
      </w:pPr>
      <w:r>
        <w:rPr>
          <w:b/>
        </w:rPr>
        <w:t xml:space="preserve">Default checklist (administrator):</w:t>
      </w:r>
      <w:r>
        <w:t xml:space="preserve"> under </w:t>
      </w:r>
      <w:r>
        <w:rPr>
          <w:b/>
        </w:rPr>
        <w:t xml:space="preserve">Data → Settings</w:t>
      </w:r>
      <w:r>
        <w:t xml:space="preserve"> the list of steps every new case starts with can be edited, one step per line. Cases that already exist keep their steps; </w:t>
      </w:r>
      <w:r>
        <w:rPr>
          <w:b/>
        </w:rPr>
        <w:t xml:space="preserve">Add missing steps to open cases</w:t>
      </w:r>
      <w:r>
        <w:t xml:space="preserve"> adds the steps of the list that an open case does not have yet, each after the step that precedes it in the list. Existing steps and results are kept and closed cases are skipped.</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6"/>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12: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7"/>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13: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8"/>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14: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9"/>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15: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30"/>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16: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an IP address (127.0.0.1 is redirected to localhost).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31"/>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17: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2"/>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18: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250"/>
        <w:gridCol w:w="1250"/>
        <w:gridCol w:w="1250"/>
        <w:gridCol w:w="950"/>
        <w:gridCol w:w="1050"/>
        <w:gridCol w:w="3050"/>
        <w:gridCol w:w="1407"/>
      </w:tblGrid>
      <w:tr>
        <w:trPr>
          <w:trHeight w:val="850"/>
        </w:trPr>
        <w:tc>
          <w:tcPr>
            <w:tcW w:w="1250" w:type="dxa"/>
            <w:shd w:val="clear" w:color="auto" w:fill="E8E8E8" w:themeFill="background2"/>
            <w:vAlign w:val="center"/>
          </w:tcPr>
          <w:p>
            <w:pPr>
              <w:spacing w:line="276" w:lineRule="auto"/>
            </w:pPr>
            <w:r>
              <w:t>R</w:t>
            </w:r>
          </w:p>
        </w:tc>
        <w:tc>
          <w:tcPr>
            <w:tcW w:w="1250" w:type="dxa"/>
            <w:shd w:val="clear" w:color="auto" w:fill="E8E8E8" w:themeFill="background2"/>
            <w:vAlign w:val="center"/>
          </w:tcPr>
          <w:p>
            <w:pPr>
              <w:spacing w:line="276" w:lineRule="auto"/>
            </w:pPr>
            <w:r>
              <w:t>S</w:t>
            </w:r>
          </w:p>
        </w:tc>
        <w:tc>
          <w:tcPr>
            <w:tcW w:w="1250" w:type="dxa"/>
            <w:shd w:val="clear" w:color="auto" w:fill="E8E8E8" w:themeFill="background2"/>
            <w:vAlign w:val="center"/>
          </w:tcPr>
          <w:p>
            <w:pPr>
              <w:spacing w:line="276" w:lineRule="auto"/>
            </w:pPr>
            <w:r>
              <w:t>I</w:t>
            </w:r>
          </w:p>
        </w:tc>
        <w:tc>
          <w:tcPr>
            <w:tcW w:w="950" w:type="dxa"/>
            <w:shd w:val="clear" w:color="auto" w:fill="E8E8E8" w:themeFill="background2"/>
            <w:vAlign w:val="center"/>
          </w:tcPr>
          <w:p>
            <w:pPr>
              <w:spacing w:line="276" w:lineRule="auto"/>
            </w:pPr>
            <w:r>
              <w:t>Input</w:t>
            </w:r>
          </w:p>
        </w:tc>
        <w:tc>
          <w:tcPr>
            <w:tcW w:w="1050" w:type="dxa"/>
            <w:shd w:val="clear" w:color="auto" w:fill="E8E8E8" w:themeFill="background2"/>
            <w:vAlign w:val="center"/>
          </w:tcPr>
          <w:p>
            <w:pPr>
              <w:spacing w:line="276" w:lineRule="auto"/>
            </w:pPr>
            <w:r>
              <w:t>Output</w:t>
            </w:r>
          </w:p>
        </w:tc>
        <w:tc>
          <w:tcPr>
            <w:tcW w:w="3050" w:type="dxa"/>
            <w:shd w:val="clear" w:color="auto" w:fill="E8E8E8" w:themeFill="background2"/>
            <w:vAlign w:val="center"/>
          </w:tcPr>
          <w:p>
            <w:pPr>
              <w:spacing w:line="276" w:lineRule="auto"/>
            </w:pPr>
            <w:r>
              <w:t>Activity</w:t>
            </w:r>
          </w:p>
        </w:tc>
        <w:tc>
          <w:tcPr>
            <w:tcW w:w="1407" w:type="dxa"/>
            <w:shd w:val="clear" w:color="auto" w:fill="E8E8E8" w:themeFill="background2"/>
            <w:vAlign w:val="center"/>
          </w:tcPr>
          <w:p>
            <w:pPr>
              <w:spacing w:line="276" w:lineRule="auto"/>
            </w:pPr>
            <w:r>
              <w:t>Documents</w:t>
            </w:r>
          </w:p>
        </w:tc>
      </w:tr>
      <w:tr>
        <w:trPr>
          <w:trHeight w:val="195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r>
              <w:rPr>
                <w:noProof/>
                <w:sz w:val="16"/>
                <w:szCs w:val="16"/>
              </w:rPr>
              <w:t xml:space="preserve">Administrator</w:t>
            </w:r>
          </w:p>
        </w:tc>
        <w:tc>
          <w:tcPr>
            <w:tcW w:w="1250" w:type="dxa"/>
          </w:tcPr>
          <w:p>
            <w:pPr>
              <w:spacing w:line="276" w:lineRule="auto"/>
              <w:rPr>
                <w:noProof/>
                <w:szCs w:val="20"/>
              </w:rPr>
            </w:pPr>
          </w:p>
        </w:tc>
        <w:tc>
          <w:tcPr>
            <w:tcW w:w="950" w:type="dxa"/>
          </w:tcPr>
          <w:p>
            <w:pPr>
              <w:spacing w:line="276" w:lineRule="auto"/>
              <w:rPr>
                <w:noProof/>
                <w:szCs w:val="20"/>
              </w:rPr>
            </w:pPr>
            <w:r>
              <w:rPr>
                <w:noProof/>
                <w:sz w:val="16"/>
                <w:szCs w:val="16"/>
              </w:rPr>
              <w:t xml:space="preserve">Event export or backend</w:t>
            </w:r>
          </w:p>
        </w:tc>
        <w:tc>
          <w:tcPr>
            <w:tcW w:w="1050" w:type="dxa"/>
          </w:tcPr>
          <w:p>
            <w:pPr>
              <w:spacing w:line="276" w:lineRule="auto"/>
              <w:rPr>
                <w:noProof/>
                <w:szCs w:val="20"/>
              </w:rPr>
            </w:pPr>
            <w:r>
              <w:rPr>
                <w:noProof/>
                <w:sz w:val="16"/>
                <w:szCs w:val="16"/>
              </w:rPr>
              <w:t xml:space="preserve">Events in the tool</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1053591"/>
                  <wp:docPr id="1" name="Picture 1"/>
                  <wp:cNvGraphicFramePr>
                    <a:graphicFrameLocks noChangeAspect="1"/>
                  </wp:cNvGraphicFramePr>
                  <a:graphic>
                    <a:graphicData uri="http://schemas.openxmlformats.org/drawingml/2006/picture">
                      <pic:pic>
                        <pic:nvPicPr>
                          <pic:cNvPr id="0" name="s1.png"/>
                          <pic:cNvPicPr/>
                        </pic:nvPicPr>
                        <pic:blipFill>
                          <a:blip r:embed="rId33"/>
                          <a:stretch>
                            <a:fillRect/>
                          </a:stretch>
                        </pic:blipFill>
                        <pic:spPr>
                          <a:xfrm>
                            <a:off x="0" y="0"/>
                            <a:ext cx="1936749" cy="1053591"/>
                          </a:xfrm>
                          <a:prstGeom prst="rect"/>
                        </pic:spPr>
                      </pic:pic>
                    </a:graphicData>
                  </a:graphic>
                </wp:inline>
              </w:drawing>
            </w:r>
          </w:p>
        </w:tc>
        <w:tc>
          <w:tcPr>
            <w:tcW w:w="1407" w:type="dxa"/>
            <w:vAlign w:val="center"/>
          </w:tcPr>
          <w:p>
            <w:pPr>
              <w:spacing w:line="276" w:lineRule="auto"/>
              <w:rPr>
                <w:szCs w:val="20"/>
              </w:rPr>
            </w:pPr>
            <w:r>
              <w:rPr>
                <w:sz w:val="16"/>
                <w:szCs w:val="16"/>
              </w:rPr>
              <w:t xml:space="preserve">Export file</w:t>
              <w:br/>
              <w:t xml:space="preserve">Backend token</w:t>
            </w:r>
          </w:p>
        </w:tc>
      </w:tr>
      <w:tr>
        <w:trPr>
          <w:trHeight w:val="123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Events</w:t>
            </w:r>
          </w:p>
        </w:tc>
        <w:tc>
          <w:tcPr>
            <w:tcW w:w="1050" w:type="dxa"/>
          </w:tcPr>
          <w:p>
            <w:pPr>
              <w:spacing w:line="276" w:lineRule="auto"/>
              <w:rPr>
                <w:noProof/>
                <w:szCs w:val="20"/>
              </w:rPr>
            </w:pPr>
            <w:r>
              <w:rPr>
                <w:noProof/>
                <w:sz w:val="16"/>
                <w:szCs w:val="16"/>
              </w:rPr>
              <w:t xml:space="preserve">Open alerts</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664305"/>
                  <wp:docPr id="1" name="Picture 1"/>
                  <wp:cNvGraphicFramePr>
                    <a:graphicFrameLocks noChangeAspect="1"/>
                  </wp:cNvGraphicFramePr>
                  <a:graphic>
                    <a:graphicData uri="http://schemas.openxmlformats.org/drawingml/2006/picture">
                      <pic:pic>
                        <pic:nvPicPr>
                          <pic:cNvPr id="0" name="s2.png"/>
                          <pic:cNvPicPr/>
                        </pic:nvPicPr>
                        <pic:blipFill>
                          <a:blip r:embed="rId34"/>
                          <a:stretch>
                            <a:fillRect/>
                          </a:stretch>
                        </pic:blipFill>
                        <pic:spPr>
                          <a:xfrm>
                            <a:off x="0" y="0"/>
                            <a:ext cx="1936749" cy="664305"/>
                          </a:xfrm>
                          <a:prstGeom prst="rect"/>
                        </pic:spPr>
                      </pic:pic>
                    </a:graphicData>
                  </a:graphic>
                </wp:inline>
              </w:drawing>
            </w:r>
          </w:p>
        </w:tc>
        <w:tc>
          <w:tcPr>
            <w:tcW w:w="1407" w:type="dxa"/>
            <w:vAlign w:val="center"/>
          </w:tcPr>
          <w:p>
            <w:pPr>
              <w:spacing w:line="276" w:lineRule="auto"/>
              <w:rPr>
                <w:szCs w:val="20"/>
              </w:rPr>
            </w:pPr>
            <w:r>
              <w:rPr>
                <w:sz w:val="16"/>
                <w:szCs w:val="16"/>
              </w:rPr>
              <w:t xml:space="preserve">Detection settings</w:t>
              <w:br/>
              <w:t xml:space="preserve">Event catalog</w:t>
            </w:r>
          </w:p>
        </w:tc>
      </w:tr>
      <w:tr>
        <w:trPr>
          <w:trHeight w:val="123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r>
              <w:rPr>
                <w:noProof/>
                <w:sz w:val="16"/>
                <w:szCs w:val="16"/>
              </w:rPr>
              <w:t xml:space="preserve">Case owner</w:t>
            </w: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Open alert</w:t>
            </w:r>
          </w:p>
        </w:tc>
        <w:tc>
          <w:tcPr>
            <w:tcW w:w="1050" w:type="dxa"/>
          </w:tcPr>
          <w:p>
            <w:pPr>
              <w:spacing w:line="276" w:lineRule="auto"/>
              <w:rPr>
                <w:noProof/>
                <w:szCs w:val="20"/>
              </w:rPr>
            </w:pPr>
            <w:r>
              <w:rPr>
                <w:noProof/>
                <w:sz w:val="16"/>
                <w:szCs w:val="16"/>
              </w:rPr>
              <w:t xml:space="preserve">Alert resolved, false positive or case</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668178"/>
                  <wp:docPr id="1" name="Picture 1"/>
                  <wp:cNvGraphicFramePr>
                    <a:graphicFrameLocks noChangeAspect="1"/>
                  </wp:cNvGraphicFramePr>
                  <a:graphic>
                    <a:graphicData uri="http://schemas.openxmlformats.org/drawingml/2006/picture">
                      <pic:pic>
                        <pic:nvPicPr>
                          <pic:cNvPr id="0" name="s3.png"/>
                          <pic:cNvPicPr/>
                        </pic:nvPicPr>
                        <pic:blipFill>
                          <a:blip r:embed="rId35"/>
                          <a:stretch>
                            <a:fillRect/>
                          </a:stretch>
                        </pic:blipFill>
                        <pic:spPr>
                          <a:xfrm>
                            <a:off x="0" y="0"/>
                            <a:ext cx="1936749" cy="668178"/>
                          </a:xfrm>
                          <a:prstGeom prst="rect"/>
                        </pic:spPr>
                      </pic:pic>
                    </a:graphicData>
                  </a:graphic>
                </wp:inline>
              </w:drawing>
            </w:r>
          </w:p>
        </w:tc>
        <w:tc>
          <w:tcPr>
            <w:tcW w:w="1407" w:type="dxa"/>
            <w:vAlign w:val="center"/>
          </w:tcPr>
          <w:p>
            <w:pPr>
              <w:spacing w:line="276" w:lineRule="auto"/>
              <w:rPr>
                <w:szCs w:val="20"/>
              </w:rPr>
            </w:pPr>
            <w:r>
              <w:rPr>
                <w:sz w:val="16"/>
                <w:szCs w:val="16"/>
              </w:rPr>
              <w:t xml:space="preserve">Alert notes</w:t>
            </w:r>
          </w:p>
        </w:tc>
      </w:tr>
      <w:tr>
        <w:trPr>
          <w:trHeight w:val="1238" w:hRule="atLeast"/>
        </w:trPr>
        <w:tc>
          <w:tcPr>
            <w:tcW w:w="1250" w:type="dxa"/>
            <w:vAlign w:val="center"/>
          </w:tcPr>
          <w:p>
            <w:pPr>
              <w:spacing w:line="276" w:lineRule="auto"/>
              <w:rPr>
                <w:szCs w:val="20"/>
              </w:rPr>
            </w:pPr>
            <w:r>
              <w:rPr>
                <w:sz w:val="16"/>
                <w:szCs w:val="16"/>
              </w:rPr>
              <w:t xml:space="preserve">Case owner</w:t>
            </w:r>
          </w:p>
        </w:tc>
        <w:tc>
          <w:tcPr>
            <w:tcW w:w="1250" w:type="dxa"/>
          </w:tcPr>
          <w:p>
            <w:pPr>
              <w:spacing w:line="276" w:lineRule="auto"/>
              <w:rPr>
                <w:noProof/>
                <w:szCs w:val="20"/>
              </w:rPr>
            </w:pPr>
            <w:r>
              <w:rPr>
                <w:noProof/>
                <w:sz w:val="16"/>
                <w:szCs w:val="16"/>
              </w:rPr>
              <w:t xml:space="preserve">Analyst</w:t>
            </w: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Case</w:t>
            </w:r>
          </w:p>
        </w:tc>
        <w:tc>
          <w:tcPr>
            <w:tcW w:w="1050" w:type="dxa"/>
          </w:tcPr>
          <w:p>
            <w:pPr>
              <w:spacing w:line="276" w:lineRule="auto"/>
              <w:rPr>
                <w:noProof/>
                <w:szCs w:val="20"/>
              </w:rPr>
            </w:pPr>
            <w:r>
              <w:rPr>
                <w:noProof/>
                <w:sz w:val="16"/>
                <w:szCs w:val="16"/>
              </w:rPr>
              <w:t xml:space="preserve">Closed case with findings and resolution</w:t>
            </w:r>
          </w:p>
        </w:tc>
        <w:tc>
          <w:tcPr>
            <w:tcW w:w="3050" w:type="dxa"/>
            <w:tcMar>
              <w:top w:w="0" w:type="dxa"/>
              <w:left w:w="0" w:type="dxa"/>
              <w:bottom w:w="0" w:type="dxa"/>
              <w:right w:w="0" w:type="dxa"/>
            </w:tcMar>
          </w:tcPr>
          <w:p>
            <w:pPr>
              <w:rPr>
                <w:noProof/>
                <w:szCs w:val="20"/>
              </w:rPr>
              <w:spacing w:before="0" w:after="0" w:line="240" w:lineRule="auto"/>
            </w:pPr>
            <w:r>
              <w:drawing>
                <wp:inline xmlns:a="http://schemas.openxmlformats.org/drawingml/2006/main" xmlns:pic="http://schemas.openxmlformats.org/drawingml/2006/picture">
                  <wp:extent cx="1936749" cy="666242"/>
                  <wp:docPr id="1" name="Picture 1"/>
                  <wp:cNvGraphicFramePr>
                    <a:graphicFrameLocks noChangeAspect="1"/>
                  </wp:cNvGraphicFramePr>
                  <a:graphic>
                    <a:graphicData uri="http://schemas.openxmlformats.org/drawingml/2006/picture">
                      <pic:pic>
                        <pic:nvPicPr>
                          <pic:cNvPr id="0" name="s4.png"/>
                          <pic:cNvPicPr/>
                        </pic:nvPicPr>
                        <pic:blipFill>
                          <a:blip r:embed="rId36"/>
                          <a:stretch>
                            <a:fillRect/>
                          </a:stretch>
                        </pic:blipFill>
                        <pic:spPr>
                          <a:xfrm>
                            <a:off x="0" y="0"/>
                            <a:ext cx="1936749" cy="666242"/>
                          </a:xfrm>
                          <a:prstGeom prst="rect"/>
                        </pic:spPr>
                      </pic:pic>
                    </a:graphicData>
                  </a:graphic>
                </wp:inline>
              </w:drawing>
            </w:r>
          </w:p>
        </w:tc>
        <w:tc>
          <w:tcPr>
            <w:tcW w:w="1407" w:type="dxa"/>
            <w:vAlign w:val="center"/>
          </w:tcPr>
          <w:p>
            <w:pPr>
              <w:spacing w:line="276" w:lineRule="auto"/>
              <w:rPr>
                <w:szCs w:val="20"/>
              </w:rPr>
            </w:pPr>
            <w:r>
              <w:rPr>
                <w:sz w:val="16"/>
                <w:szCs w:val="16"/>
              </w:rPr>
              <w:t xml:space="preserve">Case record</w:t>
              <w:br/>
              <w:t xml:space="preserve">VIN decoder</w:t>
            </w:r>
          </w:p>
        </w:tc>
      </w:tr>
      <w:tr>
        <w:trPr>
          <w:trHeight w:val="1238" w:hRule="atLeast"/>
        </w:trPr>
        <w:tc>
          <w:tcPr>
            <w:tcW w:w="1250" w:type="dxa"/>
            <w:vAlign w:val="center"/>
          </w:tcPr>
          <w:p>
            <w:pPr>
              <w:spacing w:line="276" w:lineRule="auto"/>
              <w:rPr>
                <w:szCs w:val="20"/>
              </w:rPr>
            </w:pPr>
            <w:r>
              <w:rPr>
                <w:sz w:val="16"/>
                <w:szCs w:val="16"/>
              </w:rPr>
              <w:t xml:space="preserve">Administrator</w:t>
            </w:r>
          </w:p>
        </w:tc>
        <w:tc>
          <w:tcPr>
            <w:tcW w:w="1250" w:type="dxa"/>
          </w:tcPr>
          <w:p>
            <w:pPr>
              <w:spacing w:line="276" w:lineRule="auto"/>
              <w:rPr>
                <w:noProof/>
                <w:szCs w:val="20"/>
              </w:rPr>
            </w:pPr>
          </w:p>
        </w:tc>
        <w:tc>
          <w:tcPr>
            <w:tcW w:w="1250" w:type="dxa"/>
          </w:tcPr>
          <w:p>
            <w:pPr>
              <w:spacing w:line="276" w:lineRule="auto"/>
              <w:rPr>
                <w:noProof/>
                <w:szCs w:val="20"/>
              </w:rPr>
            </w:pPr>
            <w:r>
              <w:rPr>
                <w:noProof/>
                <w:sz w:val="16"/>
                <w:szCs w:val="16"/>
              </w:rPr>
              <w:t xml:space="preserve">Analyst</w:t>
            </w:r>
          </w:p>
        </w:tc>
        <w:tc>
          <w:tcPr>
            <w:tcW w:w="950" w:type="dxa"/>
          </w:tcPr>
          <w:p>
            <w:pPr>
              <w:spacing w:line="276" w:lineRule="auto"/>
              <w:rPr>
                <w:noProof/>
                <w:szCs w:val="20"/>
              </w:rPr>
            </w:pPr>
            <w:r>
              <w:rPr>
                <w:noProof/>
                <w:sz w:val="16"/>
                <w:szCs w:val="16"/>
              </w:rPr>
              <w:t xml:space="preserve">Audit log</w:t>
            </w:r>
          </w:p>
        </w:tc>
        <w:tc>
          <w:tcPr>
            <w:tcW w:w="1050" w:type="dxa"/>
          </w:tcPr>
          <w:p>
            <w:pPr>
              <w:spacing w:line="276" w:lineRule="auto"/>
              <w:rPr>
                <w:noProof/>
                <w:szCs w:val="20"/>
              </w:rPr>
            </w:pPr>
            <w:r>
              <w:rPr>
                <w:noProof/>
                <w:sz w:val="16"/>
                <w:szCs w:val="16"/>
              </w:rPr>
              <w:t xml:space="preserve">Verified log</w:t>
            </w:r>
          </w:p>
        </w:tc>
        <w:tc>
          <w:tcPr>
            <w:tcW w:w="3050" w:type="dxa"/>
            <w:tcMar>
              <w:top w:w="0" w:type="dxa"/>
              <w:left w:w="0" w:type="dxa"/>
              <w:bottom w:w="0" w:type="dxa"/>
              <w:right w:w="0" w:type="dxa"/>
            </w:tcMar>
          </w:tcPr>
          <w:p>
            <w:pPr>
              <w:rPr>
                <w:noProof/>
                <w:szCs w:val="20"/>
              </w:rPr>
              <w:spacing w:before="0" w:after="0" w:line="240" w:lineRule="auto"/>
            </w:pPr>
            <w:r>
              <w:drawing>
                <wp:inline xmlns:a="http://schemas.openxmlformats.org/drawingml/2006/main" xmlns:pic="http://schemas.openxmlformats.org/drawingml/2006/picture">
                  <wp:extent cx="1936749" cy="666242"/>
                  <wp:docPr id="1" name="Picture 1"/>
                  <wp:cNvGraphicFramePr>
                    <a:graphicFrameLocks noChangeAspect="1"/>
                  </wp:cNvGraphicFramePr>
                  <a:graphic>
                    <a:graphicData uri="http://schemas.openxmlformats.org/drawingml/2006/picture">
                      <pic:pic>
                        <pic:nvPicPr>
                          <pic:cNvPr id="0" name="s5.png"/>
                          <pic:cNvPicPr/>
                        </pic:nvPicPr>
                        <pic:blipFill>
                          <a:blip r:embed="rId37"/>
                          <a:stretch>
                            <a:fillRect/>
                          </a:stretch>
                        </pic:blipFill>
                        <pic:spPr>
                          <a:xfrm>
                            <a:off x="0" y="0"/>
                            <a:ext cx="1936749" cy="666242"/>
                          </a:xfrm>
                          <a:prstGeom prst="rect"/>
                        </pic:spPr>
                      </pic:pic>
                    </a:graphicData>
                  </a:graphic>
                </wp:inline>
              </w:drawing>
            </w:r>
          </w:p>
        </w:tc>
        <w:tc>
          <w:tcPr>
            <w:tcW w:w="1407"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SIEM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Initial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Matthias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Pr>
        <w:noProof/>
        <w:color w:val="808080" w:themeColor="background1" w:themeShade="80"/>
        <w:sz w:val="18"/>
        <w:szCs w:val="18"/>
        <w:caps w:val="0"/>
      </w:rPr>
      <w:t>CORP-P2-ENG-0164-Fleet IDS SIEM - User Manual</w:t>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001</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Matthias Wachs</dc:creator>
  <cp:keywords/>
  <dc:description/>
  <cp:lastModifiedBy>Matthias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