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7.</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8.</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Creation of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002</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suppression rules, case report export and phone layout</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003</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two-step sign-in (authenticator app, passkeys, recovery codes)</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004</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automatic sync schedule</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005</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document number CORP-P2-ENG-0164. Added backend event details, alert and case coverage of events, suggested cases, step results in the case checklist and links that open in a new tab</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Doc. no.: 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005</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IDS – User Manual</dc:title>
  <dc:subject/>
  <dc:creator>M. Wachs</dc:creator>
  <cp:keywords/>
  <dc:description/>
  <cp:lastModifiedBy>M.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