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15</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17</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20</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20</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20</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21</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 SIEM</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SIEM: analysts, viewers and administrators of the vehicle cybersecurity team. The tool runs on the user’s own computer (</w:t>
      </w:r>
      <w:r>
        <w:rPr>
          <w:b/>
        </w:rPr>
        <w:t xml:space="preserve">http://localhost:8765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http://localhost:8765.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under another address, so the browser has no host name for the passkey.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http://localhost:8765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 set a status, </w:t>
      </w:r>
      <w:r>
        <w:rPr>
          <w:b/>
        </w:rPr>
        <w:t xml:space="preserve">Create case</w:t>
      </w:r>
      <w:r>
        <w:t xml:space="preserve"> (one new case for all of them) or </w:t>
      </w:r>
      <w:r>
        <w:rPr>
          <w:b/>
        </w:rPr>
        <w:t xml:space="preserve">Add to case</w:t>
      </w:r>
      <w:r>
        <w:t xml:space="preserve"> (all of them into an existing case). An alert can be in one case only.</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confirm with the system or component owner; assess the impact on TARA threat scenarios and CSMS; decide on the response and whether reporting is needed; document the findings. Add or remove tasks as needed. To change the order, drag a step by the dots at its left, or use the arrows that appear when you point at it.</w:t>
      </w:r>
    </w:p>
    <w:p>
      <w:pPr>
        <w:spacing w:before="0" w:after="60" w:line="276" w:lineRule="auto"/>
        <w:ind w:left="-37" w:right="-680" w:hanging="360"/>
      </w:pPr>
      <w:r>
        <w:t xml:space="preserve">4.</w:t>
        <w:tab/>
        <w:t xml:space="preserve">Write the result of each step into the box under the task, for example what you found or decided. It is saved when you leave the box and appears in the activity log and in the case report.</w:t>
      </w:r>
    </w:p>
    <w:p>
      <w:pPr>
        <w:spacing w:before="0" w:after="60" w:line="276" w:lineRule="auto"/>
        <w:ind w:left="-37" w:right="-680" w:hanging="360"/>
      </w:pPr>
      <w:r>
        <w:t xml:space="preserve">5.</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6.</w:t>
        <w:tab/>
        <w:t xml:space="preserve">Under </w:t>
      </w:r>
      <w:r>
        <w:rPr>
          <w:b/>
        </w:rPr>
        <w:t xml:space="preserve">Related cases</w:t>
      </w:r>
      <w:r>
        <w:t xml:space="preserve"> (right column) link cases that deal with a similar topic, for example the same root cause or a duplicate: choose </w:t>
      </w:r>
      <w:r>
        <w:rPr>
          <w:b/>
        </w:rPr>
        <w:t xml:space="preserve">Link case</w:t>
      </w:r>
      <w:r>
        <w:t xml:space="preserve">, pick the case and write why. </w:t>
      </w:r>
      <w:r>
        <w:rPr>
          <w:b/>
        </w:rPr>
        <w:t xml:space="preserve">Maybe related</w:t>
      </w:r>
      <w:r>
        <w:t xml:space="preserve"> suggests cases with the same event type, ECU, detection, vehicle or a similar title; choose </w:t>
      </w:r>
      <w:r>
        <w:rPr>
          <w:b/>
        </w:rPr>
        <w:t xml:space="preserve">Link</w:t>
      </w:r>
      <w:r>
        <w:t xml:space="preserve"> to accept one. The link shows in both cases, in the activity log and in the report. Closing one case does not change the other.</w:t>
      </w:r>
    </w:p>
    <w:p>
      <w:pPr>
        <w:spacing w:before="0" w:after="60" w:line="276" w:lineRule="auto"/>
        <w:ind w:left="-37" w:right="-680" w:hanging="360"/>
      </w:pPr>
      <w:r>
        <w:t xml:space="preserve">7.</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8.</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9.</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3"/>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9: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4"/>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10: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5"/>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11: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6"/>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12: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7"/>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13: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8"/>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14: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an IP address (127.0.0.1 is redirected to localhost).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29"/>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15: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SIEM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Pr>
        <w:noProof/>
        <w:color w:val="808080" w:themeColor="background1" w:themeShade="80"/>
        <w:sz w:val="18"/>
        <w:szCs w:val="18"/>
        <w:caps w:val="0"/>
      </w:rPr>
      <w:t>CORP-P2-ENG-0164-Fleet IDS SIEM - User Manual</w:t>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