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4</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7</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8</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9</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10</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13</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Manage users, tokens and sign-in rules</w:t>
            </w:r>
            <w:r>
              <w:rPr>
                <w:rStyle w:val="Hyperlink"/>
                <w:noProof/>
              </w:rPr>
              <w:tab/>
            </w:r>
            <w:r>
              <w:rPr>
                <w:rStyle w:val="Hyperlink"/>
                <w:noProof/>
              </w:rPr>
              <w:t xml:space="preserve">14</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Check the audit log</w:t>
            </w:r>
            <w:r>
              <w:rPr>
                <w:rStyle w:val="Hyperlink"/>
                <w:noProof/>
              </w:rPr>
              <w:tab/>
            </w:r>
            <w:r>
              <w:rPr>
                <w:rStyle w:val="Hyperlink"/>
                <w:noProof/>
              </w:rPr>
              <w:t xml:space="preserve">15</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Back up and remove data</w:t>
            </w:r>
            <w:r>
              <w:rPr>
                <w:rStyle w:val="Hyperlink"/>
                <w:noProof/>
              </w:rPr>
              <w:tab/>
            </w:r>
            <w:r>
              <w:rPr>
                <w:rStyle w:val="Hyperlink"/>
                <w:noProof/>
              </w:rPr>
              <w:t xml:space="preserve">16</w:t>
            </w:r>
          </w:hyperlink>
        </w:p>
        <w:p>
          <w:pPr>
            <w:pStyle w:val="Verzeichnis1"/>
          </w:pPr>
          <w:hyperlink w:anchor="_Toc000009025"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17</w:t>
            </w:r>
          </w:hyperlink>
        </w:p>
        <w:p>
          <w:pPr>
            <w:pStyle w:val="Verzeichnis2"/>
          </w:pPr>
          <w:hyperlink w:anchor="_Toc000009026"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17</w:t>
            </w:r>
          </w:hyperlink>
        </w:p>
        <w:p>
          <w:pPr>
            <w:pStyle w:val="Verzeichnis1"/>
          </w:pPr>
          <w:hyperlink w:anchor="_Toc000009028"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17</w:t>
            </w:r>
          </w:hyperlink>
        </w:p>
        <w:p>
          <w:pPr>
            <w:pStyle w:val="Verzeichnis1"/>
          </w:pPr>
          <w:hyperlink w:anchor="_Toc000009029"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18</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2_overview.png"/>
                    <pic:cNvPicPr/>
                  </pic:nvPicPr>
                  <pic:blipFill>
                    <a:blip r:embed="rId17"/>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3: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Add an analyst note there; it is attributed to you.</w:t>
      </w:r>
    </w:p>
    <w:p>
      <w:pPr>
        <w:spacing w:before="0" w:after="60" w:line="276" w:lineRule="auto"/>
        <w:ind w:left="-37" w:right="-680" w:hanging="360"/>
      </w:pPr>
      <w:r>
        <w:t xml:space="preserve">4.</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3_events.png"/>
                    <pic:cNvPicPr/>
                  </pic:nvPicPr>
                  <pic:blipFill>
                    <a:blip r:embed="rId18"/>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4: Events page with search, facets and result list</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6_vehicle.png"/>
                    <pic:cNvPicPr/>
                  </pic:nvPicPr>
                  <pic:blipFill>
                    <a:blip r:embed="rId19"/>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5: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alert needs real investigation, create a case from it (next step).</w:t>
      </w:r>
    </w:p>
    <w:p>
      <w:pPr>
        <w:spacing w:before="0" w:after="60" w:line="276" w:lineRule="auto"/>
        <w:ind w:left="-37" w:right="-680" w:hanging="360"/>
      </w:pPr>
      <w:r>
        <w:t xml:space="preserve">6.</w:t>
        <w:tab/>
        <w:t xml:space="preserve">If the same harmless pattern keeps coming back, choose </w:t>
      </w:r>
      <w:r>
        <w:rPr>
          <w:b/>
        </w:rPr>
        <w:t xml:space="preserve">Suppress similar alerts</w:t>
      </w:r>
      <w:r>
        <w:t xml:space="preserve"> in the drawer (analyst). See section 7.9.</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7_alerts.png"/>
                    <pic:cNvPicPr/>
                  </pic:nvPicPr>
                  <pic:blipFill>
                    <a:blip r:embed="rId20"/>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6: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5.</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6.</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7.</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9_case.png"/>
                    <pic:cNvPicPr/>
                  </pic:nvPicPr>
                  <pic:blipFill>
                    <a:blip r:embed="rId21"/>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7: Case with checklist,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2"/>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8: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0_detections.png"/>
                    <pic:cNvPicPr/>
                  </pic:nvPicPr>
                  <pic:blipFill>
                    <a:blip r:embed="rId23"/>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9: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4"/>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10: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Manage users, tokens and sign-in rules</w:t>
      </w:r>
      <w:bookmarkEnd w:id="9022"/>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Under </w:t>
      </w:r>
      <w:r>
        <w:rPr>
          <w:b/>
        </w:rPr>
        <w:t xml:space="preserve">Sign-in and token rules</w:t>
      </w:r>
      <w:r>
        <w:t xml:space="preserve"> set the idle session time, the minimum password length, the default and longest token lifetime,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2_users.png"/>
                    <pic:cNvPicPr/>
                  </pic:nvPicPr>
                  <pic:blipFill>
                    <a:blip r:embed="rId25"/>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11: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3" w:name="_Toc000009023"/>
      <w:r>
        <w:rPr>
          <w:bCs/>
          <w:lang w:val="en-GB"/>
        </w:rPr>
        <w:t xml:space="preserve">Check the audit log</w:t>
      </w:r>
      <w:bookmarkEnd w:id="9023"/>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3_audit.png"/>
                    <pic:cNvPicPr/>
                  </pic:nvPicPr>
                  <pic:blipFill>
                    <a:blip r:embed="rId26"/>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12: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4" w:name="_Toc000009024"/>
      <w:r>
        <w:rPr>
          <w:bCs/>
          <w:lang w:val="en-GB"/>
        </w:rPr>
        <w:t xml:space="preserve">Back up and remove data</w:t>
      </w:r>
      <w:bookmarkEnd w:id="9024"/>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5" w:name="_Toc000009025"/>
      <w:r>
        <w:t xml:space="preserve">FLOW</w:t>
      </w:r>
      <w:bookmarkEnd w:id="9025"/>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6" w:name="_Toc000009026"/>
      <w:r>
        <w:rPr>
          <w:bCs/>
          <w:lang w:val="en-GB"/>
        </w:rPr>
        <w:t xml:space="preserve">PROCESS FLOW OVERVIEW</w:t>
      </w:r>
      <w:bookmarkEnd w:id="9026"/>
    </w:p>
    <w:p>
      <w:pPr>
        <w:pStyle w:val="berschrift3"/>
      </w:pPr>
      <w:bookmarkStart w:id="9027" w:name="_Toc000009027"/>
      <w:r>
        <w:t xml:space="preserve">Alert and case life cycle</w:t>
      </w:r>
      <w:bookmarkEnd w:id="9027"/>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8" w:name="_Toc000009028"/>
      <w:r>
        <w:t xml:space="preserve">DOCUMENTS &amp; RECORDS</w:t>
      </w:r>
      <w:bookmarkEnd w:id="9028"/>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29" w:name="_Toc000009029"/>
      <w:r>
        <w:t xml:space="preserve">REVISION HISTORY</w:t>
      </w:r>
      <w:bookmarkEnd w:id="9029"/>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Creation of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002</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suppression rules, case report export and phone layout</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6663"/>
      <w:gridCol w:w="2267"/>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3221" w:type="pct"/>
          <w:noWrap/>
          <w:vAlign w:val="center"/>
        </w:tcPr>
        <w:p w14:paraId="11C87BB5" w14:textId="4A5BA170" w:rsidR="00514B61" w:rsidRPr="0043460F" w:rsidRDefault="00514B61" w:rsidP="00514B61">
          <w:pPr>
            <w:rPr>
              <w:b/>
              <w:bCs/>
            </w:rPr>
          </w:pPr>
          <w:r>
            <w:rPr>
              <w:b/>
              <w:bCs/>
            </w:rPr>
            <w:t>Fleet IDS – User Manual</w:t>
          </w:r>
          <w:r>
            <w:rPr>
              <w:b/>
              <w:bCs/>
            </w:rPr>
          </w:r>
          <w:proofErr w:type="spellStart"/>
          <w:r>
            <w:rPr>
              <w:b/>
              <w:bCs/>
            </w:rPr>
          </w:r>
          <w:r w:rsidR="00BE297A">
            <w:rPr>
              <w:b/>
              <w:bCs/>
            </w:rPr>
          </w:r>
          <w:r>
            <w:rPr>
              <w:b/>
              <w:bCs/>
            </w:rPr>
          </w:r>
          <w:proofErr w:type="spellEnd"/>
        </w:p>
      </w:tc>
      <w:tc>
        <w:tcPr>
          <w:tcW w:w="1096" w:type="pct"/>
          <w:vAlign w:val="center"/>
        </w:tcPr>
        <w:p w14:paraId="533E82D4" w14:textId="029D71FE" w:rsidR="00514B61" w:rsidRPr="0043460F" w:rsidRDefault="00514B61" w:rsidP="00514B61">
          <w:pPr>
            <w:rPr>
              <w:b/>
              <w:bCs/>
            </w:rPr>
          </w:pPr>
          <w:r w:rsidRPr="0043460F">
            <w:rPr>
              <w:b/>
              <w:bCs/>
            </w:rPr>
            <w:t>Doc. no.: TBD</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3221"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1096" w:type="pct"/>
          <w:vAlign w:val="center"/>
        </w:tcPr>
        <w:p w14:paraId="5EA918D1" w14:textId="4D8F7682" w:rsidR="00514B61" w:rsidRPr="00FC6487" w:rsidRDefault="00514B61" w:rsidP="00514B61">
          <w:r>
            <w:t>Revision: 002</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IDS – User Manual</dc:title>
  <dc:subject/>
  <dc:creator>M. Wachs</dc:creator>
  <cp:keywords/>
  <dc:description/>
  <cp:lastModifiedBy>M.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