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5</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8</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9</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10</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11</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14</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Set up two-step sign-in</w:t>
            </w:r>
            <w:r>
              <w:rPr>
                <w:rStyle w:val="Hyperlink"/>
                <w:noProof/>
              </w:rPr>
              <w:tab/>
            </w:r>
            <w:r>
              <w:rPr>
                <w:rStyle w:val="Hyperlink"/>
                <w:noProof/>
              </w:rPr>
              <w:t xml:space="preserve">15</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Manage users, tokens and sign-in rules</w:t>
            </w:r>
            <w:r>
              <w:rPr>
                <w:rStyle w:val="Hyperlink"/>
                <w:noProof/>
              </w:rPr>
              <w:tab/>
            </w:r>
            <w:r>
              <w:rPr>
                <w:rStyle w:val="Hyperlink"/>
                <w:noProof/>
              </w:rPr>
              <w:t xml:space="preserve">17</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Check the audit log</w:t>
            </w:r>
            <w:r>
              <w:rPr>
                <w:rStyle w:val="Hyperlink"/>
                <w:noProof/>
              </w:rPr>
              <w:tab/>
            </w:r>
            <w:r>
              <w:rPr>
                <w:rStyle w:val="Hyperlink"/>
                <w:noProof/>
              </w:rPr>
              <w:t xml:space="preserve">18</w:t>
            </w:r>
          </w:hyperlink>
        </w:p>
        <w:p>
          <w:pPr>
            <w:pStyle w:val="Verzeichnis2"/>
          </w:pPr>
          <w:hyperlink w:anchor="_Toc000009025" w:history="1">
            <w:r>
              <w:rPr>
                <w:rStyle w:val="Hyperlink"/>
                <w:noProof/>
              </w:rPr>
              <w:t xml:space="preserve">7.13</w:t>
            </w:r>
            <w:r>
              <w:rPr>
                <w:rStyle w:val="Hyperlink"/>
                <w:noProof/>
              </w:rPr>
              <w:tab/>
            </w:r>
            <w:r>
              <w:rPr>
                <w:rStyle w:val="Hyperlink"/>
                <w:noProof/>
              </w:rPr>
              <w:t xml:space="preserve">Back up and remove data</w:t>
            </w:r>
            <w:r>
              <w:rPr>
                <w:rStyle w:val="Hyperlink"/>
                <w:noProof/>
              </w:rPr>
              <w:tab/>
            </w:r>
            <w:r>
              <w:rPr>
                <w:rStyle w:val="Hyperlink"/>
                <w:noProof/>
              </w:rPr>
              <w:t xml:space="preserve">19</w:t>
            </w:r>
          </w:hyperlink>
        </w:p>
        <w:p>
          <w:pPr>
            <w:pStyle w:val="Verzeichnis1"/>
          </w:pPr>
          <w:hyperlink w:anchor="_Toc000009026"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20</w:t>
            </w:r>
          </w:hyperlink>
        </w:p>
        <w:p>
          <w:pPr>
            <w:pStyle w:val="Verzeichnis2"/>
          </w:pPr>
          <w:hyperlink w:anchor="_Toc000009027"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20</w:t>
            </w:r>
          </w:hyperlink>
        </w:p>
        <w:p>
          <w:pPr>
            <w:pStyle w:val="Verzeichnis1"/>
          </w:pPr>
          <w:hyperlink w:anchor="_Toc000009029"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21</w:t>
            </w:r>
          </w:hyperlink>
        </w:p>
        <w:p>
          <w:pPr>
            <w:pStyle w:val="Verzeichnis1"/>
          </w:pPr>
          <w:hyperlink w:anchor="_Toc000009030"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21</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 SIEM</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SIEM: analysts, viewers and administrators of the vehicle cybersecurity team. The tool runs on the user’s own computer (</w:t>
      </w:r>
      <w:r>
        <w:rPr>
          <w:b/>
        </w:rPr>
        <w:t xml:space="preserve">http://localhost:8765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http://localhost:8765.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The second step does not accept my code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phone clock is off, or the code was already used.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for the next code. Check that the phone time is set automatically. Or use a recovery code.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Passkey button is missing or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was opened under another address, so the browser has no host name for the passkey.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w:t>
            </w:r>
            <w:r>
              <w:rPr>
                <w:b/>
                <w:rFonts w:ascii="Arial" w:hAnsi="Arial" w:cs="Arial"/>
                <w:lang w:val="en-GB"/>
                <w:sz w:val="20"/>
                <w:szCs w:val="20"/>
              </w:rPr>
              <w:t xml:space="preserve">http://localhost:8765</w:t>
            </w:r>
            <w:r>
              <w:rPr>
                <w:rFonts w:ascii="Arial" w:hAnsi="Arial" w:cs="Arial"/>
                <w:lang w:val="en-GB"/>
                <w:sz w:val="20"/>
                <w:szCs w:val="20"/>
              </w:rPr>
              <w:t xml:space="preserve">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http://localhost:8765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If you have set up two-step sign-in (section 7.10), a second screen asks for a code or a passkey.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60" w:line="276" w:lineRule="auto"/>
        <w:ind w:left="-397" w:right="-680"/>
      </w:pPr>
      <w:r>
        <w:rPr>
          <w:b/>
        </w:rPr>
        <w:t xml:space="preserve">Automatic sync (administrator):</w:t>
      </w:r>
      <w:r>
        <w:t xml:space="preserve"> under </w:t>
      </w:r>
      <w:r>
        <w:rPr>
          <w:b/>
        </w:rPr>
        <w:t xml:space="preserve">Users → Backend connection → Automatic sync</w:t>
      </w:r>
      <w:r>
        <w:t xml:space="preserve">, tick the box, choose how often (5 minutes to 24 hours) and choose </w:t>
      </w:r>
      <w:r>
        <w:rPr>
          <w:b/>
        </w:rPr>
        <w:t xml:space="preserve">Save schedule</w:t>
      </w:r>
      <w:r>
        <w:t xml:space="preserve">. The tool then pulls new events in the background while it is running. Do the first sync by hand first, because you choose how far back it goes. Runs that find nothing new are not written to the audit log. The Data page shows the interval and the next run.</w:t>
      </w:r>
    </w:p>
    <w:p>
      <w:pPr>
        <w:keepNext/>
        <w:spacing w:before="80" w:after="40"/>
        <w:spacing w:line="276" w:lineRule="auto"/>
        <w:ind w:left="-397" w:right="-680"/>
      </w:pPr>
      <w:r>
        <w:drawing>
          <wp:inline xmlns:a="http://schemas.openxmlformats.org/drawingml/2006/main" xmlns:pic="http://schemas.openxmlformats.org/drawingml/2006/picture">
            <wp:extent cx="4937760" cy="2015920"/>
            <wp:docPr id="1" name="Picture 1"/>
            <wp:cNvGraphicFramePr>
              <a:graphicFrameLocks noChangeAspect="1"/>
            </wp:cNvGraphicFramePr>
            <a:graphic>
              <a:graphicData uri="http://schemas.openxmlformats.org/drawingml/2006/picture">
                <pic:pic>
                  <pic:nvPicPr>
                    <pic:cNvPr id="0" name="20_schedule.png"/>
                    <pic:cNvPicPr/>
                  </pic:nvPicPr>
                  <pic:blipFill>
                    <a:blip r:embed="rId17"/>
                    <a:stretch>
                      <a:fillRect/>
                    </a:stretch>
                  </pic:blipFill>
                  <pic:spPr>
                    <a:xfrm>
                      <a:off x="0" y="0"/>
                      <a:ext cx="4937760" cy="2015920"/>
                    </a:xfrm>
                    <a:prstGeom prst="rect"/>
                  </pic:spPr>
                </pic:pic>
              </a:graphicData>
            </a:graphic>
          </wp:inline>
        </w:drawing>
      </w:r>
    </w:p>
    <w:p>
      <w:pPr>
        <w:spacing w:before="0" w:after="140" w:line="276" w:lineRule="auto"/>
        <w:ind w:left="-397" w:right="-680"/>
      </w:pPr>
      <w:r>
        <w:rPr>
          <w:i/>
          <w:sz w:val="18"/>
          <w:szCs w:val="18"/>
        </w:rPr>
        <w:t xml:space="preserve">Figure 3: Automatic sync on the Users page</w:t>
      </w:r>
    </w:p>
    <w:p>
      <w:pPr>
        <w:spacing w:before="60" w:after="100" w:line="276" w:lineRule="auto"/>
        <w:ind w:left="-397" w:right="-680"/>
      </w:pPr>
      <w:r>
        <w:rPr>
          <w:b/>
        </w:rPr>
        <w:t xml:space="preserve">Start over (administrator):</w:t>
      </w:r>
      <w:r>
        <w:t xml:space="preserve"> choose </w:t>
      </w:r>
      <w:r>
        <w:rPr>
          <w:b/>
        </w:rPr>
        <w:t xml:space="preserve">Start over</w:t>
      </w:r>
      <w:r>
        <w:t xml:space="preserve"> on the Data page when you want a complete sync from the beginning. Stored events are kept and are not duplicated; events that were synced before get their backend details filled in when they are fetched again. On the command line use </w:t>
      </w:r>
      <w:r>
        <w:rPr>
          <w:b/>
        </w:rPr>
        <w:t xml:space="preserve">--sync --restart</w:t>
      </w:r>
      <w:r>
        <w:t xml:space="preserve">.</w:t>
      </w:r>
    </w:p>
    <w:p>
      <w:pPr>
        <w:spacing w:before="60" w:after="100" w:line="276" w:lineRule="auto"/>
        <w:ind w:left="-397" w:right="-680"/>
      </w:pPr>
      <w:r>
        <w:rPr>
          <w:b/>
        </w:rPr>
        <w:t xml:space="preserve">Backend details:</w:t>
      </w:r>
      <w:r>
        <w:t xml:space="preserve"> each synced event keeps what the backend reported: the CycurGUARD severity (1 to 3), the report type, the named fields with their meaning, the CAN message (id, name, sender and receivers), the violated rule with its limits and the measured values, and the time window when the backend gave no exact time. They are shown in the event drawer. An administrator can upload the CycurGUARD severity configuration on the Data page so that the configured meaning of an event is shown as well. </w:t>
      </w:r>
      <w:r>
        <w:rPr>
          <w:b/>
        </w:rPr>
        <w:t xml:space="preserve">Show all fields</w:t>
      </w:r>
      <w:r>
        <w:t xml:space="preserve"> lists which fields the backend delivers.</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2_overview.png"/>
                    <pic:cNvPicPr/>
                  </pic:nvPicPr>
                  <pic:blipFill>
                    <a:blip r:embed="rId18"/>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4: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It shows the event, the backend details (section 7.3), the alerts that cover the event and its case, and related events of the same vehicle. Add an analyst note there; it is attributed to you.</w:t>
      </w:r>
    </w:p>
    <w:p>
      <w:pPr>
        <w:spacing w:before="0" w:after="60" w:line="276" w:lineRule="auto"/>
        <w:ind w:left="-37" w:right="-680" w:hanging="360"/>
      </w:pPr>
      <w:r>
        <w:t xml:space="preserve">4.</w:t>
        <w:tab/>
        <w:t xml:space="preserve">The column </w:t>
      </w:r>
      <w:r>
        <w:rPr>
          <w:b/>
        </w:rPr>
        <w:t xml:space="preserve">Alert, case</w:t>
      </w:r>
      <w:r>
        <w:t xml:space="preserve"> shows which alerts cover each event (for example #42) and the case they belong to. Use the filters </w:t>
      </w:r>
      <w:r>
        <w:rPr>
          <w:b/>
        </w:rPr>
        <w:t xml:space="preserve">Alert</w:t>
      </w:r>
      <w:r>
        <w:t xml:space="preserve"> (covered, not covered) and </w:t>
      </w:r>
      <w:r>
        <w:rPr>
          <w:b/>
        </w:rPr>
        <w:t xml:space="preserve">Case</w:t>
      </w:r>
      <w:r>
        <w:t xml:space="preserve"> (in a case, not in a case) to find events that nobody has looked at yet.</w:t>
      </w:r>
    </w:p>
    <w:p>
      <w:pPr>
        <w:spacing w:before="0" w:after="60" w:line="276" w:lineRule="auto"/>
        <w:ind w:left="-37" w:right="-680" w:hanging="360"/>
      </w:pPr>
      <w:r>
        <w:t xml:space="preserve">5.</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spacing w:before="60" w:after="100" w:line="276" w:lineRule="auto"/>
        <w:ind w:left="-397" w:right="-680"/>
      </w:pPr>
      <w:r>
        <w:t xml:space="preserve">An alert covers an event when the event lies inside the filter of the alert (vehicle, event type, ECU and time window). These are the same events that the alert shows. An event counts as being in a case when one of the alerts that cover it is linked to that case, whatever the status of the alert.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3_events.png"/>
                    <pic:cNvPicPr/>
                  </pic:nvPicPr>
                  <pic:blipFill>
                    <a:blip r:embed="rId19"/>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5: Events page with the Alert and Case filters and the Alert, case column</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6_vehicle.png"/>
                    <pic:cNvPicPr/>
                  </pic:nvPicPr>
                  <pic:blipFill>
                    <a:blip r:embed="rId20"/>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6: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 set a status, </w:t>
      </w:r>
      <w:r>
        <w:rPr>
          <w:b/>
        </w:rPr>
        <w:t xml:space="preserve">Create case</w:t>
      </w:r>
      <w:r>
        <w:t xml:space="preserve"> (one new case for all of them) or </w:t>
      </w:r>
      <w:r>
        <w:rPr>
          <w:b/>
        </w:rPr>
        <w:t xml:space="preserve">Add to case</w:t>
      </w:r>
      <w:r>
        <w:t xml:space="preserve"> (all of them into an existing case). An alert can be in one case only.</w:t>
      </w:r>
    </w:p>
    <w:p>
      <w:pPr>
        <w:spacing w:before="0" w:after="60" w:line="276" w:lineRule="auto"/>
        <w:ind w:left="-37" w:right="-680" w:hanging="360"/>
      </w:pPr>
      <w:r>
        <w:t xml:space="preserve">5.</w:t>
        <w:tab/>
        <w:t xml:space="preserve">If the drawer shows </w:t>
      </w:r>
      <w:r>
        <w:rPr>
          <w:b/>
        </w:rPr>
        <w:t xml:space="preserve">May belong to an existing case</w:t>
      </w:r>
      <w:r>
        <w:t xml:space="preserve">, the same vehicle already has a case for the same event type within 30 days. Open it, or add the alert to it. Nothing is linked automatically. The alert list shows the hint as “maybe #N”.</w:t>
      </w:r>
    </w:p>
    <w:p>
      <w:pPr>
        <w:spacing w:before="0" w:after="60" w:line="276" w:lineRule="auto"/>
        <w:ind w:left="-37" w:right="-680" w:hanging="360"/>
      </w:pPr>
      <w:r>
        <w:t xml:space="preserve">6.</w:t>
        <w:tab/>
        <w:t xml:space="preserve">If the alert needs real investigation, create a case from it (next step).</w:t>
      </w:r>
    </w:p>
    <w:p>
      <w:pPr>
        <w:spacing w:before="0" w:after="60" w:line="276" w:lineRule="auto"/>
        <w:ind w:left="-37" w:right="-680" w:hanging="360"/>
      </w:pPr>
      <w:r>
        <w:t xml:space="preserve">7.</w:t>
        <w:tab/>
        <w:t xml:space="preserve">If the same harmless pattern keeps coming back, choose </w:t>
      </w:r>
      <w:r>
        <w:rPr>
          <w:b/>
        </w:rPr>
        <w:t xml:space="preserve">Suppress similar alerts</w:t>
      </w:r>
      <w:r>
        <w:t xml:space="preserve"> in the drawer (analyst). See section 7.9.</w:t>
      </w:r>
    </w:p>
    <w:p>
      <w:pPr>
        <w:spacing w:before="60" w:after="120" w:line="276" w:lineRule="auto"/>
        <w:ind w:left="-397" w:right="-680"/>
      </w:pPr>
      <w:r>
        <w:rPr>
          <w:b/>
        </w:rPr>
        <w:t xml:space="preserve">Note:</w:t>
      </w:r>
      <w:r>
        <w:t xml:space="preserve"> Alert and case titles are real links. Right-click and choose </w:t>
      </w:r>
      <w:r>
        <w:rPr>
          <w:b/>
        </w:rPr>
        <w:t xml:space="preserve">Open in new tab</w:t>
      </w:r>
      <w:r>
        <w:t xml:space="preserve"> (or Ctrl-click, or middle-click) to open the alert or the case in its own tab. On a vehicle page a click on an alert opens its details in place and does not leave the vehicle.</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7_alerts.png"/>
                    <pic:cNvPicPr/>
                  </pic:nvPicPr>
                  <pic:blipFill>
                    <a:blip r:embed="rId21"/>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7: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tasks are: review the linked events and the vehicle history; check whether other vehicles show the same pattern; confirm with the system or component owner; assess the impact on TARA threat scenarios and CSMS; decide on the response and whether reporting is needed; document the findings. Add or remove tasks as needed. To change the order, drag a step by the dots at its left, or use the arrows that appear when you point at it.</w:t>
      </w:r>
    </w:p>
    <w:p>
      <w:pPr>
        <w:spacing w:before="0" w:after="60" w:line="276" w:lineRule="auto"/>
        <w:ind w:left="-37" w:right="-680" w:hanging="360"/>
      </w:pPr>
      <w:r>
        <w:t xml:space="preserve">4.</w:t>
        <w:tab/>
        <w:t xml:space="preserve">Write the result of each step into the box under the task, for example what you found or decided. It is saved when you leave the box and appears in the activity log and in the case report.</w:t>
      </w:r>
    </w:p>
    <w:p>
      <w:pPr>
        <w:spacing w:before="0" w:after="60" w:line="276" w:lineRule="auto"/>
        <w:ind w:left="-37" w:right="-680" w:hanging="360"/>
      </w:pPr>
      <w:r>
        <w:t xml:space="preserve">5.</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6.</w:t>
        <w:tab/>
        <w:t xml:space="preserve">Under </w:t>
      </w:r>
      <w:r>
        <w:rPr>
          <w:b/>
        </w:rPr>
        <w:t xml:space="preserve">Related cases</w:t>
      </w:r>
      <w:r>
        <w:t xml:space="preserve"> (right column) link cases that deal with a similar topic, for example the same root cause or a duplicate: choose </w:t>
      </w:r>
      <w:r>
        <w:rPr>
          <w:b/>
        </w:rPr>
        <w:t xml:space="preserve">Link case</w:t>
      </w:r>
      <w:r>
        <w:t xml:space="preserve">, pick the case and write why. </w:t>
      </w:r>
      <w:r>
        <w:rPr>
          <w:b/>
        </w:rPr>
        <w:t xml:space="preserve">Maybe related</w:t>
      </w:r>
      <w:r>
        <w:t xml:space="preserve"> suggests cases with the same event type, ECU, detection, vehicle or a similar title; choose </w:t>
      </w:r>
      <w:r>
        <w:rPr>
          <w:b/>
        </w:rPr>
        <w:t xml:space="preserve">Link</w:t>
      </w:r>
      <w:r>
        <w:t xml:space="preserve"> to accept one. The link shows in both cases, in the activity log and in the report. Closing one case does not change the other.</w:t>
      </w:r>
    </w:p>
    <w:p>
      <w:pPr>
        <w:spacing w:before="0" w:after="60" w:line="276" w:lineRule="auto"/>
        <w:ind w:left="-37" w:right="-680" w:hanging="360"/>
      </w:pPr>
      <w:r>
        <w:t xml:space="preserve">7.</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8.</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9.</w:t>
        <w:tab/>
        <w:t xml:space="preserve">Choose </w:t>
      </w:r>
      <w:r>
        <w:rPr>
          <w:b/>
        </w:rPr>
        <w:t xml:space="preserve">Export report</w:t>
      </w:r>
      <w:r>
        <w:t xml:space="preserve"> at any time to open a printable report of the case. In the print dialog choose Save as PDF.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9_case.png"/>
                    <pic:cNvPicPr/>
                  </pic:nvPicPr>
                  <pic:blipFill>
                    <a:blip r:embed="rId22"/>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8: Case with checklist results, details and linked alerts</w:t>
      </w:r>
    </w:p>
    <w:p>
      <w:pPr>
        <w:spacing w:before="60" w:after="60" w:line="276" w:lineRule="auto"/>
        <w:ind w:left="-397" w:right="-680"/>
      </w:pPr>
      <w:r>
        <w:t xml:space="preserve">The report contains the case facts, summary, findings and decision, the vehicles with their decoded VIN, the linked alerts, the checklist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937760" cy="6748272"/>
            <wp:docPr id="1" name="Picture 1"/>
            <wp:cNvGraphicFramePr>
              <a:graphicFrameLocks noChangeAspect="1"/>
            </wp:cNvGraphicFramePr>
            <a:graphic>
              <a:graphicData uri="http://schemas.openxmlformats.org/drawingml/2006/picture">
                <pic:pic>
                  <pic:nvPicPr>
                    <pic:cNvPr id="0" name="15_report.png"/>
                    <pic:cNvPicPr/>
                  </pic:nvPicPr>
                  <pic:blipFill>
                    <a:blip r:embed="rId23"/>
                    <a:stretch>
                      <a:fillRect/>
                    </a:stretch>
                  </pic:blipFill>
                  <pic:spPr>
                    <a:xfrm>
                      <a:off x="0" y="0"/>
                      <a:ext cx="4937760" cy="6748272"/>
                    </a:xfrm>
                    <a:prstGeom prst="rect"/>
                  </pic:spPr>
                </pic:pic>
              </a:graphicData>
            </a:graphic>
          </wp:inline>
        </w:drawing>
      </w:r>
    </w:p>
    <w:p>
      <w:pPr>
        <w:spacing w:before="0" w:after="140" w:line="276" w:lineRule="auto"/>
        <w:ind w:left="-397" w:right="-680"/>
      </w:pPr>
      <w:r>
        <w:rPr>
          <w:i/>
          <w:sz w:val="18"/>
          <w:szCs w:val="18"/>
        </w:rPr>
        <w:t xml:space="preserve">Figure 9: Case report (top part)</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0_detections.png"/>
                    <pic:cNvPicPr/>
                  </pic:nvPicPr>
                  <pic:blipFill>
                    <a:blip r:embed="rId24"/>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10: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5"/>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11: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Set up two-step sign-in</w:t>
      </w:r>
      <w:bookmarkEnd w:id="9022"/>
    </w:p>
    <w:p>
      <w:pPr>
        <w:keepNext/>
        <w:spacing w:before="0" w:after="60" w:line="276" w:lineRule="auto"/>
        <w:ind w:left="-397" w:right="-680"/>
      </w:pPr>
      <w:r>
        <w:t xml:space="preserve">A second step means a stolen password is not enough. You can use an authenticator app, a passkey, or both. Open </w:t>
      </w:r>
      <w:r>
        <w:rPr>
          <w:b/>
        </w:rPr>
        <w:t xml:space="preserve">Account → Two-step sign-in</w:t>
      </w:r>
      <w:r>
        <w:t xml:space="preserve">.</w:t>
      </w:r>
    </w:p>
    <w:p>
      <w:pPr>
        <w:spacing w:before="0" w:after="60" w:line="276" w:lineRule="auto"/>
        <w:ind w:left="-37" w:right="-680" w:hanging="360"/>
      </w:pPr>
      <w:r>
        <w:t xml:space="preserve">1.</w:t>
        <w:tab/>
        <w:t xml:space="preserve">Enter your password in the field at the top of the panel. Every change in this panel asks for it.</w:t>
      </w:r>
    </w:p>
    <w:p>
      <w:pPr>
        <w:spacing w:before="0" w:after="60" w:line="276" w:lineRule="auto"/>
        <w:ind w:left="-37" w:right="-680" w:hanging="360"/>
      </w:pPr>
      <w:r>
        <w:t xml:space="preserve">2.</w:t>
        <w:tab/>
      </w:r>
      <w:r>
        <w:rPr>
          <w:b/>
        </w:rPr>
        <w:t xml:space="preserve">Authenticator app:</w:t>
      </w:r>
      <w:r>
        <w:t xml:space="preserve"> choose </w:t>
      </w:r>
      <w:r>
        <w:rPr>
          <w:b/>
        </w:rPr>
        <w:t xml:space="preserve">Set up</w:t>
      </w:r>
      <w:r>
        <w:t xml:space="preserve">, scan the QR code with your authenticator app (or type the key), enter the 6-digit code and choose </w:t>
      </w:r>
      <w:r>
        <w:rPr>
          <w:b/>
        </w:rPr>
        <w:t xml:space="preserve">Turn on</w:t>
      </w:r>
      <w:r>
        <w:t xml:space="preserve">.</w:t>
      </w:r>
    </w:p>
    <w:p>
      <w:pPr>
        <w:spacing w:before="0" w:after="60" w:line="276" w:lineRule="auto"/>
        <w:ind w:left="-37" w:right="-680" w:hanging="360"/>
      </w:pPr>
      <w:r>
        <w:t xml:space="preserve">3.</w:t>
        <w:tab/>
      </w:r>
      <w:r>
        <w:rPr>
          <w:b/>
        </w:rPr>
        <w:t xml:space="preserve">Passkey:</w:t>
      </w:r>
      <w:r>
        <w:t xml:space="preserve"> open the tool as </w:t>
      </w:r>
      <w:r>
        <w:rPr>
          <w:b/>
        </w:rPr>
        <w:t xml:space="preserve">http://localhost:8765</w:t>
      </w:r>
      <w:r>
        <w:t xml:space="preserve">, enter a name, choose </w:t>
      </w:r>
      <w:r>
        <w:rPr>
          <w:b/>
        </w:rPr>
        <w:t xml:space="preserve">Add a passkey</w:t>
      </w:r>
      <w:r>
        <w:t xml:space="preserve"> and confirm with your fingerprint, face, PIN or security key.</w:t>
      </w:r>
    </w:p>
    <w:p>
      <w:pPr>
        <w:spacing w:before="0" w:after="60" w:line="276" w:lineRule="auto"/>
        <w:ind w:left="-37" w:right="-680" w:hanging="360"/>
      </w:pPr>
      <w:r>
        <w:t xml:space="preserve">4.</w:t>
        <w:tab/>
      </w:r>
      <w:r>
        <w:rPr>
          <w:b/>
        </w:rPr>
        <w:t xml:space="preserve">Recovery codes:</w:t>
      </w:r>
      <w:r>
        <w:t xml:space="preserve"> the first method you add creates ten recovery codes. Copy or download them now. They are shown only once.</w:t>
      </w:r>
    </w:p>
    <w:p>
      <w:pPr>
        <w:keepNext/>
        <w:spacing w:before="80" w:after="40"/>
        <w:spacing w:line="276" w:lineRule="auto"/>
        <w:ind w:left="-397" w:right="-680"/>
      </w:pPr>
      <w:r>
        <w:drawing>
          <wp:inline xmlns:a="http://schemas.openxmlformats.org/drawingml/2006/main" xmlns:pic="http://schemas.openxmlformats.org/drawingml/2006/picture">
            <wp:extent cx="4937760" cy="3275248"/>
            <wp:docPr id="1" name="Picture 1"/>
            <wp:cNvGraphicFramePr>
              <a:graphicFrameLocks noChangeAspect="1"/>
            </wp:cNvGraphicFramePr>
            <a:graphic>
              <a:graphicData uri="http://schemas.openxmlformats.org/drawingml/2006/picture">
                <pic:pic>
                  <pic:nvPicPr>
                    <pic:cNvPr id="0" name="17_mfa_setup.png"/>
                    <pic:cNvPicPr/>
                  </pic:nvPicPr>
                  <pic:blipFill>
                    <a:blip r:embed="rId26"/>
                    <a:stretch>
                      <a:fillRect/>
                    </a:stretch>
                  </pic:blipFill>
                  <pic:spPr>
                    <a:xfrm>
                      <a:off x="0" y="0"/>
                      <a:ext cx="4937760" cy="3275248"/>
                    </a:xfrm>
                    <a:prstGeom prst="rect"/>
                  </pic:spPr>
                </pic:pic>
              </a:graphicData>
            </a:graphic>
          </wp:inline>
        </w:drawing>
      </w:r>
    </w:p>
    <w:p>
      <w:pPr>
        <w:spacing w:before="0" w:after="140" w:line="276" w:lineRule="auto"/>
        <w:ind w:left="-397" w:right="-680"/>
      </w:pPr>
      <w:r>
        <w:rPr>
          <w:i/>
          <w:sz w:val="18"/>
          <w:szCs w:val="18"/>
        </w:rPr>
        <w:t xml:space="preserve">Figure 12: Setting up the authenticator app</w:t>
      </w:r>
    </w:p>
    <w:p>
      <w:pPr>
        <w:keepNext/>
        <w:spacing w:before="80" w:after="40"/>
        <w:spacing w:line="276" w:lineRule="auto"/>
        <w:ind w:left="-397" w:right="-680"/>
      </w:pPr>
      <w:r>
        <w:drawing>
          <wp:inline xmlns:a="http://schemas.openxmlformats.org/drawingml/2006/main" xmlns:pic="http://schemas.openxmlformats.org/drawingml/2006/picture">
            <wp:extent cx="4937760" cy="2578387"/>
            <wp:docPr id="1" name="Picture 1"/>
            <wp:cNvGraphicFramePr>
              <a:graphicFrameLocks noChangeAspect="1"/>
            </wp:cNvGraphicFramePr>
            <a:graphic>
              <a:graphicData uri="http://schemas.openxmlformats.org/drawingml/2006/picture">
                <pic:pic>
                  <pic:nvPicPr>
                    <pic:cNvPr id="0" name="18_mfa_on.png"/>
                    <pic:cNvPicPr/>
                  </pic:nvPicPr>
                  <pic:blipFill>
                    <a:blip r:embed="rId27"/>
                    <a:stretch>
                      <a:fillRect/>
                    </a:stretch>
                  </pic:blipFill>
                  <pic:spPr>
                    <a:xfrm>
                      <a:off x="0" y="0"/>
                      <a:ext cx="4937760" cy="2578387"/>
                    </a:xfrm>
                    <a:prstGeom prst="rect"/>
                  </pic:spPr>
                </pic:pic>
              </a:graphicData>
            </a:graphic>
          </wp:inline>
        </w:drawing>
      </w:r>
    </w:p>
    <w:p>
      <w:pPr>
        <w:spacing w:before="0" w:after="140" w:line="276" w:lineRule="auto"/>
        <w:ind w:left="-397" w:right="-680"/>
      </w:pPr>
      <w:r>
        <w:rPr>
          <w:i/>
          <w:sz w:val="18"/>
          <w:szCs w:val="18"/>
        </w:rPr>
        <w:t xml:space="preserve">Figure 13: Two-step sign-in with an authenticator app and a passkey</w:t>
      </w:r>
    </w:p>
    <w:p>
      <w:pPr>
        <w:spacing w:before="60" w:after="60" w:line="276" w:lineRule="auto"/>
        <w:ind w:left="-397" w:right="-680"/>
      </w:pPr>
      <w:r>
        <w:rPr>
          <w:b/>
        </w:rPr>
        <w:t xml:space="preserve">Signing in afterwards:</w:t>
      </w:r>
      <w:r>
        <w:t xml:space="preserve"> enter your password, then the code from the app, a recovery code, or choose </w:t>
      </w:r>
      <w:r>
        <w:rPr>
          <w:b/>
        </w:rPr>
        <w:t xml:space="preserve">Use a passkey</w:t>
      </w:r>
      <w:r>
        <w:t xml:space="preserve">. With a passkey you can also choose </w:t>
      </w:r>
      <w:r>
        <w:rPr>
          <w:b/>
        </w:rPr>
        <w:t xml:space="preserve">Sign in with a passkey</w:t>
      </w:r>
      <w:r>
        <w:t xml:space="preserve"> on the first screen and skip the password.</w:t>
      </w:r>
    </w:p>
    <w:p>
      <w:pPr>
        <w:keepNext/>
        <w:spacing w:before="80" w:after="40"/>
        <w:spacing w:line="276" w:lineRule="auto"/>
        <w:ind w:left="-397" w:right="-680"/>
      </w:pPr>
      <w:r>
        <w:drawing>
          <wp:inline xmlns:a="http://schemas.openxmlformats.org/drawingml/2006/main" xmlns:pic="http://schemas.openxmlformats.org/drawingml/2006/picture">
            <wp:extent cx="3291840" cy="3049283"/>
            <wp:docPr id="1" name="Picture 1"/>
            <wp:cNvGraphicFramePr>
              <a:graphicFrameLocks noChangeAspect="1"/>
            </wp:cNvGraphicFramePr>
            <a:graphic>
              <a:graphicData uri="http://schemas.openxmlformats.org/drawingml/2006/picture">
                <pic:pic>
                  <pic:nvPicPr>
                    <pic:cNvPr id="0" name="19_mfa_step.png"/>
                    <pic:cNvPicPr/>
                  </pic:nvPicPr>
                  <pic:blipFill>
                    <a:blip r:embed="rId28"/>
                    <a:stretch>
                      <a:fillRect/>
                    </a:stretch>
                  </pic:blipFill>
                  <pic:spPr>
                    <a:xfrm>
                      <a:off x="0" y="0"/>
                      <a:ext cx="3291840" cy="3049283"/>
                    </a:xfrm>
                    <a:prstGeom prst="rect"/>
                  </pic:spPr>
                </pic:pic>
              </a:graphicData>
            </a:graphic>
          </wp:inline>
        </w:drawing>
      </w:r>
    </w:p>
    <w:p>
      <w:pPr>
        <w:spacing w:before="0" w:after="140" w:line="276" w:lineRule="auto"/>
        <w:ind w:left="-397" w:right="-680"/>
      </w:pPr>
      <w:r>
        <w:rPr>
          <w:i/>
          <w:sz w:val="18"/>
          <w:szCs w:val="18"/>
        </w:rPr>
        <w:t xml:space="preserve">Figure 14: Second step of the sign-in</w:t>
      </w:r>
    </w:p>
    <w:p>
      <w:pPr>
        <w:spacing w:before="0" w:after="40" w:line="276" w:lineRule="auto"/>
        <w:ind w:left="-37" w:right="-680" w:hanging="360"/>
      </w:pPr>
      <w:r>
        <w:t xml:space="preserve">•</w:t>
        <w:tab/>
        <w:t xml:space="preserve">Wrong codes count like wrong passwords: after 5 failures the account is locked for 5 minutes.</w:t>
      </w:r>
    </w:p>
    <w:p>
      <w:pPr>
        <w:spacing w:before="0" w:after="40" w:line="276" w:lineRule="auto"/>
        <w:ind w:left="-37" w:right="-680" w:hanging="360"/>
      </w:pPr>
      <w:r>
        <w:t xml:space="preserve">•</w:t>
        <w:tab/>
        <w:t xml:space="preserve">Passkeys work only at </w:t>
      </w:r>
      <w:r>
        <w:rPr>
          <w:b/>
        </w:rPr>
        <w:t xml:space="preserve">http://localhost:8765</w:t>
      </w:r>
      <w:r>
        <w:t xml:space="preserve">, not at an IP address (127.0.0.1 is redirected to localhost). Authenticator codes work at both.</w:t>
      </w:r>
    </w:p>
    <w:p>
      <w:pPr>
        <w:spacing w:before="0" w:after="40" w:line="276" w:lineRule="auto"/>
        <w:ind w:left="-37" w:right="-680" w:hanging="360"/>
      </w:pPr>
      <w:r>
        <w:t xml:space="preserve">•</w:t>
        <w:tab/>
        <w:t xml:space="preserve">Lost your phone or key? Use a recovery code, then set up again. If you have none, ask an administrator to reset your two-step sign-in, or run </w:t>
      </w:r>
      <w:r>
        <w:rPr>
          <w:b/>
        </w:rPr>
        <w:t xml:space="preserve">python idssiem.py --reset-mfa USER</w:t>
      </w:r>
      <w:r>
        <w:t xml:space="preserve"> on the computer.</w:t>
      </w:r>
    </w:p>
    <w:p>
      <w:pPr>
        <w:spacing w:before="0" w:after="40" w:line="276" w:lineRule="auto"/>
        <w:ind w:left="-37" w:right="-680" w:hanging="360"/>
      </w:pPr>
      <w:r>
        <w:t xml:space="preserve">•</w:t>
        <w:tab/>
        <w:t xml:space="preserve">An administrator can require two-step sign-in for everyone (Users → Sign-in and token rules). Anyone without it can then only open the Account page until it is set up. API tokens are not affected.</w:t>
      </w:r>
    </w:p>
    <w:p>
      <w:pPr>
        <w:pStyle w:val="berschrift2"/>
        <w:rPr>
          <w:lang w:val="en-GB"/>
        </w:rPr>
        <w:ind w:left="133" w:hanging="757"/>
      </w:pPr>
      <w:bookmarkStart w:id="9023" w:name="_Toc000009023"/>
      <w:r>
        <w:rPr>
          <w:bCs/>
          <w:lang w:val="en-GB"/>
        </w:rPr>
        <w:t xml:space="preserve">Manage users, tokens and sign-in rules</w:t>
      </w:r>
      <w:bookmarkEnd w:id="9023"/>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To help someone who lost their phone or passkey, select the account and choose </w:t>
      </w:r>
      <w:r>
        <w:rPr>
          <w:b/>
        </w:rPr>
        <w:t xml:space="preserve">Reset two-step sign-in</w:t>
      </w:r>
      <w:r>
        <w:t xml:space="preserve">. The person is signed out and can set it up again.</w:t>
      </w:r>
    </w:p>
    <w:p>
      <w:pPr>
        <w:spacing w:before="0" w:after="60" w:line="276" w:lineRule="auto"/>
        <w:ind w:left="-37" w:right="-680" w:hanging="360"/>
      </w:pPr>
      <w:r>
        <w:t xml:space="preserve">4.</w:t>
        <w:tab/>
        <w:t xml:space="preserve">Under </w:t>
      </w:r>
      <w:r>
        <w:rPr>
          <w:b/>
        </w:rPr>
        <w:t xml:space="preserve">Sign-in and token rules</w:t>
      </w:r>
      <w:r>
        <w:t xml:space="preserve"> set the idle session time, the minimum password length, the default and longest token lifetime, whether two-step sign-in is required,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2_users.png"/>
                    <pic:cNvPicPr/>
                  </pic:nvPicPr>
                  <pic:blipFill>
                    <a:blip r:embed="rId29"/>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15: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4" w:name="_Toc000009024"/>
      <w:r>
        <w:rPr>
          <w:bCs/>
          <w:lang w:val="en-GB"/>
        </w:rPr>
        <w:t xml:space="preserve">Check the audit log</w:t>
      </w:r>
      <w:bookmarkEnd w:id="9024"/>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3_audit.png"/>
                    <pic:cNvPicPr/>
                  </pic:nvPicPr>
                  <pic:blipFill>
                    <a:blip r:embed="rId30"/>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16: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5" w:name="_Toc000009025"/>
      <w:r>
        <w:rPr>
          <w:bCs/>
          <w:lang w:val="en-GB"/>
        </w:rPr>
        <w:t xml:space="preserve">Back up and remove data</w:t>
      </w:r>
      <w:bookmarkEnd w:id="9025"/>
    </w:p>
    <w:p>
      <w:pPr>
        <w:spacing w:before="0" w:after="40" w:line="276" w:lineRule="auto"/>
        <w:ind w:left="-37" w:right="-680" w:hanging="360"/>
      </w:pPr>
      <w:r>
        <w:t xml:space="preserve">•</w:t>
        <w:tab/>
        <w:t xml:space="preserve">All data is in </w:t>
      </w:r>
      <w:r>
        <w:rPr>
          <w:b/>
        </w:rPr>
        <w:t xml:space="preserve">data/siem.db</w:t>
      </w:r>
      <w:r>
        <w:t xml:space="preserve">. Stop the tool and copy that file to back it up. Set the variable IDS_SIEM_DB to use another location.</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6" w:name="_Toc000009026"/>
      <w:r>
        <w:t xml:space="preserve">FLOW</w:t>
      </w:r>
      <w:bookmarkEnd w:id="9026"/>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250"/>
        <w:gridCol w:w="1250"/>
        <w:gridCol w:w="1250"/>
        <w:gridCol w:w="950"/>
        <w:gridCol w:w="1050"/>
        <w:gridCol w:w="3050"/>
        <w:gridCol w:w="1407"/>
      </w:tblGrid>
      <w:tr>
        <w:trPr>
          <w:trHeight w:val="850"/>
        </w:trPr>
        <w:tc>
          <w:tcPr>
            <w:tcW w:w="1250" w:type="dxa"/>
            <w:shd w:val="clear" w:color="auto" w:fill="E8E8E8" w:themeFill="background2"/>
            <w:vAlign w:val="center"/>
          </w:tcPr>
          <w:p>
            <w:pPr>
              <w:spacing w:line="276" w:lineRule="auto"/>
            </w:pPr>
            <w:r>
              <w:t>R</w:t>
            </w:r>
          </w:p>
        </w:tc>
        <w:tc>
          <w:tcPr>
            <w:tcW w:w="1250" w:type="dxa"/>
            <w:shd w:val="clear" w:color="auto" w:fill="E8E8E8" w:themeFill="background2"/>
            <w:vAlign w:val="center"/>
          </w:tcPr>
          <w:p>
            <w:pPr>
              <w:spacing w:line="276" w:lineRule="auto"/>
            </w:pPr>
            <w:r>
              <w:t>S</w:t>
            </w:r>
          </w:p>
        </w:tc>
        <w:tc>
          <w:tcPr>
            <w:tcW w:w="1250" w:type="dxa"/>
            <w:shd w:val="clear" w:color="auto" w:fill="E8E8E8" w:themeFill="background2"/>
            <w:vAlign w:val="center"/>
          </w:tcPr>
          <w:p>
            <w:pPr>
              <w:spacing w:line="276" w:lineRule="auto"/>
            </w:pPr>
            <w:r>
              <w:t>I</w:t>
            </w:r>
          </w:p>
        </w:tc>
        <w:tc>
          <w:tcPr>
            <w:tcW w:w="950" w:type="dxa"/>
            <w:shd w:val="clear" w:color="auto" w:fill="E8E8E8" w:themeFill="background2"/>
            <w:vAlign w:val="center"/>
          </w:tcPr>
          <w:p>
            <w:pPr>
              <w:spacing w:line="276" w:lineRule="auto"/>
            </w:pPr>
            <w:r>
              <w:t>Input</w:t>
            </w:r>
          </w:p>
        </w:tc>
        <w:tc>
          <w:tcPr>
            <w:tcW w:w="1050" w:type="dxa"/>
            <w:shd w:val="clear" w:color="auto" w:fill="E8E8E8" w:themeFill="background2"/>
            <w:vAlign w:val="center"/>
          </w:tcPr>
          <w:p>
            <w:pPr>
              <w:spacing w:line="276" w:lineRule="auto"/>
            </w:pPr>
            <w:r>
              <w:t>Output</w:t>
            </w:r>
          </w:p>
        </w:tc>
        <w:tc>
          <w:tcPr>
            <w:tcW w:w="3050" w:type="dxa"/>
            <w:shd w:val="clear" w:color="auto" w:fill="E8E8E8" w:themeFill="background2"/>
            <w:vAlign w:val="center"/>
          </w:tcPr>
          <w:p>
            <w:pPr>
              <w:spacing w:line="276" w:lineRule="auto"/>
            </w:pPr>
            <w:r>
              <w:t>Activity</w:t>
            </w:r>
          </w:p>
        </w:tc>
        <w:tc>
          <w:tcPr>
            <w:tcW w:w="1407" w:type="dxa"/>
            <w:shd w:val="clear" w:color="auto" w:fill="E8E8E8" w:themeFill="background2"/>
            <w:vAlign w:val="center"/>
          </w:tcPr>
          <w:p>
            <w:pPr>
              <w:spacing w:line="276" w:lineRule="auto"/>
            </w:pPr>
            <w:r>
              <w:t>Documents</w:t>
            </w:r>
          </w:p>
        </w:tc>
      </w:tr>
      <w:tr>
        <w:trPr>
          <w:trHeight w:val="1958" w:hRule="atLeast"/>
        </w:trPr>
        <w:tc>
          <w:tcPr>
            <w:tcW w:w="1250" w:type="dxa"/>
            <w:vAlign w:val="center"/>
          </w:tcPr>
          <w:p>
            <w:pPr>
              <w:spacing w:line="276" w:lineRule="auto"/>
              <w:rPr>
                <w:szCs w:val="20"/>
              </w:rPr>
            </w:pPr>
            <w:r>
              <w:rPr>
                <w:sz w:val="16"/>
                <w:szCs w:val="16"/>
              </w:rPr>
              <w:t xml:space="preserve">Analyst</w:t>
            </w:r>
          </w:p>
        </w:tc>
        <w:tc>
          <w:tcPr>
            <w:tcW w:w="1250" w:type="dxa"/>
          </w:tcPr>
          <w:p>
            <w:pPr>
              <w:spacing w:line="276" w:lineRule="auto"/>
              <w:rPr>
                <w:noProof/>
                <w:szCs w:val="20"/>
              </w:rPr>
            </w:pPr>
            <w:r>
              <w:rPr>
                <w:noProof/>
                <w:sz w:val="16"/>
                <w:szCs w:val="16"/>
              </w:rPr>
              <w:t xml:space="preserve">Administrator</w:t>
            </w:r>
          </w:p>
        </w:tc>
        <w:tc>
          <w:tcPr>
            <w:tcW w:w="1250" w:type="dxa"/>
          </w:tcPr>
          <w:p>
            <w:pPr>
              <w:spacing w:line="276" w:lineRule="auto"/>
              <w:rPr>
                <w:noProof/>
                <w:szCs w:val="20"/>
              </w:rPr>
            </w:pPr>
          </w:p>
        </w:tc>
        <w:tc>
          <w:tcPr>
            <w:tcW w:w="950" w:type="dxa"/>
          </w:tcPr>
          <w:p>
            <w:pPr>
              <w:spacing w:line="276" w:lineRule="auto"/>
              <w:rPr>
                <w:noProof/>
                <w:szCs w:val="20"/>
              </w:rPr>
            </w:pPr>
            <w:r>
              <w:rPr>
                <w:noProof/>
                <w:sz w:val="16"/>
                <w:szCs w:val="16"/>
              </w:rPr>
              <w:t xml:space="preserve">Event export or backend</w:t>
            </w:r>
          </w:p>
        </w:tc>
        <w:tc>
          <w:tcPr>
            <w:tcW w:w="1050" w:type="dxa"/>
          </w:tcPr>
          <w:p>
            <w:pPr>
              <w:spacing w:line="276" w:lineRule="auto"/>
              <w:rPr>
                <w:noProof/>
                <w:szCs w:val="20"/>
              </w:rPr>
            </w:pPr>
            <w:r>
              <w:rPr>
                <w:noProof/>
                <w:sz w:val="16"/>
                <w:szCs w:val="16"/>
              </w:rPr>
              <w:t xml:space="preserve">Events in the tool</w:t>
            </w:r>
          </w:p>
        </w:tc>
        <w:tc>
          <w:tcPr>
            <w:tcW w:w="3050" w:type="dxa"/>
            <w:tcMar>
              <w:top w:w="0" w:type="dxa"/>
              <w:left w:w="0" w:type="dxa"/>
              <w:bottom w:w="0" w:type="dxa"/>
              <w:right w:w="0" w:type="dxa"/>
            </w:tcMar>
          </w:tcPr>
          <w:p>
            <w:pPr>
              <w:rPr>
                <w:szCs w:val="20"/>
              </w:rPr>
              <w:spacing w:before="0" w:after="0" w:line="240" w:lineRule="auto"/>
            </w:pPr>
            <w:r>
              <w:drawing>
                <wp:inline xmlns:a="http://schemas.openxmlformats.org/drawingml/2006/main" xmlns:pic="http://schemas.openxmlformats.org/drawingml/2006/picture">
                  <wp:extent cx="1936749" cy="1053591"/>
                  <wp:docPr id="1" name="Picture 1"/>
                  <wp:cNvGraphicFramePr>
                    <a:graphicFrameLocks noChangeAspect="1"/>
                  </wp:cNvGraphicFramePr>
                  <a:graphic>
                    <a:graphicData uri="http://schemas.openxmlformats.org/drawingml/2006/picture">
                      <pic:pic>
                        <pic:nvPicPr>
                          <pic:cNvPr id="0" name="s1.png"/>
                          <pic:cNvPicPr/>
                        </pic:nvPicPr>
                        <pic:blipFill>
                          <a:blip r:embed="rId31"/>
                          <a:stretch>
                            <a:fillRect/>
                          </a:stretch>
                        </pic:blipFill>
                        <pic:spPr>
                          <a:xfrm>
                            <a:off x="0" y="0"/>
                            <a:ext cx="1936749" cy="1053591"/>
                          </a:xfrm>
                          <a:prstGeom prst="rect"/>
                        </pic:spPr>
                      </pic:pic>
                    </a:graphicData>
                  </a:graphic>
                </wp:inline>
              </w:drawing>
            </w:r>
          </w:p>
        </w:tc>
        <w:tc>
          <w:tcPr>
            <w:tcW w:w="1407" w:type="dxa"/>
            <w:vAlign w:val="center"/>
          </w:tcPr>
          <w:p>
            <w:pPr>
              <w:spacing w:line="276" w:lineRule="auto"/>
              <w:rPr>
                <w:szCs w:val="20"/>
              </w:rPr>
            </w:pPr>
            <w:r>
              <w:rPr>
                <w:sz w:val="16"/>
                <w:szCs w:val="16"/>
              </w:rPr>
              <w:t xml:space="preserve">Export file</w:t>
              <w:br/>
              <w:t xml:space="preserve">Backend token</w:t>
            </w:r>
          </w:p>
        </w:tc>
      </w:tr>
      <w:tr>
        <w:trPr>
          <w:trHeight w:val="1238" w:hRule="atLeast"/>
        </w:trPr>
        <w:tc>
          <w:tcPr>
            <w:tcW w:w="1250" w:type="dxa"/>
            <w:vAlign w:val="center"/>
          </w:tcPr>
          <w:p>
            <w:pPr>
              <w:spacing w:line="276" w:lineRule="auto"/>
              <w:rPr>
                <w:szCs w:val="20"/>
              </w:rPr>
            </w:pPr>
            <w:r>
              <w:rPr>
                <w:sz w:val="16"/>
                <w:szCs w:val="16"/>
              </w:rPr>
              <w:t xml:space="preserve">Analyst</w:t>
            </w:r>
          </w:p>
        </w:tc>
        <w:tc>
          <w:tcPr>
            <w:tcW w:w="1250" w:type="dxa"/>
          </w:tcPr>
          <w:p>
            <w:pPr>
              <w:spacing w:line="276" w:lineRule="auto"/>
              <w:rPr>
                <w:noProof/>
                <w:szCs w:val="20"/>
              </w:rPr>
            </w:pPr>
          </w:p>
        </w:tc>
        <w:tc>
          <w:tcPr>
            <w:tcW w:w="1250" w:type="dxa"/>
          </w:tcPr>
          <w:p>
            <w:pPr>
              <w:spacing w:line="276" w:lineRule="auto"/>
              <w:rPr>
                <w:noProof/>
                <w:szCs w:val="20"/>
              </w:rPr>
            </w:pPr>
            <w:r>
              <w:rPr>
                <w:noProof/>
                <w:sz w:val="16"/>
                <w:szCs w:val="16"/>
              </w:rPr>
              <w:t xml:space="preserve">Administrator</w:t>
            </w:r>
          </w:p>
        </w:tc>
        <w:tc>
          <w:tcPr>
            <w:tcW w:w="950" w:type="dxa"/>
          </w:tcPr>
          <w:p>
            <w:pPr>
              <w:spacing w:line="276" w:lineRule="auto"/>
              <w:rPr>
                <w:noProof/>
                <w:szCs w:val="20"/>
              </w:rPr>
            </w:pPr>
            <w:r>
              <w:rPr>
                <w:noProof/>
                <w:sz w:val="16"/>
                <w:szCs w:val="16"/>
              </w:rPr>
              <w:t xml:space="preserve">Events</w:t>
            </w:r>
          </w:p>
        </w:tc>
        <w:tc>
          <w:tcPr>
            <w:tcW w:w="1050" w:type="dxa"/>
          </w:tcPr>
          <w:p>
            <w:pPr>
              <w:spacing w:line="276" w:lineRule="auto"/>
              <w:rPr>
                <w:noProof/>
                <w:szCs w:val="20"/>
              </w:rPr>
            </w:pPr>
            <w:r>
              <w:rPr>
                <w:noProof/>
                <w:sz w:val="16"/>
                <w:szCs w:val="16"/>
              </w:rPr>
              <w:t xml:space="preserve">Open alerts</w:t>
            </w:r>
          </w:p>
        </w:tc>
        <w:tc>
          <w:tcPr>
            <w:tcW w:w="3050" w:type="dxa"/>
            <w:tcMar>
              <w:top w:w="0" w:type="dxa"/>
              <w:left w:w="0" w:type="dxa"/>
              <w:bottom w:w="0" w:type="dxa"/>
              <w:right w:w="0" w:type="dxa"/>
            </w:tcMar>
          </w:tcPr>
          <w:p>
            <w:pPr>
              <w:rPr>
                <w:szCs w:val="20"/>
              </w:rPr>
              <w:spacing w:before="0" w:after="0" w:line="240" w:lineRule="auto"/>
            </w:pPr>
            <w:r>
              <w:drawing>
                <wp:inline xmlns:a="http://schemas.openxmlformats.org/drawingml/2006/main" xmlns:pic="http://schemas.openxmlformats.org/drawingml/2006/picture">
                  <wp:extent cx="1936749" cy="664305"/>
                  <wp:docPr id="1" name="Picture 1"/>
                  <wp:cNvGraphicFramePr>
                    <a:graphicFrameLocks noChangeAspect="1"/>
                  </wp:cNvGraphicFramePr>
                  <a:graphic>
                    <a:graphicData uri="http://schemas.openxmlformats.org/drawingml/2006/picture">
                      <pic:pic>
                        <pic:nvPicPr>
                          <pic:cNvPr id="0" name="s2.png"/>
                          <pic:cNvPicPr/>
                        </pic:nvPicPr>
                        <pic:blipFill>
                          <a:blip r:embed="rId32"/>
                          <a:stretch>
                            <a:fillRect/>
                          </a:stretch>
                        </pic:blipFill>
                        <pic:spPr>
                          <a:xfrm>
                            <a:off x="0" y="0"/>
                            <a:ext cx="1936749" cy="664305"/>
                          </a:xfrm>
                          <a:prstGeom prst="rect"/>
                        </pic:spPr>
                      </pic:pic>
                    </a:graphicData>
                  </a:graphic>
                </wp:inline>
              </w:drawing>
            </w:r>
          </w:p>
        </w:tc>
        <w:tc>
          <w:tcPr>
            <w:tcW w:w="1407" w:type="dxa"/>
            <w:vAlign w:val="center"/>
          </w:tcPr>
          <w:p>
            <w:pPr>
              <w:spacing w:line="276" w:lineRule="auto"/>
              <w:rPr>
                <w:szCs w:val="20"/>
              </w:rPr>
            </w:pPr>
            <w:r>
              <w:rPr>
                <w:sz w:val="16"/>
                <w:szCs w:val="16"/>
              </w:rPr>
              <w:t xml:space="preserve">Detection settings</w:t>
              <w:br/>
              <w:t xml:space="preserve">Event catalog</w:t>
            </w:r>
          </w:p>
        </w:tc>
      </w:tr>
      <w:tr>
        <w:trPr>
          <w:trHeight w:val="1238" w:hRule="atLeast"/>
        </w:trPr>
        <w:tc>
          <w:tcPr>
            <w:tcW w:w="1250" w:type="dxa"/>
            <w:vAlign w:val="center"/>
          </w:tcPr>
          <w:p>
            <w:pPr>
              <w:spacing w:line="276" w:lineRule="auto"/>
              <w:rPr>
                <w:szCs w:val="20"/>
              </w:rPr>
            </w:pPr>
            <w:r>
              <w:rPr>
                <w:sz w:val="16"/>
                <w:szCs w:val="16"/>
              </w:rPr>
              <w:t xml:space="preserve">Analyst</w:t>
            </w:r>
          </w:p>
        </w:tc>
        <w:tc>
          <w:tcPr>
            <w:tcW w:w="1250" w:type="dxa"/>
          </w:tcPr>
          <w:p>
            <w:pPr>
              <w:spacing w:line="276" w:lineRule="auto"/>
              <w:rPr>
                <w:noProof/>
                <w:szCs w:val="20"/>
              </w:rPr>
            </w:pPr>
            <w:r>
              <w:rPr>
                <w:noProof/>
                <w:sz w:val="16"/>
                <w:szCs w:val="16"/>
              </w:rPr>
              <w:t xml:space="preserve">Case owner</w:t>
            </w:r>
          </w:p>
        </w:tc>
        <w:tc>
          <w:tcPr>
            <w:tcW w:w="1250" w:type="dxa"/>
          </w:tcPr>
          <w:p>
            <w:pPr>
              <w:spacing w:line="276" w:lineRule="auto"/>
              <w:rPr>
                <w:noProof/>
                <w:szCs w:val="20"/>
              </w:rPr>
            </w:pPr>
            <w:r>
              <w:rPr>
                <w:noProof/>
                <w:sz w:val="16"/>
                <w:szCs w:val="16"/>
              </w:rPr>
              <w:t xml:space="preserve">Administrator</w:t>
            </w:r>
          </w:p>
        </w:tc>
        <w:tc>
          <w:tcPr>
            <w:tcW w:w="950" w:type="dxa"/>
          </w:tcPr>
          <w:p>
            <w:pPr>
              <w:spacing w:line="276" w:lineRule="auto"/>
              <w:rPr>
                <w:noProof/>
                <w:szCs w:val="20"/>
              </w:rPr>
            </w:pPr>
            <w:r>
              <w:rPr>
                <w:noProof/>
                <w:sz w:val="16"/>
                <w:szCs w:val="16"/>
              </w:rPr>
              <w:t xml:space="preserve">Open alert</w:t>
            </w:r>
          </w:p>
        </w:tc>
        <w:tc>
          <w:tcPr>
            <w:tcW w:w="1050" w:type="dxa"/>
          </w:tcPr>
          <w:p>
            <w:pPr>
              <w:spacing w:line="276" w:lineRule="auto"/>
              <w:rPr>
                <w:noProof/>
                <w:szCs w:val="20"/>
              </w:rPr>
            </w:pPr>
            <w:r>
              <w:rPr>
                <w:noProof/>
                <w:sz w:val="16"/>
                <w:szCs w:val="16"/>
              </w:rPr>
              <w:t xml:space="preserve">Alert resolved, false positive or case</w:t>
            </w:r>
          </w:p>
        </w:tc>
        <w:tc>
          <w:tcPr>
            <w:tcW w:w="3050" w:type="dxa"/>
            <w:tcMar>
              <w:top w:w="0" w:type="dxa"/>
              <w:left w:w="0" w:type="dxa"/>
              <w:bottom w:w="0" w:type="dxa"/>
              <w:right w:w="0" w:type="dxa"/>
            </w:tcMar>
          </w:tcPr>
          <w:p>
            <w:pPr>
              <w:rPr>
                <w:szCs w:val="20"/>
              </w:rPr>
              <w:spacing w:before="0" w:after="0" w:line="240" w:lineRule="auto"/>
            </w:pPr>
            <w:r>
              <w:drawing>
                <wp:inline xmlns:a="http://schemas.openxmlformats.org/drawingml/2006/main" xmlns:pic="http://schemas.openxmlformats.org/drawingml/2006/picture">
                  <wp:extent cx="1936749" cy="668178"/>
                  <wp:docPr id="1" name="Picture 1"/>
                  <wp:cNvGraphicFramePr>
                    <a:graphicFrameLocks noChangeAspect="1"/>
                  </wp:cNvGraphicFramePr>
                  <a:graphic>
                    <a:graphicData uri="http://schemas.openxmlformats.org/drawingml/2006/picture">
                      <pic:pic>
                        <pic:nvPicPr>
                          <pic:cNvPr id="0" name="s3.png"/>
                          <pic:cNvPicPr/>
                        </pic:nvPicPr>
                        <pic:blipFill>
                          <a:blip r:embed="rId33"/>
                          <a:stretch>
                            <a:fillRect/>
                          </a:stretch>
                        </pic:blipFill>
                        <pic:spPr>
                          <a:xfrm>
                            <a:off x="0" y="0"/>
                            <a:ext cx="1936749" cy="668178"/>
                          </a:xfrm>
                          <a:prstGeom prst="rect"/>
                        </pic:spPr>
                      </pic:pic>
                    </a:graphicData>
                  </a:graphic>
                </wp:inline>
              </w:drawing>
            </w:r>
          </w:p>
        </w:tc>
        <w:tc>
          <w:tcPr>
            <w:tcW w:w="1407" w:type="dxa"/>
            <w:vAlign w:val="center"/>
          </w:tcPr>
          <w:p>
            <w:pPr>
              <w:spacing w:line="276" w:lineRule="auto"/>
              <w:rPr>
                <w:szCs w:val="20"/>
              </w:rPr>
            </w:pPr>
            <w:r>
              <w:rPr>
                <w:sz w:val="16"/>
                <w:szCs w:val="16"/>
              </w:rPr>
              <w:t xml:space="preserve">Alert notes</w:t>
            </w:r>
          </w:p>
        </w:tc>
      </w:tr>
      <w:tr>
        <w:trPr>
          <w:trHeight w:val="1238" w:hRule="atLeast"/>
        </w:trPr>
        <w:tc>
          <w:tcPr>
            <w:tcW w:w="1250" w:type="dxa"/>
            <w:vAlign w:val="center"/>
          </w:tcPr>
          <w:p>
            <w:pPr>
              <w:spacing w:line="276" w:lineRule="auto"/>
              <w:rPr>
                <w:szCs w:val="20"/>
              </w:rPr>
            </w:pPr>
            <w:r>
              <w:rPr>
                <w:sz w:val="16"/>
                <w:szCs w:val="16"/>
              </w:rPr>
              <w:t xml:space="preserve">Case owner</w:t>
            </w:r>
          </w:p>
        </w:tc>
        <w:tc>
          <w:tcPr>
            <w:tcW w:w="1250" w:type="dxa"/>
          </w:tcPr>
          <w:p>
            <w:pPr>
              <w:spacing w:line="276" w:lineRule="auto"/>
              <w:rPr>
                <w:noProof/>
                <w:szCs w:val="20"/>
              </w:rPr>
            </w:pPr>
            <w:r>
              <w:rPr>
                <w:noProof/>
                <w:sz w:val="16"/>
                <w:szCs w:val="16"/>
              </w:rPr>
              <w:t xml:space="preserve">Analyst</w:t>
            </w:r>
          </w:p>
        </w:tc>
        <w:tc>
          <w:tcPr>
            <w:tcW w:w="1250" w:type="dxa"/>
          </w:tcPr>
          <w:p>
            <w:pPr>
              <w:spacing w:line="276" w:lineRule="auto"/>
              <w:rPr>
                <w:noProof/>
                <w:szCs w:val="20"/>
              </w:rPr>
            </w:pPr>
            <w:r>
              <w:rPr>
                <w:noProof/>
                <w:sz w:val="16"/>
                <w:szCs w:val="16"/>
              </w:rPr>
              <w:t xml:space="preserve">Administrator</w:t>
            </w:r>
          </w:p>
        </w:tc>
        <w:tc>
          <w:tcPr>
            <w:tcW w:w="950" w:type="dxa"/>
          </w:tcPr>
          <w:p>
            <w:pPr>
              <w:spacing w:line="276" w:lineRule="auto"/>
              <w:rPr>
                <w:noProof/>
                <w:szCs w:val="20"/>
              </w:rPr>
            </w:pPr>
            <w:r>
              <w:rPr>
                <w:noProof/>
                <w:sz w:val="16"/>
                <w:szCs w:val="16"/>
              </w:rPr>
              <w:t xml:space="preserve">Case</w:t>
            </w:r>
          </w:p>
        </w:tc>
        <w:tc>
          <w:tcPr>
            <w:tcW w:w="1050" w:type="dxa"/>
          </w:tcPr>
          <w:p>
            <w:pPr>
              <w:spacing w:line="276" w:lineRule="auto"/>
              <w:rPr>
                <w:noProof/>
                <w:szCs w:val="20"/>
              </w:rPr>
            </w:pPr>
            <w:r>
              <w:rPr>
                <w:noProof/>
                <w:sz w:val="16"/>
                <w:szCs w:val="16"/>
              </w:rPr>
              <w:t xml:space="preserve">Closed case with findings and resolution</w:t>
            </w:r>
          </w:p>
        </w:tc>
        <w:tc>
          <w:tcPr>
            <w:tcW w:w="3050" w:type="dxa"/>
            <w:tcMar>
              <w:top w:w="0" w:type="dxa"/>
              <w:left w:w="0" w:type="dxa"/>
              <w:bottom w:w="0" w:type="dxa"/>
              <w:right w:w="0" w:type="dxa"/>
            </w:tcMar>
          </w:tcPr>
          <w:p>
            <w:pPr>
              <w:rPr>
                <w:noProof/>
                <w:szCs w:val="20"/>
              </w:rPr>
              <w:spacing w:before="0" w:after="0" w:line="240" w:lineRule="auto"/>
            </w:pPr>
            <w:r>
              <w:drawing>
                <wp:inline xmlns:a="http://schemas.openxmlformats.org/drawingml/2006/main" xmlns:pic="http://schemas.openxmlformats.org/drawingml/2006/picture">
                  <wp:extent cx="1936749" cy="666242"/>
                  <wp:docPr id="1" name="Picture 1"/>
                  <wp:cNvGraphicFramePr>
                    <a:graphicFrameLocks noChangeAspect="1"/>
                  </wp:cNvGraphicFramePr>
                  <a:graphic>
                    <a:graphicData uri="http://schemas.openxmlformats.org/drawingml/2006/picture">
                      <pic:pic>
                        <pic:nvPicPr>
                          <pic:cNvPr id="0" name="s4.png"/>
                          <pic:cNvPicPr/>
                        </pic:nvPicPr>
                        <pic:blipFill>
                          <a:blip r:embed="rId34"/>
                          <a:stretch>
                            <a:fillRect/>
                          </a:stretch>
                        </pic:blipFill>
                        <pic:spPr>
                          <a:xfrm>
                            <a:off x="0" y="0"/>
                            <a:ext cx="1936749" cy="666242"/>
                          </a:xfrm>
                          <a:prstGeom prst="rect"/>
                        </pic:spPr>
                      </pic:pic>
                    </a:graphicData>
                  </a:graphic>
                </wp:inline>
              </w:drawing>
            </w:r>
          </w:p>
        </w:tc>
        <w:tc>
          <w:tcPr>
            <w:tcW w:w="1407" w:type="dxa"/>
            <w:vAlign w:val="center"/>
          </w:tcPr>
          <w:p>
            <w:pPr>
              <w:spacing w:line="276" w:lineRule="auto"/>
              <w:rPr>
                <w:szCs w:val="20"/>
              </w:rPr>
            </w:pPr>
            <w:r>
              <w:rPr>
                <w:sz w:val="16"/>
                <w:szCs w:val="16"/>
              </w:rPr>
              <w:t xml:space="preserve">Case record</w:t>
              <w:br/>
              <w:t xml:space="preserve">VIN decoder</w:t>
            </w:r>
          </w:p>
        </w:tc>
      </w:tr>
      <w:tr>
        <w:trPr>
          <w:trHeight w:val="1238" w:hRule="atLeast"/>
        </w:trPr>
        <w:tc>
          <w:tcPr>
            <w:tcW w:w="1250" w:type="dxa"/>
            <w:vAlign w:val="center"/>
          </w:tcPr>
          <w:p>
            <w:pPr>
              <w:spacing w:line="276" w:lineRule="auto"/>
              <w:rPr>
                <w:szCs w:val="20"/>
              </w:rPr>
            </w:pPr>
            <w:r>
              <w:rPr>
                <w:sz w:val="16"/>
                <w:szCs w:val="16"/>
              </w:rPr>
              <w:t xml:space="preserve">Administrator</w:t>
            </w:r>
          </w:p>
        </w:tc>
        <w:tc>
          <w:tcPr>
            <w:tcW w:w="1250" w:type="dxa"/>
          </w:tcPr>
          <w:p>
            <w:pPr>
              <w:spacing w:line="276" w:lineRule="auto"/>
              <w:rPr>
                <w:noProof/>
                <w:szCs w:val="20"/>
              </w:rPr>
            </w:pPr>
          </w:p>
        </w:tc>
        <w:tc>
          <w:tcPr>
            <w:tcW w:w="1250" w:type="dxa"/>
          </w:tcPr>
          <w:p>
            <w:pPr>
              <w:spacing w:line="276" w:lineRule="auto"/>
              <w:rPr>
                <w:noProof/>
                <w:szCs w:val="20"/>
              </w:rPr>
            </w:pPr>
            <w:r>
              <w:rPr>
                <w:noProof/>
                <w:sz w:val="16"/>
                <w:szCs w:val="16"/>
              </w:rPr>
              <w:t xml:space="preserve">Analyst</w:t>
            </w:r>
          </w:p>
        </w:tc>
        <w:tc>
          <w:tcPr>
            <w:tcW w:w="950" w:type="dxa"/>
          </w:tcPr>
          <w:p>
            <w:pPr>
              <w:spacing w:line="276" w:lineRule="auto"/>
              <w:rPr>
                <w:noProof/>
                <w:szCs w:val="20"/>
              </w:rPr>
            </w:pPr>
            <w:r>
              <w:rPr>
                <w:noProof/>
                <w:sz w:val="16"/>
                <w:szCs w:val="16"/>
              </w:rPr>
              <w:t xml:space="preserve">Audit log</w:t>
            </w:r>
          </w:p>
        </w:tc>
        <w:tc>
          <w:tcPr>
            <w:tcW w:w="1050" w:type="dxa"/>
          </w:tcPr>
          <w:p>
            <w:pPr>
              <w:spacing w:line="276" w:lineRule="auto"/>
              <w:rPr>
                <w:noProof/>
                <w:szCs w:val="20"/>
              </w:rPr>
            </w:pPr>
            <w:r>
              <w:rPr>
                <w:noProof/>
                <w:sz w:val="16"/>
                <w:szCs w:val="16"/>
              </w:rPr>
              <w:t xml:space="preserve">Verified log</w:t>
            </w:r>
          </w:p>
        </w:tc>
        <w:tc>
          <w:tcPr>
            <w:tcW w:w="3050" w:type="dxa"/>
            <w:tcMar>
              <w:top w:w="0" w:type="dxa"/>
              <w:left w:w="0" w:type="dxa"/>
              <w:bottom w:w="0" w:type="dxa"/>
              <w:right w:w="0" w:type="dxa"/>
            </w:tcMar>
          </w:tcPr>
          <w:p>
            <w:pPr>
              <w:rPr>
                <w:noProof/>
                <w:szCs w:val="20"/>
              </w:rPr>
              <w:spacing w:before="0" w:after="0" w:line="240" w:lineRule="auto"/>
            </w:pPr>
            <w:r>
              <w:drawing>
                <wp:inline xmlns:a="http://schemas.openxmlformats.org/drawingml/2006/main" xmlns:pic="http://schemas.openxmlformats.org/drawingml/2006/picture">
                  <wp:extent cx="1936749" cy="666242"/>
                  <wp:docPr id="1" name="Picture 1"/>
                  <wp:cNvGraphicFramePr>
                    <a:graphicFrameLocks noChangeAspect="1"/>
                  </wp:cNvGraphicFramePr>
                  <a:graphic>
                    <a:graphicData uri="http://schemas.openxmlformats.org/drawingml/2006/picture">
                      <pic:pic>
                        <pic:nvPicPr>
                          <pic:cNvPr id="0" name="s5.png"/>
                          <pic:cNvPicPr/>
                        </pic:nvPicPr>
                        <pic:blipFill>
                          <a:blip r:embed="rId35"/>
                          <a:stretch>
                            <a:fillRect/>
                          </a:stretch>
                        </pic:blipFill>
                        <pic:spPr>
                          <a:xfrm>
                            <a:off x="0" y="0"/>
                            <a:ext cx="1936749" cy="666242"/>
                          </a:xfrm>
                          <a:prstGeom prst="rect"/>
                        </pic:spPr>
                      </pic:pic>
                    </a:graphicData>
                  </a:graphic>
                </wp:inline>
              </w:drawing>
            </w:r>
          </w:p>
        </w:tc>
        <w:tc>
          <w:tcPr>
            <w:tcW w:w="1407"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7" w:name="_Toc000009027"/>
      <w:r>
        <w:rPr>
          <w:bCs/>
          <w:lang w:val="en-GB"/>
        </w:rPr>
        <w:t xml:space="preserve">PROCESS FLOW OVERVIEW</w:t>
      </w:r>
      <w:bookmarkEnd w:id="9027"/>
    </w:p>
    <w:p>
      <w:pPr>
        <w:pStyle w:val="berschrift3"/>
      </w:pPr>
      <w:bookmarkStart w:id="9028" w:name="_Toc000009028"/>
      <w:r>
        <w:t xml:space="preserve">Alert and case life cycle</w:t>
      </w:r>
      <w:bookmarkEnd w:id="9028"/>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29" w:name="_Toc000009029"/>
      <w:r>
        <w:t xml:space="preserve">DOCUMENTS &amp; RECORDS</w:t>
      </w:r>
      <w:bookmarkEnd w:id="9029"/>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SIEM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30" w:name="_Toc000009030"/>
      <w:r>
        <w:t xml:space="preserve">REVISION HISTORY</w:t>
      </w:r>
      <w:bookmarkEnd w:id="9030"/>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Initial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Matthias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15.10.2026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Pr>
        <w:noProof/>
        <w:color w:val="808080" w:themeColor="background1" w:themeShade="80"/>
        <w:sz w:val="18"/>
        <w:szCs w:val="18"/>
        <w:caps w:val="0"/>
      </w:rPr>
      <w:t>CORP-P2-ENG-0164-Fleet IDS SIEM - User Manual</w:t>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4758"/>
      <w:gridCol w:w="4172"/>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2300" w:type="pct"/>
          <w:noWrap/>
          <w:vAlign w:val="center"/>
        </w:tcPr>
        <w:p w14:paraId="11C87BB5" w14:textId="4A5BA170" w:rsidR="00514B61" w:rsidRPr="0043460F" w:rsidRDefault="00514B61" w:rsidP="00514B61">
          <w:pPr>
            <w:rPr>
              <w:b/>
              <w:bCs/>
            </w:rPr>
          </w:pPr>
          <w:r>
            <w:rPr>
              <w:b/>
              <w:bCs/>
            </w:rPr>
            <w:t>Fleet IDS SIEM - User Manual</w:t>
          </w:r>
          <w:r>
            <w:rPr>
              <w:b/>
              <w:bCs/>
            </w:rPr>
          </w:r>
          <w:proofErr w:type="spellStart"/>
          <w:r>
            <w:rPr>
              <w:b/>
              <w:bCs/>
            </w:rPr>
          </w:r>
          <w:r w:rsidR="00BE297A">
            <w:rPr>
              <w:b/>
              <w:bCs/>
            </w:rPr>
          </w:r>
          <w:r>
            <w:rPr>
              <w:b/>
              <w:bCs/>
            </w:rPr>
          </w:r>
          <w:proofErr w:type="spellEnd"/>
        </w:p>
      </w:tc>
      <w:tc>
        <w:tcPr>
          <w:tcW w:w="2017" w:type="pct"/>
          <w:vAlign w:val="center"/>
        </w:tcPr>
        <w:p w14:paraId="533E82D4" w14:textId="029D71FE" w:rsidR="00514B61" w:rsidRPr="0043460F" w:rsidRDefault="00514B61" w:rsidP="00514B61">
          <w:pPr>
            <w:rPr>
              <w:b/>
              <w:bCs/>
            </w:rPr>
          </w:pPr>
          <w:r w:rsidRPr="0043460F">
            <w:rPr>
              <w:b/>
              <w:bCs/>
            </w:rPr>
            <w:t>CORP-P2-ENG-0164</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2300"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2017" w:type="pct"/>
          <w:vAlign w:val="center"/>
        </w:tcPr>
        <w:p w14:paraId="5EA918D1" w14:textId="4D8F7682" w:rsidR="00514B61" w:rsidRPr="00FC6487" w:rsidRDefault="00514B61" w:rsidP="00514B61">
          <w:r>
            <w:t>Revision: 001</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CORP-P2-ENG-0164-Fleet IDS SIEM - User Manual</dc:title>
  <dc:subject/>
  <dc:creator>Matthias Wachs</dc:creator>
  <cp:keywords/>
  <dc:description/>
  <cp:lastModifiedBy>Matthias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