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rebuchet MS" w:eastAsiaTheme="minorEastAsia" w:hAnsi="Trebuchet MS" w:cs="Arial"/>
          <w:b w:val="0"/>
          <w:bCs/>
          <w:iCs/>
          <w:sz w:val="24"/>
          <w:szCs w:val="24"/>
          <w:lang w:val="de-DE"/>
        </w:rPr>
        <w:id w:val="-1702167941"/>
        <w:docPartObj>
          <w:docPartGallery w:val="Table of Contents"/>
          <w:docPartUnique/>
        </w:docPartObj>
      </w:sdtPr>
      <w:sdtEndPr>
        <w:rPr>
          <w:rFonts w:ascii="Arial" w:hAnsi="Arial"/>
          <w:bCs w:val="0"/>
          <w:iCs w:val="0"/>
          <w:sz w:val="22"/>
          <w:szCs w:val="22"/>
        </w:rPr>
      </w:sdtEndPr>
      <w:sdtContent>
        <w:p w14:paraId="4EE79D76" w14:textId="17D22C49" w:rsidR="00815E97" w:rsidRPr="00310740" w:rsidRDefault="006F36F4" w:rsidP="00DF46AD">
          <w:pPr>
            <w:pStyle w:val="Inhaltsverzeichnisberschrift"/>
          </w:pPr>
          <w:r w:rsidRPr="00310740">
            <w:t>CONTENT</w:t>
          </w:r>
          <w:r w:rsidR="00627A92" w:rsidRPr="00310740">
            <w:t xml:space="preserve"> </w:t>
          </w:r>
        </w:p>
        <w:p w14:paraId="7FE826CD" w14:textId="77777777" w:rsidR="00DF46AD" w:rsidRDefault="00DF46AD" w:rsidP="00DF46AD"/>
        <w:p w14:paraId="20004B60" w14:textId="77777777" w:rsidR="00DF46AD" w:rsidRDefault="00DF46AD" w:rsidP="00DF46AD"/>
        <w:p w14:paraId="4A0ADE9C" w14:textId="77777777" w:rsidR="00DF46AD" w:rsidRDefault="00DF46AD" w:rsidP="00DF46AD"/>
        <w:p w14:paraId="029B9BCD" w14:textId="77777777" w:rsidR="00DF46AD" w:rsidRDefault="00DF46AD" w:rsidP="00DF46AD"/>
        <w:p w14:paraId="53C0DBF8" w14:textId="23E65D4A" w:rsidR="0003462E" w:rsidRPr="00DF46AD" w:rsidRDefault="00000000" w:rsidP="00DF46AD"/>
        <w:p>
          <w:pPr>
            <w:pStyle w:val="Verzeichnis1"/>
          </w:pPr>
          <w:r>
            <w:fldChar w:fldCharType="begin"/>
          </w:r>
          <w:r>
            <w:instrText xml:space="preserve"> TOC \o "1-2" \h \z \u </w:instrText>
          </w:r>
          <w:r>
            <w:fldChar w:fldCharType="separate"/>
          </w:r>
          <w:hyperlink w:anchor="_Toc000009001" w:history="1">
            <w:r>
              <w:rPr>
                <w:rStyle w:val="Hyperlink"/>
                <w:noProof/>
              </w:rPr>
              <w:t xml:space="preserve">1</w:t>
            </w:r>
            <w:r>
              <w:rPr>
                <w:rStyle w:val="Hyperlink"/>
                <w:noProof/>
              </w:rPr>
              <w:tab/>
            </w:r>
            <w:r>
              <w:rPr>
                <w:rStyle w:val="Hyperlink"/>
                <w:noProof/>
              </w:rPr>
              <w:t xml:space="preserve">PURPOSE</w:t>
            </w:r>
            <w:r>
              <w:rPr>
                <w:rStyle w:val="Hyperlink"/>
                <w:noProof/>
              </w:rPr>
              <w:tab/>
            </w:r>
            <w:r>
              <w:rPr>
                <w:rStyle w:val="Hyperlink"/>
                <w:noProof/>
              </w:rPr>
              <w:t xml:space="preserve">2</w:t>
            </w:r>
          </w:hyperlink>
        </w:p>
        <w:p>
          <w:pPr>
            <w:pStyle w:val="Verzeichnis1"/>
          </w:pPr>
          <w:hyperlink w:anchor="_Toc000009002" w:history="1">
            <w:r>
              <w:rPr>
                <w:rStyle w:val="Hyperlink"/>
                <w:noProof/>
              </w:rPr>
              <w:t xml:space="preserve">2</w:t>
            </w:r>
            <w:r>
              <w:rPr>
                <w:rStyle w:val="Hyperlink"/>
                <w:noProof/>
              </w:rPr>
              <w:tab/>
            </w:r>
            <w:r>
              <w:rPr>
                <w:rStyle w:val="Hyperlink"/>
                <w:noProof/>
              </w:rPr>
              <w:t xml:space="preserve">SCOPE</w:t>
            </w:r>
            <w:r>
              <w:rPr>
                <w:rStyle w:val="Hyperlink"/>
                <w:noProof/>
              </w:rPr>
              <w:tab/>
            </w:r>
            <w:r>
              <w:rPr>
                <w:rStyle w:val="Hyperlink"/>
                <w:noProof/>
              </w:rPr>
              <w:t xml:space="preserve">2</w:t>
            </w:r>
          </w:hyperlink>
        </w:p>
        <w:p>
          <w:pPr>
            <w:pStyle w:val="Verzeichnis1"/>
          </w:pPr>
          <w:hyperlink w:anchor="_Toc000009003" w:history="1">
            <w:r>
              <w:rPr>
                <w:rStyle w:val="Hyperlink"/>
                <w:noProof/>
              </w:rPr>
              <w:t xml:space="preserve">3</w:t>
            </w:r>
            <w:r>
              <w:rPr>
                <w:rStyle w:val="Hyperlink"/>
                <w:noProof/>
              </w:rPr>
              <w:tab/>
            </w:r>
            <w:r>
              <w:rPr>
                <w:rStyle w:val="Hyperlink"/>
                <w:noProof/>
              </w:rPr>
              <w:t xml:space="preserve">RESPONSIBILITES</w:t>
            </w:r>
            <w:r>
              <w:rPr>
                <w:rStyle w:val="Hyperlink"/>
                <w:noProof/>
              </w:rPr>
              <w:tab/>
            </w:r>
            <w:r>
              <w:rPr>
                <w:rStyle w:val="Hyperlink"/>
                <w:noProof/>
              </w:rPr>
              <w:t xml:space="preserve">2</w:t>
            </w:r>
          </w:hyperlink>
        </w:p>
        <w:p>
          <w:pPr>
            <w:pStyle w:val="Verzeichnis1"/>
          </w:pPr>
          <w:hyperlink w:anchor="_Toc000009004" w:history="1">
            <w:r>
              <w:rPr>
                <w:rStyle w:val="Hyperlink"/>
                <w:noProof/>
              </w:rPr>
              <w:t xml:space="preserve">4</w:t>
            </w:r>
            <w:r>
              <w:rPr>
                <w:rStyle w:val="Hyperlink"/>
                <w:noProof/>
              </w:rPr>
              <w:tab/>
            </w:r>
            <w:r>
              <w:rPr>
                <w:rStyle w:val="Hyperlink"/>
                <w:noProof/>
              </w:rPr>
              <w:t xml:space="preserve">REQUIRED TOOLS, MATERIALS, &amp; SAFETY EQUIPMENT</w:t>
            </w:r>
            <w:r>
              <w:rPr>
                <w:rStyle w:val="Hyperlink"/>
                <w:noProof/>
              </w:rPr>
              <w:tab/>
            </w:r>
            <w:r>
              <w:rPr>
                <w:rStyle w:val="Hyperlink"/>
                <w:noProof/>
              </w:rPr>
              <w:t xml:space="preserve">3</w:t>
            </w:r>
          </w:hyperlink>
        </w:p>
        <w:p>
          <w:pPr>
            <w:pStyle w:val="Verzeichnis2"/>
          </w:pPr>
          <w:hyperlink w:anchor="_Toc000009005" w:history="1">
            <w:r>
              <w:rPr>
                <w:rStyle w:val="Hyperlink"/>
                <w:noProof/>
              </w:rPr>
              <w:t xml:space="preserve">4.1</w:t>
            </w:r>
            <w:r>
              <w:rPr>
                <w:rStyle w:val="Hyperlink"/>
                <w:noProof/>
              </w:rPr>
              <w:tab/>
            </w:r>
            <w:r>
              <w:rPr>
                <w:rStyle w:val="Hyperlink"/>
                <w:noProof/>
              </w:rPr>
              <w:t xml:space="preserve">Tools</w:t>
            </w:r>
            <w:r>
              <w:rPr>
                <w:rStyle w:val="Hyperlink"/>
                <w:noProof/>
              </w:rPr>
              <w:tab/>
            </w:r>
            <w:r>
              <w:rPr>
                <w:rStyle w:val="Hyperlink"/>
                <w:noProof/>
              </w:rPr>
              <w:t xml:space="preserve">3</w:t>
            </w:r>
          </w:hyperlink>
        </w:p>
        <w:p>
          <w:pPr>
            <w:pStyle w:val="Verzeichnis2"/>
          </w:pPr>
          <w:hyperlink w:anchor="_Toc000009006" w:history="1">
            <w:r>
              <w:rPr>
                <w:rStyle w:val="Hyperlink"/>
                <w:noProof/>
              </w:rPr>
              <w:t xml:space="preserve">4.2</w:t>
            </w:r>
            <w:r>
              <w:rPr>
                <w:rStyle w:val="Hyperlink"/>
                <w:noProof/>
              </w:rPr>
              <w:tab/>
            </w:r>
            <w:r>
              <w:rPr>
                <w:rStyle w:val="Hyperlink"/>
                <w:noProof/>
              </w:rPr>
              <w:t xml:space="preserve">Materials</w:t>
            </w:r>
            <w:r>
              <w:rPr>
                <w:rStyle w:val="Hyperlink"/>
                <w:noProof/>
              </w:rPr>
              <w:tab/>
            </w:r>
            <w:r>
              <w:rPr>
                <w:rStyle w:val="Hyperlink"/>
                <w:noProof/>
              </w:rPr>
              <w:t xml:space="preserve">3</w:t>
            </w:r>
          </w:hyperlink>
        </w:p>
        <w:p>
          <w:pPr>
            <w:pStyle w:val="Verzeichnis2"/>
          </w:pPr>
          <w:hyperlink w:anchor="_Toc000009007" w:history="1">
            <w:r>
              <w:rPr>
                <w:rStyle w:val="Hyperlink"/>
                <w:noProof/>
              </w:rPr>
              <w:t xml:space="preserve">4.3</w:t>
            </w:r>
            <w:r>
              <w:rPr>
                <w:rStyle w:val="Hyperlink"/>
                <w:noProof/>
              </w:rPr>
              <w:tab/>
            </w:r>
            <w:r>
              <w:rPr>
                <w:rStyle w:val="Hyperlink"/>
                <w:noProof/>
              </w:rPr>
              <w:t xml:space="preserve">Access and security prerequisites</w:t>
            </w:r>
            <w:r>
              <w:rPr>
                <w:rStyle w:val="Hyperlink"/>
                <w:noProof/>
              </w:rPr>
              <w:tab/>
            </w:r>
            <w:r>
              <w:rPr>
                <w:rStyle w:val="Hyperlink"/>
                <w:noProof/>
              </w:rPr>
              <w:t xml:space="preserve">3</w:t>
            </w:r>
          </w:hyperlink>
        </w:p>
        <w:p>
          <w:pPr>
            <w:pStyle w:val="Verzeichnis1"/>
          </w:pPr>
          <w:hyperlink w:anchor="_Toc000009008" w:history="1">
            <w:r>
              <w:rPr>
                <w:rStyle w:val="Hyperlink"/>
                <w:noProof/>
              </w:rPr>
              <w:t xml:space="preserve">5</w:t>
            </w:r>
            <w:r>
              <w:rPr>
                <w:rStyle w:val="Hyperlink"/>
                <w:noProof/>
              </w:rPr>
              <w:tab/>
            </w:r>
            <w:r>
              <w:rPr>
                <w:rStyle w:val="Hyperlink"/>
                <w:noProof/>
              </w:rPr>
              <w:t xml:space="preserve">QUALITY &amp; SAFETY CRITERIA</w:t>
            </w:r>
            <w:r>
              <w:rPr>
                <w:rStyle w:val="Hyperlink"/>
                <w:noProof/>
              </w:rPr>
              <w:tab/>
            </w:r>
            <w:r>
              <w:rPr>
                <w:rStyle w:val="Hyperlink"/>
                <w:noProof/>
              </w:rPr>
              <w:t xml:space="preserve">3</w:t>
            </w:r>
          </w:hyperlink>
        </w:p>
        <w:p>
          <w:pPr>
            <w:pStyle w:val="Verzeichnis2"/>
          </w:pPr>
          <w:hyperlink w:anchor="_Toc000009009" w:history="1">
            <w:r>
              <w:rPr>
                <w:rStyle w:val="Hyperlink"/>
                <w:noProof/>
              </w:rPr>
              <w:t xml:space="preserve">5.1</w:t>
            </w:r>
            <w:r>
              <w:rPr>
                <w:rStyle w:val="Hyperlink"/>
                <w:noProof/>
              </w:rPr>
              <w:tab/>
            </w:r>
            <w:r>
              <w:rPr>
                <w:rStyle w:val="Hyperlink"/>
                <w:noProof/>
              </w:rPr>
              <w:t xml:space="preserve">Data protection precautions</w:t>
            </w:r>
            <w:r>
              <w:rPr>
                <w:rStyle w:val="Hyperlink"/>
                <w:noProof/>
              </w:rPr>
              <w:tab/>
            </w:r>
            <w:r>
              <w:rPr>
                <w:rStyle w:val="Hyperlink"/>
                <w:noProof/>
              </w:rPr>
              <w:t xml:space="preserve">3</w:t>
            </w:r>
          </w:hyperlink>
        </w:p>
        <w:p>
          <w:pPr>
            <w:pStyle w:val="Verzeichnis2"/>
          </w:pPr>
          <w:hyperlink w:anchor="_Toc000009010" w:history="1">
            <w:r>
              <w:rPr>
                <w:rStyle w:val="Hyperlink"/>
                <w:noProof/>
              </w:rPr>
              <w:t xml:space="preserve">5.2</w:t>
            </w:r>
            <w:r>
              <w:rPr>
                <w:rStyle w:val="Hyperlink"/>
                <w:noProof/>
              </w:rPr>
              <w:tab/>
            </w:r>
            <w:r>
              <w:rPr>
                <w:rStyle w:val="Hyperlink"/>
                <w:noProof/>
              </w:rPr>
              <w:t xml:space="preserve">Quality checkpoints</w:t>
            </w:r>
            <w:r>
              <w:rPr>
                <w:rStyle w:val="Hyperlink"/>
                <w:noProof/>
              </w:rPr>
              <w:tab/>
            </w:r>
            <w:r>
              <w:rPr>
                <w:rStyle w:val="Hyperlink"/>
                <w:noProof/>
              </w:rPr>
              <w:t xml:space="preserve">3</w:t>
            </w:r>
          </w:hyperlink>
        </w:p>
        <w:p>
          <w:pPr>
            <w:pStyle w:val="Verzeichnis1"/>
          </w:pPr>
          <w:hyperlink w:anchor="_Toc000009011" w:history="1">
            <w:r>
              <w:rPr>
                <w:rStyle w:val="Hyperlink"/>
                <w:noProof/>
              </w:rPr>
              <w:t xml:space="preserve">6</w:t>
            </w:r>
            <w:r>
              <w:rPr>
                <w:rStyle w:val="Hyperlink"/>
                <w:noProof/>
              </w:rPr>
              <w:tab/>
            </w:r>
            <w:r>
              <w:rPr>
                <w:rStyle w:val="Hyperlink"/>
                <w:noProof/>
              </w:rPr>
              <w:t xml:space="preserve">COMMON ERRORS &amp; TROUBLESHOOTING</w:t>
            </w:r>
            <w:r>
              <w:rPr>
                <w:rStyle w:val="Hyperlink"/>
                <w:noProof/>
              </w:rPr>
              <w:tab/>
            </w:r>
            <w:r>
              <w:rPr>
                <w:rStyle w:val="Hyperlink"/>
                <w:noProof/>
              </w:rPr>
              <w:t xml:space="preserve">4</w:t>
            </w:r>
          </w:hyperlink>
        </w:p>
        <w:p>
          <w:pPr>
            <w:pStyle w:val="Verzeichnis1"/>
          </w:pPr>
          <w:hyperlink w:anchor="_Toc000009012" w:history="1">
            <w:r>
              <w:rPr>
                <w:rStyle w:val="Hyperlink"/>
                <w:noProof/>
              </w:rPr>
              <w:t xml:space="preserve">7</w:t>
            </w:r>
            <w:r>
              <w:rPr>
                <w:rStyle w:val="Hyperlink"/>
                <w:noProof/>
              </w:rPr>
              <w:tab/>
            </w:r>
            <w:r>
              <w:rPr>
                <w:rStyle w:val="Hyperlink"/>
                <w:noProof/>
              </w:rPr>
              <w:t xml:space="preserve">WORK STEPS</w:t>
            </w:r>
            <w:r>
              <w:rPr>
                <w:rStyle w:val="Hyperlink"/>
                <w:noProof/>
              </w:rPr>
              <w:tab/>
            </w:r>
            <w:r>
              <w:rPr>
                <w:rStyle w:val="Hyperlink"/>
                <w:noProof/>
              </w:rPr>
              <w:t xml:space="preserve">5</w:t>
            </w:r>
          </w:hyperlink>
        </w:p>
        <w:p>
          <w:pPr>
            <w:pStyle w:val="Verzeichnis2"/>
          </w:pPr>
          <w:hyperlink w:anchor="_Toc000009013" w:history="1">
            <w:r>
              <w:rPr>
                <w:rStyle w:val="Hyperlink"/>
                <w:noProof/>
              </w:rPr>
              <w:t xml:space="preserve">7.1</w:t>
            </w:r>
            <w:r>
              <w:rPr>
                <w:rStyle w:val="Hyperlink"/>
                <w:noProof/>
              </w:rPr>
              <w:tab/>
            </w:r>
            <w:r>
              <w:rPr>
                <w:rStyle w:val="Hyperlink"/>
                <w:noProof/>
              </w:rPr>
              <w:t xml:space="preserve">Start the tool and sign in</w:t>
            </w:r>
            <w:r>
              <w:rPr>
                <w:rStyle w:val="Hyperlink"/>
                <w:noProof/>
              </w:rPr>
              <w:tab/>
            </w:r>
            <w:r>
              <w:rPr>
                <w:rStyle w:val="Hyperlink"/>
                <w:noProof/>
              </w:rPr>
              <w:t xml:space="preserve">5</w:t>
            </w:r>
          </w:hyperlink>
        </w:p>
        <w:p>
          <w:pPr>
            <w:pStyle w:val="Verzeichnis2"/>
          </w:pPr>
          <w:hyperlink w:anchor="_Toc000009014" w:history="1">
            <w:r>
              <w:rPr>
                <w:rStyle w:val="Hyperlink"/>
                <w:noProof/>
              </w:rPr>
              <w:t xml:space="preserve">7.2</w:t>
            </w:r>
            <w:r>
              <w:rPr>
                <w:rStyle w:val="Hyperlink"/>
                <w:noProof/>
              </w:rPr>
              <w:tab/>
            </w:r>
            <w:r>
              <w:rPr>
                <w:rStyle w:val="Hyperlink"/>
                <w:noProof/>
              </w:rPr>
              <w:t xml:space="preserve">Import events from a file</w:t>
            </w:r>
            <w:r>
              <w:rPr>
                <w:rStyle w:val="Hyperlink"/>
                <w:noProof/>
              </w:rPr>
              <w:tab/>
            </w:r>
            <w:r>
              <w:rPr>
                <w:rStyle w:val="Hyperlink"/>
                <w:noProof/>
              </w:rPr>
              <w:t xml:space="preserve">5</w:t>
            </w:r>
          </w:hyperlink>
        </w:p>
        <w:p>
          <w:pPr>
            <w:pStyle w:val="Verzeichnis2"/>
          </w:pPr>
          <w:hyperlink w:anchor="_Toc000009015" w:history="1">
            <w:r>
              <w:rPr>
                <w:rStyle w:val="Hyperlink"/>
                <w:noProof/>
              </w:rPr>
              <w:t xml:space="preserve">7.3</w:t>
            </w:r>
            <w:r>
              <w:rPr>
                <w:rStyle w:val="Hyperlink"/>
                <w:noProof/>
              </w:rPr>
              <w:tab/>
            </w:r>
            <w:r>
              <w:rPr>
                <w:rStyle w:val="Hyperlink"/>
                <w:noProof/>
              </w:rPr>
              <w:t xml:space="preserve">Sync events from the CycurGUARD backend</w:t>
            </w:r>
            <w:r>
              <w:rPr>
                <w:rStyle w:val="Hyperlink"/>
                <w:noProof/>
              </w:rPr>
              <w:tab/>
            </w:r>
            <w:r>
              <w:rPr>
                <w:rStyle w:val="Hyperlink"/>
                <w:noProof/>
              </w:rPr>
              <w:t xml:space="preserve">6</w:t>
            </w:r>
          </w:hyperlink>
        </w:p>
        <w:p>
          <w:pPr>
            <w:pStyle w:val="Verzeichnis2"/>
          </w:pPr>
          <w:hyperlink w:anchor="_Toc000009016" w:history="1">
            <w:r>
              <w:rPr>
                <w:rStyle w:val="Hyperlink"/>
                <w:noProof/>
              </w:rPr>
              <w:t xml:space="preserve">7.4</w:t>
            </w:r>
            <w:r>
              <w:rPr>
                <w:rStyle w:val="Hyperlink"/>
                <w:noProof/>
              </w:rPr>
              <w:tab/>
            </w:r>
            <w:r>
              <w:rPr>
                <w:rStyle w:val="Hyperlink"/>
                <w:noProof/>
              </w:rPr>
              <w:t xml:space="preserve">Read the Overview</w:t>
            </w:r>
            <w:r>
              <w:rPr>
                <w:rStyle w:val="Hyperlink"/>
                <w:noProof/>
              </w:rPr>
              <w:tab/>
            </w:r>
            <w:r>
              <w:rPr>
                <w:rStyle w:val="Hyperlink"/>
                <w:noProof/>
              </w:rPr>
              <w:t xml:space="preserve">7</w:t>
            </w:r>
          </w:hyperlink>
        </w:p>
        <w:p>
          <w:pPr>
            <w:pStyle w:val="Verzeichnis2"/>
          </w:pPr>
          <w:hyperlink w:anchor="_Toc000009017" w:history="1">
            <w:r>
              <w:rPr>
                <w:rStyle w:val="Hyperlink"/>
                <w:noProof/>
              </w:rPr>
              <w:t xml:space="preserve">7.5</w:t>
            </w:r>
            <w:r>
              <w:rPr>
                <w:rStyle w:val="Hyperlink"/>
                <w:noProof/>
              </w:rPr>
              <w:tab/>
            </w:r>
            <w:r>
              <w:rPr>
                <w:rStyle w:val="Hyperlink"/>
                <w:noProof/>
              </w:rPr>
              <w:t xml:space="preserve">Search and read events</w:t>
            </w:r>
            <w:r>
              <w:rPr>
                <w:rStyle w:val="Hyperlink"/>
                <w:noProof/>
              </w:rPr>
              <w:tab/>
            </w:r>
            <w:r>
              <w:rPr>
                <w:rStyle w:val="Hyperlink"/>
                <w:noProof/>
              </w:rPr>
              <w:t xml:space="preserve">8</w:t>
            </w:r>
          </w:hyperlink>
        </w:p>
        <w:p>
          <w:pPr>
            <w:pStyle w:val="Verzeichnis2"/>
          </w:pPr>
          <w:hyperlink w:anchor="_Toc000009018" w:history="1">
            <w:r>
              <w:rPr>
                <w:rStyle w:val="Hyperlink"/>
                <w:noProof/>
              </w:rPr>
              <w:t xml:space="preserve">7.6</w:t>
            </w:r>
            <w:r>
              <w:rPr>
                <w:rStyle w:val="Hyperlink"/>
                <w:noProof/>
              </w:rPr>
              <w:tab/>
            </w:r>
            <w:r>
              <w:rPr>
                <w:rStyle w:val="Hyperlink"/>
                <w:noProof/>
              </w:rPr>
              <w:t xml:space="preserve">Review vehicles and VIN details</w:t>
            </w:r>
            <w:r>
              <w:rPr>
                <w:rStyle w:val="Hyperlink"/>
                <w:noProof/>
              </w:rPr>
              <w:tab/>
            </w:r>
            <w:r>
              <w:rPr>
                <w:rStyle w:val="Hyperlink"/>
                <w:noProof/>
              </w:rPr>
              <w:t xml:space="preserve">9</w:t>
            </w:r>
          </w:hyperlink>
        </w:p>
        <w:p>
          <w:pPr>
            <w:pStyle w:val="Verzeichnis2"/>
          </w:pPr>
          <w:hyperlink w:anchor="_Toc000009019" w:history="1">
            <w:r>
              <w:rPr>
                <w:rStyle w:val="Hyperlink"/>
                <w:noProof/>
              </w:rPr>
              <w:t xml:space="preserve">7.7</w:t>
            </w:r>
            <w:r>
              <w:rPr>
                <w:rStyle w:val="Hyperlink"/>
                <w:noProof/>
              </w:rPr>
              <w:tab/>
            </w:r>
            <w:r>
              <w:rPr>
                <w:rStyle w:val="Hyperlink"/>
                <w:noProof/>
              </w:rPr>
              <w:t xml:space="preserve">Triage alerts</w:t>
            </w:r>
            <w:r>
              <w:rPr>
                <w:rStyle w:val="Hyperlink"/>
                <w:noProof/>
              </w:rPr>
              <w:tab/>
            </w:r>
            <w:r>
              <w:rPr>
                <w:rStyle w:val="Hyperlink"/>
                <w:noProof/>
              </w:rPr>
              <w:t xml:space="preserve">10</w:t>
            </w:r>
          </w:hyperlink>
        </w:p>
        <w:p>
          <w:pPr>
            <w:pStyle w:val="Verzeichnis2"/>
          </w:pPr>
          <w:hyperlink w:anchor="_Toc000009020" w:history="1">
            <w:r>
              <w:rPr>
                <w:rStyle w:val="Hyperlink"/>
                <w:noProof/>
              </w:rPr>
              <w:t xml:space="preserve">7.8</w:t>
            </w:r>
            <w:r>
              <w:rPr>
                <w:rStyle w:val="Hyperlink"/>
                <w:noProof/>
              </w:rPr>
              <w:tab/>
            </w:r>
            <w:r>
              <w:rPr>
                <w:rStyle w:val="Hyperlink"/>
                <w:noProof/>
              </w:rPr>
              <w:t xml:space="preserve">Work a case</w:t>
            </w:r>
            <w:r>
              <w:rPr>
                <w:rStyle w:val="Hyperlink"/>
                <w:noProof/>
              </w:rPr>
              <w:tab/>
            </w:r>
            <w:r>
              <w:rPr>
                <w:rStyle w:val="Hyperlink"/>
                <w:noProof/>
              </w:rPr>
              <w:t xml:space="preserve">11</w:t>
            </w:r>
          </w:hyperlink>
        </w:p>
        <w:p>
          <w:pPr>
            <w:pStyle w:val="Verzeichnis2"/>
          </w:pPr>
          <w:hyperlink w:anchor="_Toc000009021" w:history="1">
            <w:r>
              <w:rPr>
                <w:rStyle w:val="Hyperlink"/>
                <w:noProof/>
              </w:rPr>
              <w:t xml:space="preserve">7.9</w:t>
            </w:r>
            <w:r>
              <w:rPr>
                <w:rStyle w:val="Hyperlink"/>
                <w:noProof/>
              </w:rPr>
              <w:tab/>
            </w:r>
            <w:r>
              <w:rPr>
                <w:rStyle w:val="Hyperlink"/>
                <w:noProof/>
              </w:rPr>
              <w:t xml:space="preserve">Tune detections, suppression rules and the event catalog</w:t>
            </w:r>
            <w:r>
              <w:rPr>
                <w:rStyle w:val="Hyperlink"/>
                <w:noProof/>
              </w:rPr>
              <w:tab/>
            </w:r>
            <w:r>
              <w:rPr>
                <w:rStyle w:val="Hyperlink"/>
                <w:noProof/>
              </w:rPr>
              <w:t xml:space="preserve">14</w:t>
            </w:r>
          </w:hyperlink>
        </w:p>
        <w:p>
          <w:pPr>
            <w:pStyle w:val="Verzeichnis2"/>
          </w:pPr>
          <w:hyperlink w:anchor="_Toc000009022" w:history="1">
            <w:r>
              <w:rPr>
                <w:rStyle w:val="Hyperlink"/>
                <w:noProof/>
              </w:rPr>
              <w:t xml:space="preserve">7.10</w:t>
            </w:r>
            <w:r>
              <w:rPr>
                <w:rStyle w:val="Hyperlink"/>
                <w:noProof/>
              </w:rPr>
              <w:tab/>
            </w:r>
            <w:r>
              <w:rPr>
                <w:rStyle w:val="Hyperlink"/>
                <w:noProof/>
              </w:rPr>
              <w:t xml:space="preserve">Set up two-step sign-in</w:t>
            </w:r>
            <w:r>
              <w:rPr>
                <w:rStyle w:val="Hyperlink"/>
                <w:noProof/>
              </w:rPr>
              <w:tab/>
            </w:r>
            <w:r>
              <w:rPr>
                <w:rStyle w:val="Hyperlink"/>
                <w:noProof/>
              </w:rPr>
              <w:t xml:space="preserve">15</w:t>
            </w:r>
          </w:hyperlink>
        </w:p>
        <w:p>
          <w:pPr>
            <w:pStyle w:val="Verzeichnis2"/>
          </w:pPr>
          <w:hyperlink w:anchor="_Toc000009023" w:history="1">
            <w:r>
              <w:rPr>
                <w:rStyle w:val="Hyperlink"/>
                <w:noProof/>
              </w:rPr>
              <w:t xml:space="preserve">7.11</w:t>
            </w:r>
            <w:r>
              <w:rPr>
                <w:rStyle w:val="Hyperlink"/>
                <w:noProof/>
              </w:rPr>
              <w:tab/>
            </w:r>
            <w:r>
              <w:rPr>
                <w:rStyle w:val="Hyperlink"/>
                <w:noProof/>
              </w:rPr>
              <w:t xml:space="preserve">Manage users, tokens and sign-in rules</w:t>
            </w:r>
            <w:r>
              <w:rPr>
                <w:rStyle w:val="Hyperlink"/>
                <w:noProof/>
              </w:rPr>
              <w:tab/>
            </w:r>
            <w:r>
              <w:rPr>
                <w:rStyle w:val="Hyperlink"/>
                <w:noProof/>
              </w:rPr>
              <w:t xml:space="preserve">17</w:t>
            </w:r>
          </w:hyperlink>
        </w:p>
        <w:p>
          <w:pPr>
            <w:pStyle w:val="Verzeichnis2"/>
          </w:pPr>
          <w:hyperlink w:anchor="_Toc000009024" w:history="1">
            <w:r>
              <w:rPr>
                <w:rStyle w:val="Hyperlink"/>
                <w:noProof/>
              </w:rPr>
              <w:t xml:space="preserve">7.12</w:t>
            </w:r>
            <w:r>
              <w:rPr>
                <w:rStyle w:val="Hyperlink"/>
                <w:noProof/>
              </w:rPr>
              <w:tab/>
            </w:r>
            <w:r>
              <w:rPr>
                <w:rStyle w:val="Hyperlink"/>
                <w:noProof/>
              </w:rPr>
              <w:t xml:space="preserve">Check the audit log</w:t>
            </w:r>
            <w:r>
              <w:rPr>
                <w:rStyle w:val="Hyperlink"/>
                <w:noProof/>
              </w:rPr>
              <w:tab/>
            </w:r>
            <w:r>
              <w:rPr>
                <w:rStyle w:val="Hyperlink"/>
                <w:noProof/>
              </w:rPr>
              <w:t xml:space="preserve">18</w:t>
            </w:r>
          </w:hyperlink>
        </w:p>
        <w:p>
          <w:pPr>
            <w:pStyle w:val="Verzeichnis2"/>
          </w:pPr>
          <w:hyperlink w:anchor="_Toc000009025" w:history="1">
            <w:r>
              <w:rPr>
                <w:rStyle w:val="Hyperlink"/>
                <w:noProof/>
              </w:rPr>
              <w:t xml:space="preserve">7.13</w:t>
            </w:r>
            <w:r>
              <w:rPr>
                <w:rStyle w:val="Hyperlink"/>
                <w:noProof/>
              </w:rPr>
              <w:tab/>
            </w:r>
            <w:r>
              <w:rPr>
                <w:rStyle w:val="Hyperlink"/>
                <w:noProof/>
              </w:rPr>
              <w:t xml:space="preserve">Back up and remove data</w:t>
            </w:r>
            <w:r>
              <w:rPr>
                <w:rStyle w:val="Hyperlink"/>
                <w:noProof/>
              </w:rPr>
              <w:tab/>
            </w:r>
            <w:r>
              <w:rPr>
                <w:rStyle w:val="Hyperlink"/>
                <w:noProof/>
              </w:rPr>
              <w:t xml:space="preserve">19</w:t>
            </w:r>
          </w:hyperlink>
        </w:p>
        <w:p>
          <w:pPr>
            <w:pStyle w:val="Verzeichnis1"/>
          </w:pPr>
          <w:hyperlink w:anchor="_Toc000009026" w:history="1">
            <w:r>
              <w:rPr>
                <w:rStyle w:val="Hyperlink"/>
                <w:noProof/>
              </w:rPr>
              <w:t xml:space="preserve">8</w:t>
            </w:r>
            <w:r>
              <w:rPr>
                <w:rStyle w:val="Hyperlink"/>
                <w:noProof/>
              </w:rPr>
              <w:tab/>
            </w:r>
            <w:r>
              <w:rPr>
                <w:rStyle w:val="Hyperlink"/>
                <w:noProof/>
              </w:rPr>
              <w:t xml:space="preserve">FLOW</w:t>
            </w:r>
            <w:r>
              <w:rPr>
                <w:rStyle w:val="Hyperlink"/>
                <w:noProof/>
              </w:rPr>
              <w:tab/>
            </w:r>
            <w:r>
              <w:rPr>
                <w:rStyle w:val="Hyperlink"/>
                <w:noProof/>
              </w:rPr>
              <w:t xml:space="preserve">20</w:t>
            </w:r>
          </w:hyperlink>
        </w:p>
        <w:p>
          <w:pPr>
            <w:pStyle w:val="Verzeichnis2"/>
          </w:pPr>
          <w:hyperlink w:anchor="_Toc000009027" w:history="1">
            <w:r>
              <w:rPr>
                <w:rStyle w:val="Hyperlink"/>
                <w:noProof/>
              </w:rPr>
              <w:t xml:space="preserve">8.1</w:t>
            </w:r>
            <w:r>
              <w:rPr>
                <w:rStyle w:val="Hyperlink"/>
                <w:noProof/>
              </w:rPr>
              <w:tab/>
            </w:r>
            <w:r>
              <w:rPr>
                <w:rStyle w:val="Hyperlink"/>
                <w:noProof/>
              </w:rPr>
              <w:t xml:space="preserve">PROCESS FLOW OVERVIEW</w:t>
            </w:r>
            <w:r>
              <w:rPr>
                <w:rStyle w:val="Hyperlink"/>
                <w:noProof/>
              </w:rPr>
              <w:tab/>
            </w:r>
            <w:r>
              <w:rPr>
                <w:rStyle w:val="Hyperlink"/>
                <w:noProof/>
              </w:rPr>
              <w:t xml:space="preserve">20</w:t>
            </w:r>
          </w:hyperlink>
        </w:p>
        <w:p>
          <w:pPr>
            <w:pStyle w:val="Verzeichnis1"/>
          </w:pPr>
          <w:hyperlink w:anchor="_Toc000009029" w:history="1">
            <w:r>
              <w:rPr>
                <w:rStyle w:val="Hyperlink"/>
                <w:noProof/>
              </w:rPr>
              <w:t xml:space="preserve">9</w:t>
            </w:r>
            <w:r>
              <w:rPr>
                <w:rStyle w:val="Hyperlink"/>
                <w:noProof/>
              </w:rPr>
              <w:tab/>
            </w:r>
            <w:r>
              <w:rPr>
                <w:rStyle w:val="Hyperlink"/>
                <w:noProof/>
              </w:rPr>
              <w:t xml:space="preserve">DOCUMENTS &amp; RECORDS</w:t>
            </w:r>
            <w:r>
              <w:rPr>
                <w:rStyle w:val="Hyperlink"/>
                <w:noProof/>
              </w:rPr>
              <w:tab/>
            </w:r>
            <w:r>
              <w:rPr>
                <w:rStyle w:val="Hyperlink"/>
                <w:noProof/>
              </w:rPr>
              <w:t xml:space="preserve">20</w:t>
            </w:r>
          </w:hyperlink>
        </w:p>
        <w:p>
          <w:pPr>
            <w:pStyle w:val="Verzeichnis1"/>
          </w:pPr>
          <w:hyperlink w:anchor="_Toc000009030" w:history="1">
            <w:r>
              <w:rPr>
                <w:rStyle w:val="Hyperlink"/>
                <w:noProof/>
              </w:rPr>
              <w:t xml:space="preserve">10</w:t>
            </w:r>
            <w:r>
              <w:rPr>
                <w:rStyle w:val="Hyperlink"/>
                <w:noProof/>
              </w:rPr>
              <w:tab/>
            </w:r>
            <w:r>
              <w:rPr>
                <w:rStyle w:val="Hyperlink"/>
                <w:noProof/>
              </w:rPr>
              <w:t xml:space="preserve">REVISION HISTORY</w:t>
            </w:r>
            <w:r>
              <w:rPr>
                <w:rStyle w:val="Hyperlink"/>
                <w:noProof/>
              </w:rPr>
              <w:tab/>
            </w:r>
            <w:r>
              <w:rPr>
                <w:rStyle w:val="Hyperlink"/>
                <w:noProof/>
              </w:rPr>
              <w:t xml:space="preserve">21</w:t>
            </w:r>
          </w:hyperlink>
          <w:r>
            <w:fldChar w:fldCharType="end"/>
          </w:r>
        </w:p>
      </w:sdtContent>
    </w:sdt>
    <w:p>
      <w:pPr>
        <w:pStyle w:val="berschrift1"/>
      </w:pPr>
      <w:bookmarkStart w:id="9001" w:name="_Toc000009001"/>
      <w:r>
        <w:t xml:space="preserve">PURPOSE</w:t>
      </w:r>
      <w:bookmarkEnd w:id="9001"/>
    </w:p>
    <w:p>
      <w:pPr>
        <w:spacing w:before="0" w:after="100" w:line="276" w:lineRule="auto"/>
        <w:ind w:left="-397" w:right="-680"/>
      </w:pPr>
      <w:r>
        <w:t xml:space="preserve">This manual explains how to work with </w:t>
      </w:r>
      <w:r>
        <w:rPr>
          <w:b/>
        </w:rPr>
        <w:t xml:space="preserve">Fleet IDS SIEM</w:t>
      </w:r>
      <w:r>
        <w:t xml:space="preserve">, the local tool for analysing the events that the in-vehicle IDS uploads to the CycurGUARD backend. It covers loading events, finding what matters, handling alerts as cases, reading vehicle details decoded from the VIN, and administering users and the audit trail.</w:t>
      </w:r>
    </w:p>
    <w:p>
      <w:pPr>
        <w:spacing w:before="0" w:after="100" w:line="276" w:lineRule="auto"/>
        <w:ind w:left="-397" w:right="-680"/>
      </w:pPr>
      <w:r>
        <w:t xml:space="preserve">The intended outcome is that every analyst handles IDS events the same way, that each finding can be traced to the events and the person behind it, and that no event data leaves the analyst’s computer.</w:t>
      </w:r>
    </w:p>
    <w:p>
      <w:pPr>
        <w:spacing w:line="276" w:lineRule="auto"/>
        <w:ind w:left="-397" w:right="-680"/>
      </w:pPr>
    </w:p>
    <w:p>
      <w:pPr>
        <w:pStyle w:val="berschrift1"/>
      </w:pPr>
      <w:bookmarkStart w:id="9002" w:name="_Toc000009002"/>
      <w:r>
        <w:t xml:space="preserve">SCOPE</w:t>
      </w:r>
      <w:bookmarkEnd w:id="9002"/>
    </w:p>
    <w:p>
      <w:pPr>
        <w:spacing w:before="0" w:after="100" w:line="276" w:lineRule="auto"/>
        <w:ind w:left="-397" w:right="-680"/>
      </w:pPr>
      <w:r>
        <w:t xml:space="preserve">Applies to everyone who analyses vehicle IDS events with Fleet IDS SIEM: analysts, viewers and administrators of the vehicle cybersecurity team. The tool runs on the user’s own computer (</w:t>
      </w:r>
      <w:r>
        <w:rPr>
          <w:b/>
        </w:rPr>
        <w:t xml:space="preserve">http://localhost:8765</w:t>
      </w:r>
      <w:r>
        <w:t xml:space="preserve">) and reads events from an export file or from the CycurGUARD backend.</w:t>
      </w:r>
    </w:p>
    <w:p>
      <w:pPr>
        <w:spacing w:before="0" w:after="100" w:line="276" w:lineRule="auto"/>
        <w:ind w:left="-397" w:right="-680"/>
      </w:pPr>
      <w:r>
        <w:t xml:space="preserve">Vehicle details are decoded with the INEOS Grenadier VIN decoder, Corp-P2-ENG-0128 rev 001 (EU/ROW and US/Canada variants).</w:t>
      </w:r>
    </w:p>
    <w:p>
      <w:pPr>
        <w:spacing w:before="0" w:after="100" w:line="276" w:lineRule="auto"/>
        <w:ind w:left="-397" w:right="-680"/>
      </w:pPr>
      <w:r>
        <w:rPr>
          <w:b/>
        </w:rPr>
        <w:t xml:space="preserve">Not covered:</w:t>
      </w:r>
      <w:r>
        <w:t xml:space="preserve"> operating the CycurGUARD backend, the TARA itself, and the vehicle IDS configuration.</w:t>
      </w:r>
    </w:p>
    <w:p>
      <w:pPr>
        <w:spacing w:line="276" w:lineRule="auto"/>
        <w:ind w:left="-397" w:right="-680"/>
      </w:pPr>
    </w:p>
    <w:p>
      <w:pPr>
        <w:pStyle w:val="berschrift1"/>
      </w:pPr>
      <w:bookmarkStart w:id="9003" w:name="_Toc000009003"/>
      <w:r>
        <w:t xml:space="preserve">RESPONSIBILITES</w:t>
      </w:r>
      <w:bookmarkEnd w:id="9003"/>
    </w:p>
    <w:p>
      <w:pPr>
        <w:spacing w:before="0" w:after="100" w:line="276" w:lineRule="auto"/>
        <w:ind w:left="-397" w:right="-680"/>
      </w:pPr>
      <w:r>
        <w:t xml:space="preserve">Each person works under one of three roles. The role is set by an administrator and decides what the tool allows. An API token can only reduce, never raise, the access of its owner.</w:t>
      </w:r>
    </w:p>
    <w:tbl>
      <w:tblPr>
        <w:tblStyle w:val="Tabellenraster"/>
        <w:tblW w:w="10207" w:type="dxa"/>
        <w:tblInd w:w="-431" w:type="dxa"/>
        <w:tblLook w:val="04A0" w:firstRow="1" w:lastRow="0" w:firstColumn="1" w:lastColumn="0" w:noHBand="0" w:noVBand="1"/>
      </w:tblPr>
      <w:tblGrid>
        <w:gridCol w:w="1941"/>
        <w:gridCol w:w="8266"/>
      </w:tblGrid>
      <w:tr>
        <w:trPr>
          <w:tblHeader/>
        </w:trPr>
        <w:tc>
          <w:tcPr>
            <w:tcW w:w="1941"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Role</w:t>
            </w:r>
          </w:p>
        </w:tc>
        <w:tc>
          <w:tcPr>
            <w:tcW w:w="8266"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Responsibility</w:t>
            </w:r>
          </w:p>
        </w:tc>
      </w:tr>
      <w:tr>
        <w:trPr>
          <w:cantSplit/>
        </w:trPr>
        <w:tc>
          <w:tcPr>
            <w:tcW w:w="1941"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Viewer</w:t>
            </w:r>
          </w:p>
        </w:tc>
        <w:tc>
          <w:tcPr>
            <w:tcW w:w="8266"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Read events, vehicles, alerts and cases. Cannot change anything.</w:t>
            </w:r>
          </w:p>
        </w:tc>
      </w:tr>
      <w:tr>
        <w:trPr>
          <w:cantSplit/>
        </w:trPr>
        <w:tc>
          <w:tcPr>
            <w:tcW w:w="1941"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Analyst</w:t>
            </w:r>
          </w:p>
        </w:tc>
        <w:tc>
          <w:tcPr>
            <w:tcW w:w="8266"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Everything a viewer can do. Triage alerts, create and work cases and case reports, add notes, create suppression rules, classify event types, import data, run detections.</w:t>
            </w:r>
          </w:p>
        </w:tc>
      </w:tr>
      <w:tr>
        <w:trPr>
          <w:cantSplit/>
        </w:trPr>
        <w:tc>
          <w:tcPr>
            <w:tcW w:w="1941"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Case owner</w:t>
            </w:r>
          </w:p>
        </w:tc>
        <w:tc>
          <w:tcPr>
            <w:tcW w:w="8266"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The analyst named on a case. Drives it to closure, keeps the checklist current and records the findings and the decision.</w:t>
            </w:r>
          </w:p>
        </w:tc>
      </w:tr>
      <w:tr>
        <w:trPr>
          <w:cantSplit/>
        </w:trPr>
        <w:tc>
          <w:tcPr>
            <w:tcW w:w="1941" w:type="dxa"/>
            <w:hideMark/>
          </w:tcPr>
          <w:p>
            <w:pPr>
              <w:spacing w:line="276" w:lineRule="auto"/>
              <w:rPr>
                <w:rFonts w:ascii="Arial" w:hAnsi="Arial" w:cs="Arial"/>
                <w:sz w:val="22"/>
                <w:szCs w:val="22"/>
                <w:lang w:val="en-GB"/>
              </w:rPr>
            </w:pPr>
            <w:r>
              <w:rPr>
                <w:rFonts w:ascii="Arial" w:hAnsi="Arial" w:cs="Arial"/>
                <w:lang w:val="en-GB"/>
                <w:sz w:val="20"/>
                <w:szCs w:val="20"/>
              </w:rPr>
              <w:t xml:space="preserve">Administrator</w:t>
            </w:r>
          </w:p>
        </w:tc>
        <w:tc>
          <w:tcPr>
            <w:tcW w:w="8266" w:type="dxa"/>
            <w:hideMark/>
          </w:tcPr>
          <w:p>
            <w:pPr>
              <w:spacing w:line="276" w:lineRule="auto"/>
              <w:rPr>
                <w:rFonts w:ascii="Arial" w:hAnsi="Arial" w:cs="Arial"/>
                <w:sz w:val="22"/>
                <w:szCs w:val="22"/>
                <w:lang w:val="en-GB"/>
              </w:rPr>
            </w:pPr>
            <w:r>
              <w:rPr>
                <w:rFonts w:ascii="Arial" w:hAnsi="Arial" w:cs="Arial"/>
                <w:lang w:val="en-GB"/>
                <w:sz w:val="20"/>
                <w:szCs w:val="20"/>
              </w:rPr>
              <w:t xml:space="preserve">Everything an analyst can do. Manages users, sign-in and token rules, the backend connection, detection rules and data deletion. Reads and verifies the audit log.</w:t>
            </w:r>
          </w:p>
        </w:tc>
      </w:tr>
    </w:tbl>
    <w:p>
      <w:pPr>
        <w:spacing w:line="276" w:lineRule="auto"/>
        <w:ind w:left="-397" w:right="-680"/>
      </w:pPr>
    </w:p>
    <w:p>
      <w:pPr>
        <w:pStyle w:val="berschrift1"/>
      </w:pPr>
      <w:bookmarkStart w:id="9004" w:name="_Toc000009004"/>
      <w:r>
        <w:t xml:space="preserve">REQUIRED TOOLS, MATERIALS, &amp; SAFETY EQUIPMENT</w:t>
      </w:r>
      <w:bookmarkEnd w:id="9004"/>
    </w:p>
    <w:p>
      <w:pPr>
        <w:pStyle w:val="berschrift2"/>
        <w:rPr>
          <w:lang w:val="en-GB"/>
        </w:rPr>
        <w:ind w:left="133" w:hanging="757"/>
      </w:pPr>
      <w:bookmarkStart w:id="9005" w:name="_Toc000009005"/>
      <w:r>
        <w:rPr>
          <w:bCs/>
          <w:lang w:val="en-GB"/>
        </w:rPr>
        <w:t xml:space="preserve">Tools</w:t>
      </w:r>
      <w:bookmarkEnd w:id="9005"/>
    </w:p>
    <w:p>
      <w:pPr>
        <w:spacing w:before="0" w:after="80" w:line="276" w:lineRule="auto"/>
        <w:ind w:left="-397" w:right="-680"/>
      </w:pPr>
      <w:r>
        <w:t xml:space="preserve">A computer with </w:t>
      </w:r>
      <w:r>
        <w:rPr>
          <w:b/>
        </w:rPr>
        <w:t xml:space="preserve">Python 3.9 or newer</w:t>
      </w:r>
      <w:r>
        <w:t xml:space="preserve"> and a current web browser. The tool uses only the Python standard library. Excel (.xlsx) import additionally needs the </w:t>
      </w:r>
      <w:r>
        <w:rPr>
          <w:b/>
        </w:rPr>
        <w:t xml:space="preserve">openpyxl</w:t>
      </w:r>
      <w:r>
        <w:t xml:space="preserve"> package (</w:t>
      </w:r>
      <w:r>
        <w:rPr>
          <w:b/>
        </w:rPr>
        <w:t xml:space="preserve">pip install -r requirements.txt</w:t>
      </w:r>
      <w:r>
        <w:t xml:space="preserve">).</w:t>
      </w:r>
    </w:p>
    <w:p>
      <w:pPr>
        <w:pStyle w:val="berschrift2"/>
        <w:rPr>
          <w:lang w:val="en-GB"/>
        </w:rPr>
        <w:ind w:left="133" w:hanging="757"/>
      </w:pPr>
      <w:bookmarkStart w:id="9006" w:name="_Toc000009006"/>
      <w:r>
        <w:rPr>
          <w:bCs/>
          <w:lang w:val="en-GB"/>
        </w:rPr>
        <w:t xml:space="preserve">Materials</w:t>
      </w:r>
      <w:bookmarkEnd w:id="9006"/>
    </w:p>
    <w:p>
      <w:pPr>
        <w:spacing w:before="0" w:after="40" w:line="276" w:lineRule="auto"/>
        <w:ind w:left="-397" w:right="-680"/>
      </w:pPr>
      <w:r>
        <w:t xml:space="preserve">One of the following, plus the VIN decoder document if you want to check how a VIN was read:</w:t>
      </w:r>
    </w:p>
    <w:p>
      <w:pPr>
        <w:spacing w:before="0" w:after="40" w:line="276" w:lineRule="auto"/>
        <w:ind w:left="-37" w:right="-680" w:hanging="360"/>
      </w:pPr>
      <w:r>
        <w:t xml:space="preserve">•</w:t>
        <w:tab/>
        <w:t xml:space="preserve">an event export from the backend (CSV, Excel or JSON), or</w:t>
      </w:r>
    </w:p>
    <w:p>
      <w:pPr>
        <w:spacing w:before="0" w:after="40" w:line="276" w:lineRule="auto"/>
        <w:ind w:left="-37" w:right="-680" w:hanging="360"/>
      </w:pPr>
      <w:r>
        <w:t xml:space="preserve">•</w:t>
        <w:tab/>
        <w:t xml:space="preserve">the backend address and an API token with view permission for reports (set up by an administrator).</w:t>
      </w:r>
    </w:p>
    <w:p>
      <w:pPr>
        <w:spacing w:before="0" w:after="40" w:line="276" w:lineRule="auto"/>
        <w:ind w:left="-37" w:right="-680" w:hanging="360"/>
      </w:pPr>
      <w:r>
        <w:t xml:space="preserve">•</w:t>
        <w:tab/>
        <w:t xml:space="preserve">INEOS Grenadier VIN Decoder Global, Corp-P2-ENG-0128 rev 001.</w:t>
      </w:r>
    </w:p>
    <w:p>
      <w:pPr>
        <w:pStyle w:val="berschrift2"/>
        <w:rPr>
          <w:lang w:val="en-GB"/>
        </w:rPr>
        <w:ind w:left="133" w:hanging="757"/>
      </w:pPr>
      <w:bookmarkStart w:id="9007" w:name="_Toc000009007"/>
      <w:r>
        <w:rPr>
          <w:bCs/>
          <w:lang w:val="en-GB"/>
        </w:rPr>
        <w:t xml:space="preserve">Access and security prerequisites</w:t>
      </w:r>
      <w:bookmarkEnd w:id="9007"/>
    </w:p>
    <w:p>
      <w:pPr>
        <w:spacing w:before="0" w:after="40" w:line="276" w:lineRule="auto"/>
        <w:ind w:left="-37" w:right="-680" w:hanging="360"/>
      </w:pPr>
      <w:r>
        <w:t xml:space="preserve">•</w:t>
        <w:tab/>
        <w:t xml:space="preserve">A personal account. Ask an administrator to create it; never share one account.</w:t>
      </w:r>
    </w:p>
    <w:p>
      <w:pPr>
        <w:spacing w:before="0" w:after="40" w:line="276" w:lineRule="auto"/>
        <w:ind w:left="-37" w:right="-680" w:hanging="360"/>
      </w:pPr>
      <w:r>
        <w:t xml:space="preserve">•</w:t>
        <w:tab/>
        <w:t xml:space="preserve">A computer that only you can use, because events contain VINs and the database file </w:t>
      </w:r>
      <w:r>
        <w:rPr>
          <w:b/>
        </w:rPr>
        <w:t xml:space="preserve">data/siem.db</w:t>
      </w:r>
      <w:r>
        <w:t xml:space="preserve"> holds all data and the backend token.</w:t>
      </w:r>
    </w:p>
    <w:p>
      <w:pPr>
        <w:spacing w:before="0" w:after="40" w:line="276" w:lineRule="auto"/>
        <w:ind w:left="-37" w:right="-680" w:hanging="360"/>
      </w:pPr>
      <w:r>
        <w:t xml:space="preserve">•</w:t>
        <w:tab/>
        <w:t xml:space="preserve">The tool must stay on this computer. Do not expose its port to a network.</w:t>
      </w:r>
    </w:p>
    <w:p>
      <w:pPr>
        <w:pStyle w:val="berschrift1"/>
      </w:pPr>
      <w:bookmarkStart w:id="9008" w:name="_Toc000009008"/>
      <w:r>
        <w:t xml:space="preserve">QUALITY &amp; SAFETY CRITERIA</w:t>
      </w:r>
      <w:bookmarkEnd w:id="9008"/>
    </w:p>
    <w:p>
      <w:pPr>
        <w:pStyle w:val="berschrift2"/>
        <w:rPr>
          <w:lang w:val="en-GB"/>
        </w:rPr>
        <w:ind w:left="133" w:hanging="757"/>
      </w:pPr>
      <w:bookmarkStart w:id="9009" w:name="_Toc000009009"/>
      <w:r>
        <w:rPr>
          <w:bCs/>
          <w:lang w:val="en-GB"/>
        </w:rPr>
        <w:t xml:space="preserve">Data protection precautions</w:t>
      </w:r>
      <w:bookmarkEnd w:id="9009"/>
    </w:p>
    <w:p>
      <w:pPr>
        <w:spacing w:before="0" w:after="40" w:line="276" w:lineRule="auto"/>
        <w:ind w:left="-37" w:right="-680" w:hanging="360"/>
      </w:pPr>
      <w:r>
        <w:t xml:space="preserve">•</w:t>
        <w:tab/>
        <w:t xml:space="preserve">The tool listens on 127.0.0.1 only and uses plain HTTP, which is safe on localhost and not on a network.</w:t>
      </w:r>
    </w:p>
    <w:p>
      <w:pPr>
        <w:spacing w:before="0" w:after="40" w:line="276" w:lineRule="auto"/>
        <w:ind w:left="-37" w:right="-680" w:hanging="360"/>
      </w:pPr>
      <w:r>
        <w:t xml:space="preserve">•</w:t>
        <w:tab/>
        <w:t xml:space="preserve">The database file is readable by you only. Keep it that way and do not copy it to shared drives.</w:t>
      </w:r>
    </w:p>
    <w:p>
      <w:pPr>
        <w:spacing w:before="0" w:after="40" w:line="276" w:lineRule="auto"/>
        <w:ind w:left="-37" w:right="-680" w:hanging="360"/>
      </w:pPr>
      <w:r>
        <w:t xml:space="preserve">•</w:t>
        <w:tab/>
        <w:t xml:space="preserve">The backend token is stored in the database in clear text because it must be sent to the backend. Use a token with the least permission that works.</w:t>
      </w:r>
    </w:p>
    <w:p>
      <w:pPr>
        <w:spacing w:before="0" w:after="40" w:line="276" w:lineRule="auto"/>
        <w:ind w:left="-37" w:right="-680" w:hanging="360"/>
      </w:pPr>
      <w:r>
        <w:t xml:space="preserve">•</w:t>
        <w:tab/>
        <w:t xml:space="preserve">An API token is shown once when you create it. Copy it immediately and store it in a password manager.</w:t>
      </w:r>
    </w:p>
    <w:p>
      <w:pPr>
        <w:spacing w:before="0" w:after="40" w:line="276" w:lineRule="auto"/>
        <w:ind w:left="-37" w:right="-680" w:hanging="360"/>
      </w:pPr>
      <w:r>
        <w:t xml:space="preserve">•</w:t>
        <w:tab/>
        <w:t xml:space="preserve">Exports (Events → Export CSV, Audit log → Export CSV) contain VINs and user names. Handle them as confidential.</w:t>
      </w:r>
    </w:p>
    <w:p>
      <w:pPr>
        <w:pStyle w:val="berschrift2"/>
        <w:rPr>
          <w:lang w:val="en-GB"/>
        </w:rPr>
        <w:ind w:left="133" w:hanging="757"/>
      </w:pPr>
      <w:bookmarkStart w:id="9010" w:name="_Toc000009010"/>
      <w:r>
        <w:rPr>
          <w:bCs/>
          <w:lang w:val="en-GB"/>
        </w:rPr>
        <w:t xml:space="preserve">Quality checkpoints</w:t>
      </w:r>
      <w:bookmarkEnd w:id="9010"/>
    </w:p>
    <w:p>
      <w:pPr>
        <w:spacing w:before="0" w:after="40" w:line="276" w:lineRule="auto"/>
        <w:ind w:left="-37" w:right="-680" w:hanging="360"/>
      </w:pPr>
      <w:r>
        <w:t xml:space="preserve">•</w:t>
        <w:tab/>
        <w:t xml:space="preserve">After every import, open </w:t>
      </w:r>
      <w:r>
        <w:rPr>
          <w:b/>
        </w:rPr>
        <w:t xml:space="preserve">Data → Data quality</w:t>
      </w:r>
      <w:r>
        <w:t xml:space="preserve"> and read the four figures: no timestamp, implausible timestamp, no ECU name, VINs that are not 17 characters.</w:t>
      </w:r>
    </w:p>
    <w:p>
      <w:pPr>
        <w:spacing w:before="0" w:after="40" w:line="276" w:lineRule="auto"/>
        <w:ind w:left="-37" w:right="-680" w:hanging="360"/>
      </w:pPr>
      <w:r>
        <w:t xml:space="preserve">•</w:t>
        <w:tab/>
        <w:t xml:space="preserve">Times are always UTC. Events without a plausible time still count everywhere but are missing from timelines and date ranges.</w:t>
      </w:r>
    </w:p>
    <w:p>
      <w:pPr>
        <w:spacing w:before="0" w:after="40" w:line="276" w:lineRule="auto"/>
        <w:ind w:left="-37" w:right="-680" w:hanging="360"/>
      </w:pPr>
      <w:r>
        <w:t xml:space="preserve">•</w:t>
        <w:tab/>
        <w:t xml:space="preserve">Classify new event types in the </w:t>
      </w:r>
      <w:r>
        <w:rPr>
          <w:b/>
        </w:rPr>
        <w:t xml:space="preserve">Event catalog</w:t>
      </w:r>
      <w:r>
        <w:t xml:space="preserve">, because the severity of an event type drives alerts and risk.</w:t>
      </w:r>
    </w:p>
    <w:p>
      <w:pPr>
        <w:spacing w:before="0" w:after="40" w:line="276" w:lineRule="auto"/>
        <w:ind w:left="-37" w:right="-680" w:hanging="360"/>
      </w:pPr>
      <w:r>
        <w:t xml:space="preserve">•</w:t>
        <w:tab/>
        <w:t xml:space="preserve">Before the first backend sync, use </w:t>
      </w:r>
      <w:r>
        <w:rPr>
          <w:b/>
        </w:rPr>
        <w:t xml:space="preserve">Check connection</w:t>
      </w:r>
      <w:r>
        <w:t xml:space="preserve"> and compare the three sample events with the backend.</w:t>
      </w:r>
    </w:p>
    <w:p>
      <w:pPr>
        <w:spacing w:before="0" w:after="40" w:line="276" w:lineRule="auto"/>
        <w:ind w:left="-37" w:right="-680" w:hanging="360"/>
      </w:pPr>
      <w:r>
        <w:t xml:space="preserve">•</w:t>
        <w:tab/>
        <w:t xml:space="preserve">On a vehicle page, read the VIN check digit verdict and any “Not in the decoder” note before relying on the decoded details.</w:t>
      </w:r>
    </w:p>
    <w:p>
      <w:pPr>
        <w:spacing w:before="0" w:after="40" w:line="276" w:lineRule="auto"/>
        <w:ind w:left="-37" w:right="-680" w:hanging="360"/>
      </w:pPr>
      <w:r>
        <w:t xml:space="preserve">•</w:t>
        <w:tab/>
        <w:t xml:space="preserve">Verify the audit log regularly with </w:t>
      </w:r>
      <w:r>
        <w:rPr>
          <w:b/>
        </w:rPr>
        <w:t xml:space="preserve">Verify integrity</w:t>
      </w:r>
      <w:r>
        <w:t xml:space="preserve"> (administrators).</w:t>
      </w:r>
    </w:p>
    <w:p>
      <w:pPr>
        <w:pStyle w:val="berschrift1"/>
      </w:pPr>
      <w:bookmarkStart w:id="9011" w:name="_Toc000009011"/>
      <w:r>
        <w:t xml:space="preserve">COMMON ERRORS &amp; TROUBLESHOOTING</w:t>
      </w:r>
      <w:bookmarkEnd w:id="9011"/>
    </w:p>
    <w:tbl>
      <w:tblPr>
        <w:tblStyle w:val="Tabellenraster"/>
        <w:tblW w:w="10207" w:type="dxa"/>
        <w:tblInd w:w="-431" w:type="dxa"/>
        <w:tblLook w:val="04A0" w:firstRow="1" w:lastRow="0" w:firstColumn="1" w:lastColumn="0" w:noHBand="0" w:noVBand="1"/>
      </w:tblPr>
      <w:tblGrid>
        <w:gridCol w:w="2700"/>
        <w:gridCol w:w="3300"/>
        <w:gridCol w:w="4207"/>
      </w:tblGrid>
      <w:tr>
        <w:trPr>
          <w:tblHeader/>
        </w:trPr>
        <w:tc>
          <w:tcPr>
            <w:tcW w:w="2700" w:type="dxa"/>
            <w:shd w:val="clear" w:color="auto" w:fill="E8E8E8" w:themeFill="background2"/>
            <w:hideMark/>
          </w:tcPr>
          <w:p>
            <w:pPr>
              <w:spacing w:line="276" w:lineRule="auto"/>
              <w:rPr>
                <w:rFonts w:ascii="Arial" w:hAnsi="Arial" w:cs="Arial"/>
                <w:sz w:val="22"/>
                <w:szCs w:val="22"/>
                <w:lang w:val="en-GB"/>
              </w:rPr>
            </w:pPr>
            <w:r>
              <w:rPr>
                <w:rFonts w:ascii="Arial" w:hAnsi="Arial" w:cs="Arial"/>
                <w:lang w:val="en-GB"/>
                <w:sz w:val="20"/>
                <w:szCs w:val="20"/>
              </w:rPr>
              <w:t xml:space="preserve">Problem</w:t>
            </w:r>
          </w:p>
        </w:tc>
        <w:tc>
          <w:tcPr>
            <w:tcW w:w="3300" w:type="dxa"/>
            <w:shd w:val="clear" w:color="auto" w:fill="E8E8E8" w:themeFill="background2"/>
            <w:hideMark/>
          </w:tcPr>
          <w:p>
            <w:pPr>
              <w:spacing w:line="276" w:lineRule="auto"/>
              <w:rPr>
                <w:rFonts w:ascii="Arial" w:hAnsi="Arial" w:cs="Arial"/>
                <w:sz w:val="22"/>
                <w:szCs w:val="22"/>
                <w:lang w:val="en-GB"/>
              </w:rPr>
            </w:pPr>
            <w:r>
              <w:rPr>
                <w:rFonts w:ascii="Arial" w:hAnsi="Arial" w:cs="Arial"/>
                <w:lang w:val="en-GB"/>
                <w:sz w:val="20"/>
                <w:szCs w:val="20"/>
              </w:rPr>
              <w:t xml:space="preserve">Likely cause</w:t>
            </w:r>
          </w:p>
        </w:tc>
        <w:tc>
          <w:tcPr>
            <w:tcW w:w="4207" w:type="dxa"/>
            <w:shd w:val="clear" w:color="auto" w:fill="E8E8E8" w:themeFill="background2"/>
            <w:hideMark/>
          </w:tcPr>
          <w:p>
            <w:pPr>
              <w:spacing w:line="276" w:lineRule="auto"/>
              <w:rPr>
                <w:rFonts w:ascii="Arial" w:hAnsi="Arial" w:cs="Arial"/>
                <w:sz w:val="22"/>
                <w:szCs w:val="22"/>
                <w:lang w:val="en-GB"/>
              </w:rPr>
            </w:pPr>
            <w:r>
              <w:rPr>
                <w:rFonts w:ascii="Arial" w:hAnsi="Arial" w:cs="Arial"/>
                <w:lang w:val="en-GB"/>
                <w:sz w:val="20"/>
                <w:szCs w:val="20"/>
              </w:rPr>
              <w:t xml:space="preserve">What to do</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Browser cannot open the page</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The tool is not running, or it runs on another port.</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Start it with </w:t>
            </w:r>
            <w:r>
              <w:rPr>
                <w:b/>
                <w:rFonts w:ascii="Arial" w:hAnsi="Arial" w:cs="Arial"/>
                <w:lang w:val="en-GB"/>
                <w:sz w:val="20"/>
                <w:szCs w:val="20"/>
              </w:rPr>
              <w:t xml:space="preserve">python idssiem.py</w:t>
            </w:r>
            <w:r>
              <w:rPr>
                <w:rFonts w:ascii="Arial" w:hAnsi="Arial" w:cs="Arial"/>
                <w:lang w:val="en-GB"/>
                <w:sz w:val="20"/>
                <w:szCs w:val="20"/>
              </w:rPr>
              <w:t xml:space="preserve"> and open http://localhost:8765. Use </w:t>
            </w:r>
            <w:r>
              <w:rPr>
                <w:b/>
                <w:rFonts w:ascii="Arial" w:hAnsi="Arial" w:cs="Arial"/>
                <w:lang w:val="en-GB"/>
                <w:sz w:val="20"/>
                <w:szCs w:val="20"/>
              </w:rPr>
              <w:t xml:space="preserve">--port</w:t>
            </w:r>
            <w:r>
              <w:rPr>
                <w:rFonts w:ascii="Arial" w:hAnsi="Arial" w:cs="Arial"/>
                <w:lang w:val="en-GB"/>
                <w:sz w:val="20"/>
                <w:szCs w:val="20"/>
              </w:rPr>
              <w:t xml:space="preserve"> or the PORT variable for another port.</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Sign-in refused for 5 minutes</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Five wrong passwords lock the account.</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Wait 5 minutes, or ask an administrator to reset the password.</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The second step does not accept my code</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The phone clock is off, or the code was already used.</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Wait for the next code. Check that the phone time is set automatically. Or use a recovery code.</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Passkey button is missing or refused</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The tool was opened under another address, so the browser has no host name for the passkey.</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Open </w:t>
            </w:r>
            <w:r>
              <w:rPr>
                <w:b/>
                <w:rFonts w:ascii="Arial" w:hAnsi="Arial" w:cs="Arial"/>
                <w:lang w:val="en-GB"/>
                <w:sz w:val="20"/>
                <w:szCs w:val="20"/>
              </w:rPr>
              <w:t xml:space="preserve">http://localhost:8765</w:t>
            </w:r>
            <w:r>
              <w:rPr>
                <w:rFonts w:ascii="Arial" w:hAnsi="Arial" w:cs="Arial"/>
                <w:lang w:val="en-GB"/>
                <w:sz w:val="20"/>
                <w:szCs w:val="20"/>
              </w:rPr>
              <w:t xml:space="preserve"> instead.</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Administrator locked out</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Forgotten password.</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On the computer that runs the tool: </w:t>
            </w:r>
            <w:r>
              <w:rPr>
                <w:b/>
                <w:rFonts w:ascii="Arial" w:hAnsi="Arial" w:cs="Arial"/>
                <w:lang w:val="en-GB"/>
                <w:sz w:val="20"/>
                <w:szCs w:val="20"/>
              </w:rPr>
              <w:t xml:space="preserve">python idssiem.py --reset-password USER</w:t>
            </w:r>
            <w:r>
              <w:rPr>
                <w:rFonts w:ascii="Arial" w:hAnsi="Arial" w:cs="Arial"/>
                <w:lang w:val="en-GB"/>
                <w:sz w:val="20"/>
                <w:szCs w:val="20"/>
              </w:rPr>
              <w:t xml:space="preserve">.</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A button answers “not allowed”</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Your role is viewer, or your API token has view permission only.</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Ask an administrator for the analyst role.</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No Users or Audit log in the menu</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Both are for administrators.</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Ask an administrator.</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Excel import fails</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The openpyxl package is missing.</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Run </w:t>
            </w:r>
            <w:r>
              <w:rPr>
                <w:b/>
                <w:rFonts w:ascii="Arial" w:hAnsi="Arial" w:cs="Arial"/>
                <w:lang w:val="en-GB"/>
                <w:sz w:val="20"/>
                <w:szCs w:val="20"/>
              </w:rPr>
              <w:t xml:space="preserve">pip install -r requirements.txt</w:t>
            </w:r>
            <w:r>
              <w:rPr>
                <w:rFonts w:ascii="Arial" w:hAnsi="Arial" w:cs="Arial"/>
                <w:lang w:val="en-GB"/>
                <w:sz w:val="20"/>
                <w:szCs w:val="20"/>
              </w:rPr>
              <w:t xml:space="preserve">, or export CSV instead.</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An alert is missing from the open list</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A suppression rule hides it.</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Open the </w:t>
            </w:r>
            <w:r>
              <w:rPr>
                <w:b/>
                <w:rFonts w:ascii="Arial" w:hAnsi="Arial" w:cs="Arial"/>
                <w:lang w:val="en-GB"/>
                <w:sz w:val="20"/>
                <w:szCs w:val="20"/>
              </w:rPr>
              <w:t xml:space="preserve">Suppressed</w:t>
            </w:r>
            <w:r>
              <w:rPr>
                <w:rFonts w:ascii="Arial" w:hAnsi="Arial" w:cs="Arial"/>
                <w:lang w:val="en-GB"/>
                <w:sz w:val="20"/>
                <w:szCs w:val="20"/>
              </w:rPr>
              <w:t xml:space="preserve"> tab on Alerts. The rule, its reason and its expiry are under Detections → Suppression rules.</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Event count did not grow after a second import</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Rows already imported are recognised.</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Nothing to fix. Re-importing never creates duplicates.</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Events missing from the timeline</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They have no usable timestamp: empty, before 2022-01-01 or in the future.</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Search </w:t>
            </w:r>
            <w:r>
              <w:rPr>
                <w:b/>
                <w:rFonts w:ascii="Arial" w:hAnsi="Arial" w:cs="Arial"/>
                <w:lang w:val="en-GB"/>
                <w:sz w:val="20"/>
                <w:szCs w:val="20"/>
              </w:rPr>
              <w:t xml:space="preserve">ts:invalid</w:t>
            </w:r>
            <w:r>
              <w:rPr>
                <w:rFonts w:ascii="Arial" w:hAnsi="Arial" w:cs="Arial"/>
                <w:lang w:val="en-GB"/>
                <w:sz w:val="20"/>
                <w:szCs w:val="20"/>
              </w:rPr>
              <w:t xml:space="preserve"> to list them. The cut-off date can be changed on the Data page.</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Sync says the token was refused</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A short-lived login token expired.</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Use a CycurGUARD API token with view permission, then run </w:t>
            </w:r>
            <w:r>
              <w:rPr>
                <w:b/>
                <w:rFonts w:ascii="Arial" w:hAnsi="Arial" w:cs="Arial"/>
                <w:lang w:val="en-GB"/>
                <w:sz w:val="20"/>
                <w:szCs w:val="20"/>
              </w:rPr>
              <w:t xml:space="preserve">Test connection</w:t>
            </w:r>
            <w:r>
              <w:rPr>
                <w:rFonts w:ascii="Arial" w:hAnsi="Arial" w:cs="Arial"/>
                <w:lang w:val="en-GB"/>
                <w:sz w:val="20"/>
                <w:szCs w:val="20"/>
              </w:rPr>
              <w:t xml:space="preserve"> on the Users page.</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Sync stopped half way</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Network or backend failure, or Cancel.</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Start the sync again. It continues where it stopped and never doubles events.</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Vehicle shows “Unknown (X)” or a wrong check digit</w:t>
            </w:r>
          </w:p>
        </w:tc>
        <w:tc>
          <w:tcPr>
            <w:tcW w:w="3300" w:type="dxa"/>
            <w:hideMark/>
          </w:tcPr>
          <w:p>
            <w:pPr>
              <w:spacing w:line="276" w:lineRule="auto"/>
              <w:rPr>
                <w:rFonts w:ascii="Arial" w:hAnsi="Arial" w:cs="Arial"/>
                <w:sz w:val="22"/>
                <w:szCs w:val="22"/>
                <w:lang w:val="en-GB"/>
              </w:rPr>
            </w:pPr>
            <w:r>
              <w:rPr>
                <w:rFonts w:ascii="Arial" w:hAnsi="Arial" w:cs="Arial"/>
                <w:lang w:val="en-GB"/>
                <w:sz w:val="20"/>
                <w:szCs w:val="20"/>
              </w:rPr>
              <w:t xml:space="preserve">The VIN has a code that decoder rev 001 does not list, or it contains a typo.</w:t>
            </w:r>
          </w:p>
        </w:tc>
        <w:tc>
          <w:tcPr>
            <w:tcW w:w="4207" w:type="dxa"/>
            <w:hideMark/>
          </w:tcPr>
          <w:p>
            <w:pPr>
              <w:spacing w:line="276" w:lineRule="auto"/>
              <w:rPr>
                <w:rFonts w:ascii="Arial" w:hAnsi="Arial" w:cs="Arial"/>
                <w:sz w:val="22"/>
                <w:szCs w:val="22"/>
                <w:lang w:val="en-GB"/>
              </w:rPr>
            </w:pPr>
            <w:r>
              <w:rPr>
                <w:rFonts w:ascii="Arial" w:hAnsi="Arial" w:cs="Arial"/>
                <w:lang w:val="en-GB"/>
                <w:sz w:val="20"/>
                <w:szCs w:val="20"/>
              </w:rPr>
              <w:t xml:space="preserve">Check the VIN against the source and the decoder document. A wrong check digit is a hint, not proof, of a typo or spoofed VIN.</w:t>
            </w:r>
          </w:p>
        </w:tc>
      </w:tr>
    </w:tbl>
    <w:p>
      <w:pPr>
        <w:spacing w:line="276" w:lineRule="auto"/>
        <w:ind w:left="-397" w:right="-680"/>
      </w:pPr>
    </w:p>
    <w:p>
      <w:pPr>
        <w:pStyle w:val="berschrift1"/>
      </w:pPr>
      <w:bookmarkStart w:id="9012" w:name="_Toc000009012"/>
      <w:r>
        <w:t xml:space="preserve">WORK STEPS</w:t>
      </w:r>
      <w:bookmarkEnd w:id="9012"/>
    </w:p>
    <w:p>
      <w:pPr>
        <w:spacing w:before="0" w:after="60" w:line="276" w:lineRule="auto"/>
        <w:ind w:left="-397" w:right="-680"/>
      </w:pPr>
      <w:r>
        <w:t xml:space="preserve">Follow the steps in order the first time. Later you will mostly use steps 7.4 to 7.8.</w:t>
      </w:r>
    </w:p>
    <w:p>
      <w:pPr>
        <w:pStyle w:val="berschrift2"/>
        <w:rPr>
          <w:lang w:val="en-GB"/>
        </w:rPr>
        <w:ind w:left="133" w:hanging="757"/>
      </w:pPr>
      <w:bookmarkStart w:id="9013" w:name="_Toc000009013"/>
      <w:r>
        <w:rPr>
          <w:bCs/>
          <w:lang w:val="en-GB"/>
        </w:rPr>
        <w:t xml:space="preserve">Start the tool and sign in</w:t>
      </w:r>
      <w:bookmarkEnd w:id="9013"/>
    </w:p>
    <w:p>
      <w:pPr>
        <w:spacing w:before="0" w:after="60" w:line="276" w:lineRule="auto"/>
        <w:ind w:left="-37" w:right="-680" w:hanging="360"/>
      </w:pPr>
      <w:r>
        <w:t xml:space="preserve">1.</w:t>
        <w:tab/>
        <w:t xml:space="preserve">Open a terminal in the tool’s folder and run </w:t>
      </w:r>
      <w:r>
        <w:rPr>
          <w:b/>
        </w:rPr>
        <w:t xml:space="preserve">python idssiem.py</w:t>
      </w:r>
      <w:r>
        <w:t xml:space="preserve">.</w:t>
      </w:r>
    </w:p>
    <w:p>
      <w:pPr>
        <w:spacing w:before="0" w:after="60" w:line="276" w:lineRule="auto"/>
        <w:ind w:left="-37" w:right="-680" w:hanging="360"/>
      </w:pPr>
      <w:r>
        <w:t xml:space="preserve">2.</w:t>
        <w:tab/>
        <w:t xml:space="preserve">Open </w:t>
      </w:r>
      <w:r>
        <w:rPr>
          <w:b/>
        </w:rPr>
        <w:t xml:space="preserve">http://localhost:8765</w:t>
      </w:r>
      <w:r>
        <w:t xml:space="preserve"> in your browser.</w:t>
      </w:r>
    </w:p>
    <w:p>
      <w:pPr>
        <w:spacing w:before="0" w:after="60" w:line="276" w:lineRule="auto"/>
        <w:ind w:left="-37" w:right="-680" w:hanging="360"/>
      </w:pPr>
      <w:r>
        <w:t xml:space="preserve">3.</w:t>
        <w:tab/>
        <w:t xml:space="preserve">On the very first start the tool asks for the first administrator. Enter a user name, a display name and a password of at least 10 characters, then choose </w:t>
      </w:r>
      <w:r>
        <w:rPr>
          <w:b/>
        </w:rPr>
        <w:t xml:space="preserve">Create administrator</w:t>
      </w:r>
      <w:r>
        <w:t xml:space="preserve">.</w:t>
      </w:r>
    </w:p>
    <w:p>
      <w:pPr>
        <w:spacing w:before="0" w:after="60" w:line="276" w:lineRule="auto"/>
        <w:ind w:left="-37" w:right="-680" w:hanging="360"/>
      </w:pPr>
      <w:r>
        <w:t xml:space="preserve">4.</w:t>
        <w:tab/>
        <w:t xml:space="preserve">On every later start choose your account and sign in. If you have set up two-step sign-in (section 7.10), a second screen asks for a code or a passkey. The session ends after 8 idle hours by default.</w:t>
      </w:r>
    </w:p>
    <w:p>
      <w:pPr>
        <w:spacing w:before="0" w:after="60" w:line="276" w:lineRule="auto"/>
        <w:ind w:left="-37" w:right="-680" w:hanging="360"/>
      </w:pPr>
      <w:r>
        <w:t xml:space="preserve">5.</w:t>
        <w:tab/>
        <w:t xml:space="preserve">Use </w:t>
      </w:r>
      <w:r>
        <w:rPr>
          <w:b/>
        </w:rPr>
        <w:t xml:space="preserve">Theme</w:t>
      </w:r>
      <w:r>
        <w:t xml:space="preserve"> in the top bar to switch between light and dark.</w:t>
      </w:r>
    </w:p>
    <w:p>
      <w:pPr>
        <w:keepNext/>
        <w:spacing w:before="80" w:after="40"/>
        <w:spacing w:line="276" w:lineRule="auto"/>
        <w:ind w:left="-397" w:right="-680"/>
      </w:pPr>
      <w:r>
        <w:drawing>
          <wp:inline xmlns:a="http://schemas.openxmlformats.org/drawingml/2006/main" xmlns:pic="http://schemas.openxmlformats.org/drawingml/2006/picture">
            <wp:extent cx="3840480" cy="2434536"/>
            <wp:docPr id="1" name="Picture 1"/>
            <wp:cNvGraphicFramePr>
              <a:graphicFrameLocks noChangeAspect="1"/>
            </wp:cNvGraphicFramePr>
            <a:graphic>
              <a:graphicData uri="http://schemas.openxmlformats.org/drawingml/2006/picture">
                <pic:pic>
                  <pic:nvPicPr>
                    <pic:cNvPr id="0" name="01_setup.png"/>
                    <pic:cNvPicPr/>
                  </pic:nvPicPr>
                  <pic:blipFill>
                    <a:blip r:embed="rId15"/>
                    <a:stretch>
                      <a:fillRect/>
                    </a:stretch>
                  </pic:blipFill>
                  <pic:spPr>
                    <a:xfrm>
                      <a:off x="0" y="0"/>
                      <a:ext cx="3840480" cy="2434536"/>
                    </a:xfrm>
                    <a:prstGeom prst="rect"/>
                  </pic:spPr>
                </pic:pic>
              </a:graphicData>
            </a:graphic>
          </wp:inline>
        </w:drawing>
      </w:r>
    </w:p>
    <w:p>
      <w:pPr>
        <w:spacing w:before="0" w:after="140" w:line="276" w:lineRule="auto"/>
        <w:ind w:left="-397" w:right="-680"/>
      </w:pPr>
      <w:r>
        <w:rPr>
          <w:i/>
          <w:sz w:val="18"/>
          <w:szCs w:val="18"/>
        </w:rPr>
        <w:t xml:space="preserve">Figure 1: First start: create the first administrator</w:t>
      </w:r>
    </w:p>
    <w:p>
      <w:pPr>
        <w:pStyle w:val="berschrift2"/>
        <w:rPr>
          <w:lang w:val="en-GB"/>
        </w:rPr>
        <w:ind w:left="133" w:hanging="757"/>
      </w:pPr>
      <w:bookmarkStart w:id="9014" w:name="_Toc000009014"/>
      <w:r>
        <w:rPr>
          <w:bCs/>
          <w:lang w:val="en-GB"/>
        </w:rPr>
        <w:t xml:space="preserve">Import events from a file</w:t>
      </w:r>
      <w:bookmarkEnd w:id="9014"/>
    </w:p>
    <w:p>
      <w:pPr>
        <w:spacing w:before="0" w:after="60" w:line="276" w:lineRule="auto"/>
        <w:ind w:left="-37" w:right="-680" w:hanging="360"/>
      </w:pPr>
      <w:r>
        <w:t xml:space="preserve">1.</w:t>
        <w:tab/>
        <w:t xml:space="preserve">Choose </w:t>
      </w:r>
      <w:r>
        <w:rPr>
          <w:b/>
        </w:rPr>
        <w:t xml:space="preserve">Data</w:t>
      </w:r>
      <w:r>
        <w:t xml:space="preserve"> in the menu (or </w:t>
      </w:r>
      <w:r>
        <w:rPr>
          <w:b/>
        </w:rPr>
        <w:t xml:space="preserve">Import data</w:t>
      </w:r>
      <w:r>
        <w:t xml:space="preserve"> in the top bar).</w:t>
      </w:r>
    </w:p>
    <w:p>
      <w:pPr>
        <w:spacing w:before="0" w:after="60" w:line="276" w:lineRule="auto"/>
        <w:ind w:left="-37" w:right="-680" w:hanging="360"/>
      </w:pPr>
      <w:r>
        <w:t xml:space="preserve">2.</w:t>
        <w:tab/>
        <w:t xml:space="preserve">Drop the export on the import area or choose </w:t>
      </w:r>
      <w:r>
        <w:rPr>
          <w:b/>
        </w:rPr>
        <w:t xml:space="preserve">Choose a file</w:t>
      </w:r>
      <w:r>
        <w:t xml:space="preserve">. CSV, Excel (.xlsx) and JSON are accepted.</w:t>
      </w:r>
    </w:p>
    <w:p>
      <w:pPr>
        <w:spacing w:before="0" w:after="60" w:line="276" w:lineRule="auto"/>
        <w:ind w:left="-37" w:right="-680" w:hanging="360"/>
      </w:pPr>
      <w:r>
        <w:t xml:space="preserve">3.</w:t>
        <w:tab/>
        <w:t xml:space="preserve">Wait for the result. It shows how many rows were new, how many were already known and how many were invalid.</w:t>
      </w:r>
    </w:p>
    <w:p>
      <w:pPr>
        <w:spacing w:before="0" w:after="60" w:line="276" w:lineRule="auto"/>
        <w:ind w:left="-37" w:right="-680" w:hanging="360"/>
      </w:pPr>
      <w:r>
        <w:t xml:space="preserve">4.</w:t>
        <w:tab/>
        <w:t xml:space="preserve">Open </w:t>
      </w:r>
      <w:r>
        <w:rPr>
          <w:b/>
        </w:rPr>
        <w:t xml:space="preserve">Data quality</w:t>
      </w:r>
      <w:r>
        <w:t xml:space="preserve"> on the same page and check the four figures (see section 5.2).</w:t>
      </w:r>
    </w:p>
    <w:p>
      <w:pPr>
        <w:spacing w:before="0" w:after="60" w:line="276" w:lineRule="auto"/>
        <w:ind w:left="-37" w:right="-680" w:hanging="360"/>
      </w:pPr>
      <w:r>
        <w:t xml:space="preserve">5.</w:t>
        <w:tab/>
        <w:t xml:space="preserve">Detections run automatically after the import. Check </w:t>
      </w:r>
      <w:r>
        <w:rPr>
          <w:b/>
        </w:rPr>
        <w:t xml:space="preserve">Alerts</w:t>
      </w:r>
      <w:r>
        <w:t xml:space="preserve"> for new entries.</w:t>
      </w:r>
    </w:p>
    <w:p>
      <w:pPr>
        <w:keepNext/>
        <w:spacing w:before="80" w:after="40"/>
        <w:spacing w:line="276" w:lineRule="auto"/>
        <w:ind w:left="-397" w:right="-680"/>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11_data.png"/>
                    <pic:cNvPicPr/>
                  </pic:nvPicPr>
                  <pic:blipFill>
                    <a:blip r:embed="rId16"/>
                    <a:stretch>
                      <a:fillRect/>
                    </a:stretch>
                  </pic:blipFill>
                  <pic:spPr>
                    <a:xfrm>
                      <a:off x="0" y="0"/>
                      <a:ext cx="5760720" cy="3456432"/>
                    </a:xfrm>
                    <a:prstGeom prst="rect"/>
                  </pic:spPr>
                </pic:pic>
              </a:graphicData>
            </a:graphic>
          </wp:inline>
        </w:drawing>
      </w:r>
    </w:p>
    <w:p>
      <w:pPr>
        <w:spacing w:before="0" w:after="140" w:line="276" w:lineRule="auto"/>
        <w:ind w:left="-397" w:right="-680"/>
      </w:pPr>
      <w:r>
        <w:rPr>
          <w:i/>
          <w:sz w:val="18"/>
          <w:szCs w:val="18"/>
        </w:rPr>
        <w:t xml:space="preserve">Figure 2: Data page with import area and data quality</w:t>
      </w:r>
    </w:p>
    <w:p>
      <w:pPr>
        <w:spacing w:before="60" w:after="120" w:line="276" w:lineRule="auto"/>
        <w:ind w:left="-397" w:right="-680"/>
      </w:pPr>
      <w:r>
        <w:rPr>
          <w:b/>
        </w:rPr>
        <w:t xml:space="preserve">Note:</w:t>
      </w:r>
      <w:r>
        <w:t xml:space="preserve"> Importing the same rows again never creates duplicates, so overlapping exports are fine. </w:t>
      </w:r>
      <w:r>
        <w:rPr>
          <w:b/>
        </w:rPr>
        <w:t xml:space="preserve">Remove events</w:t>
      </w:r>
      <w:r>
        <w:t xml:space="preserve"> next to an import in the import history takes that import’s events out again.</w:t>
      </w:r>
    </w:p>
    <w:p>
      <w:pPr>
        <w:pStyle w:val="berschrift2"/>
        <w:rPr>
          <w:lang w:val="en-GB"/>
        </w:rPr>
        <w:ind w:left="133" w:hanging="757"/>
      </w:pPr>
      <w:bookmarkStart w:id="9015" w:name="_Toc000009015"/>
      <w:r>
        <w:rPr>
          <w:bCs/>
          <w:lang w:val="en-GB"/>
        </w:rPr>
        <w:t xml:space="preserve">Sync events from the CycurGUARD backend</w:t>
      </w:r>
      <w:bookmarkEnd w:id="9015"/>
    </w:p>
    <w:p>
      <w:pPr>
        <w:keepNext/>
        <w:spacing w:before="0" w:after="40" w:line="276" w:lineRule="auto"/>
        <w:ind w:left="-397" w:right="-680"/>
      </w:pPr>
      <w:r>
        <w:rPr>
          <w:b/>
        </w:rPr>
        <w:t xml:space="preserve">One-time setup (administrator):</w:t>
      </w:r>
    </w:p>
    <w:p>
      <w:pPr>
        <w:spacing w:before="0" w:after="60" w:line="276" w:lineRule="auto"/>
        <w:ind w:left="-37" w:right="-680" w:hanging="360"/>
      </w:pPr>
      <w:r>
        <w:t xml:space="preserve">1.</w:t>
        <w:tab/>
        <w:t xml:space="preserve">Open </w:t>
      </w:r>
      <w:r>
        <w:rPr>
          <w:b/>
        </w:rPr>
        <w:t xml:space="preserve">Users → Backend connection</w:t>
      </w:r>
      <w:r>
        <w:t xml:space="preserve"> and enter the backend address and an API token.</w:t>
      </w:r>
    </w:p>
    <w:p>
      <w:pPr>
        <w:spacing w:before="0" w:after="60" w:line="276" w:lineRule="auto"/>
        <w:ind w:left="-37" w:right="-680" w:hanging="360"/>
      </w:pPr>
      <w:r>
        <w:t xml:space="preserve">2.</w:t>
        <w:tab/>
        <w:t xml:space="preserve">Choose </w:t>
      </w:r>
      <w:r>
        <w:rPr>
          <w:b/>
        </w:rPr>
        <w:t xml:space="preserve">Test connection</w:t>
      </w:r>
      <w:r>
        <w:t xml:space="preserve"> to check what you typed before saving. Then save. The token is stored on this computer and never shown again.</w:t>
      </w:r>
    </w:p>
    <w:p>
      <w:pPr>
        <w:keepNext/>
        <w:spacing w:before="60" w:after="40" w:line="276" w:lineRule="auto"/>
        <w:ind w:left="-397" w:right="-680"/>
      </w:pPr>
      <w:r>
        <w:rPr>
          <w:b/>
        </w:rPr>
        <w:t xml:space="preserve">Each sync (analyst):</w:t>
      </w:r>
    </w:p>
    <w:p>
      <w:pPr>
        <w:spacing w:before="0" w:after="60" w:line="276" w:lineRule="auto"/>
        <w:ind w:left="-37" w:right="-680" w:hanging="360"/>
      </w:pPr>
      <w:r>
        <w:t xml:space="preserve">1.</w:t>
        <w:tab/>
        <w:t xml:space="preserve">Open </w:t>
      </w:r>
      <w:r>
        <w:rPr>
          <w:b/>
        </w:rPr>
        <w:t xml:space="preserve">Data → Sync from CycurGUARD</w:t>
      </w:r>
      <w:r>
        <w:t xml:space="preserve"> and choose </w:t>
      </w:r>
      <w:r>
        <w:rPr>
          <w:b/>
        </w:rPr>
        <w:t xml:space="preserve">Check connection</w:t>
      </w:r>
      <w:r>
        <w:t xml:space="preserve">. It shows the backend version, how many events a sync would fetch and the first three events.</w:t>
      </w:r>
    </w:p>
    <w:p>
      <w:pPr>
        <w:spacing w:before="0" w:after="60" w:line="276" w:lineRule="auto"/>
        <w:ind w:left="-37" w:right="-680" w:hanging="360"/>
      </w:pPr>
      <w:r>
        <w:t xml:space="preserve">2.</w:t>
        <w:tab/>
        <w:t xml:space="preserve">Choose </w:t>
      </w:r>
      <w:r>
        <w:rPr>
          <w:b/>
        </w:rPr>
        <w:t xml:space="preserve">Sync now</w:t>
      </w:r>
      <w:r>
        <w:t xml:space="preserve">. The progress is shown live and you can cancel. The first sync fetches everything; later syncs fetch only what is new.</w:t>
      </w:r>
    </w:p>
    <w:p>
      <w:pPr>
        <w:spacing w:before="0" w:after="60" w:line="276" w:lineRule="auto"/>
        <w:ind w:left="-37" w:right="-680" w:hanging="360"/>
      </w:pPr>
      <w:r>
        <w:t xml:space="preserve">3.</w:t>
        <w:tab/>
        <w:t xml:space="preserve">When it finishes, detections run and the sync is written to the audit log.</w:t>
      </w:r>
    </w:p>
    <w:p>
      <w:pPr>
        <w:spacing w:before="60" w:after="60" w:line="276" w:lineRule="auto"/>
        <w:ind w:left="-397" w:right="-680"/>
      </w:pPr>
      <w:r>
        <w:rPr>
          <w:b/>
        </w:rPr>
        <w:t xml:space="preserve">Automatic sync (administrator):</w:t>
      </w:r>
      <w:r>
        <w:t xml:space="preserve"> under </w:t>
      </w:r>
      <w:r>
        <w:rPr>
          <w:b/>
        </w:rPr>
        <w:t xml:space="preserve">Users → Backend connection → Automatic sync</w:t>
      </w:r>
      <w:r>
        <w:t xml:space="preserve">, tick the box, choose how often (5 minutes to 24 hours) and choose </w:t>
      </w:r>
      <w:r>
        <w:rPr>
          <w:b/>
        </w:rPr>
        <w:t xml:space="preserve">Save schedule</w:t>
      </w:r>
      <w:r>
        <w:t xml:space="preserve">. The tool then pulls new events in the background while it is running. Do the first sync by hand first, because you choose how far back it goes. Runs that find nothing new are not written to the audit log. The Data page shows the interval and the next run.</w:t>
      </w:r>
    </w:p>
    <w:p>
      <w:pPr>
        <w:keepNext/>
        <w:spacing w:before="80" w:after="40"/>
        <w:spacing w:line="276" w:lineRule="auto"/>
        <w:ind w:left="-397" w:right="-680"/>
      </w:pPr>
      <w:r>
        <w:drawing>
          <wp:inline xmlns:a="http://schemas.openxmlformats.org/drawingml/2006/main" xmlns:pic="http://schemas.openxmlformats.org/drawingml/2006/picture">
            <wp:extent cx="4937760" cy="2015920"/>
            <wp:docPr id="1" name="Picture 1"/>
            <wp:cNvGraphicFramePr>
              <a:graphicFrameLocks noChangeAspect="1"/>
            </wp:cNvGraphicFramePr>
            <a:graphic>
              <a:graphicData uri="http://schemas.openxmlformats.org/drawingml/2006/picture">
                <pic:pic>
                  <pic:nvPicPr>
                    <pic:cNvPr id="0" name="20_schedule.png"/>
                    <pic:cNvPicPr/>
                  </pic:nvPicPr>
                  <pic:blipFill>
                    <a:blip r:embed="rId17"/>
                    <a:stretch>
                      <a:fillRect/>
                    </a:stretch>
                  </pic:blipFill>
                  <pic:spPr>
                    <a:xfrm>
                      <a:off x="0" y="0"/>
                      <a:ext cx="4937760" cy="2015920"/>
                    </a:xfrm>
                    <a:prstGeom prst="rect"/>
                  </pic:spPr>
                </pic:pic>
              </a:graphicData>
            </a:graphic>
          </wp:inline>
        </w:drawing>
      </w:r>
    </w:p>
    <w:p>
      <w:pPr>
        <w:spacing w:before="0" w:after="140" w:line="276" w:lineRule="auto"/>
        <w:ind w:left="-397" w:right="-680"/>
      </w:pPr>
      <w:r>
        <w:rPr>
          <w:i/>
          <w:sz w:val="18"/>
          <w:szCs w:val="18"/>
        </w:rPr>
        <w:t xml:space="preserve">Figure 3: Automatic sync on the Users page</w:t>
      </w:r>
    </w:p>
    <w:p>
      <w:pPr>
        <w:spacing w:before="60" w:after="100" w:line="276" w:lineRule="auto"/>
        <w:ind w:left="-397" w:right="-680"/>
      </w:pPr>
      <w:r>
        <w:rPr>
          <w:b/>
        </w:rPr>
        <w:t xml:space="preserve">Start over (administrator):</w:t>
      </w:r>
      <w:r>
        <w:t xml:space="preserve"> choose </w:t>
      </w:r>
      <w:r>
        <w:rPr>
          <w:b/>
        </w:rPr>
        <w:t xml:space="preserve">Start over</w:t>
      </w:r>
      <w:r>
        <w:t xml:space="preserve"> on the Data page when you want a complete sync from the beginning. Stored events are kept and are not duplicated; events that were synced before get their backend details filled in when they are fetched again. On the command line use </w:t>
      </w:r>
      <w:r>
        <w:rPr>
          <w:b/>
        </w:rPr>
        <w:t xml:space="preserve">--sync --restart</w:t>
      </w:r>
      <w:r>
        <w:t xml:space="preserve">.</w:t>
      </w:r>
    </w:p>
    <w:p>
      <w:pPr>
        <w:spacing w:before="60" w:after="100" w:line="276" w:lineRule="auto"/>
        <w:ind w:left="-397" w:right="-680"/>
      </w:pPr>
      <w:r>
        <w:rPr>
          <w:b/>
        </w:rPr>
        <w:t xml:space="preserve">Backend details:</w:t>
      </w:r>
      <w:r>
        <w:t xml:space="preserve"> each synced event keeps what the backend reported: the CycurGUARD severity (1 to 3), the report type, the named fields with their meaning, the CAN message (id, name, sender and receivers), the violated rule with its limits and the measured values, and the time window when the backend gave no exact time. They are shown in the event drawer. An administrator can upload the CycurGUARD severity configuration on the Data page so that the configured meaning of an event is shown as well. </w:t>
      </w:r>
      <w:r>
        <w:rPr>
          <w:b/>
        </w:rPr>
        <w:t xml:space="preserve">Show all fields</w:t>
      </w:r>
      <w:r>
        <w:t xml:space="preserve"> lists which fields the backend delivers.</w:t>
      </w:r>
    </w:p>
    <w:p>
      <w:pPr>
        <w:spacing w:before="60" w:after="100" w:line="276" w:lineRule="auto"/>
        <w:ind w:left="-397" w:right="-680"/>
      </w:pPr>
      <w:r>
        <w:t xml:space="preserve">The same can be done on the command line: </w:t>
      </w:r>
      <w:r>
        <w:rPr>
          <w:b/>
        </w:rPr>
        <w:t xml:space="preserve">python idssiem.py --sync</w:t>
      </w:r>
      <w:r>
        <w:t xml:space="preserve"> (add </w:t>
      </w:r>
      <w:r>
        <w:rPr>
          <w:b/>
        </w:rPr>
        <w:t xml:space="preserve">--days 90</w:t>
      </w:r>
      <w:r>
        <w:t xml:space="preserve"> to limit the first run to the last 90 days). The environment variables CYCURGUARD_URL and CYCURGUARD_TOKEN override the saved values.</w:t>
      </w:r>
    </w:p>
    <w:p>
      <w:pPr>
        <w:pStyle w:val="berschrift2"/>
        <w:rPr>
          <w:lang w:val="en-GB"/>
        </w:rPr>
        <w:ind w:left="133" w:hanging="757"/>
      </w:pPr>
      <w:bookmarkStart w:id="9016" w:name="_Toc000009016"/>
      <w:r>
        <w:rPr>
          <w:bCs/>
          <w:lang w:val="en-GB"/>
        </w:rPr>
        <w:t xml:space="preserve">Read the Overview</w:t>
      </w:r>
      <w:bookmarkEnd w:id="9016"/>
    </w:p>
    <w:p>
      <w:pPr>
        <w:spacing w:before="0" w:after="60" w:line="276" w:lineRule="auto"/>
        <w:ind w:left="-397" w:right="-680"/>
      </w:pPr>
      <w:r>
        <w:t xml:space="preserve">The Overview is your daily starting point. It shows the totals (events, vehicles, open alerts, open cases, high or critical events, events without a usable time), the events over time and the most frequent event types, vehicles and ECUs.</w:t>
      </w:r>
    </w:p>
    <w:p>
      <w:pPr>
        <w:spacing w:before="0" w:after="40" w:line="276" w:lineRule="auto"/>
        <w:ind w:left="-37" w:right="-680" w:hanging="360"/>
      </w:pPr>
      <w:r>
        <w:t xml:space="preserve">•</w:t>
        <w:tab/>
      </w:r>
      <w:r>
        <w:rPr>
          <w:b/>
        </w:rPr>
        <w:t xml:space="preserve">Events over time:</w:t>
      </w:r>
      <w:r>
        <w:t xml:space="preserve"> choose the colour (severity, ECU, type, category). Drag across the chart to select a period, then choose </w:t>
      </w:r>
      <w:r>
        <w:rPr>
          <w:b/>
        </w:rPr>
        <w:t xml:space="preserve">Show these events</w:t>
      </w:r>
      <w:r>
        <w:t xml:space="preserve">.</w:t>
      </w:r>
    </w:p>
    <w:p>
      <w:pPr>
        <w:spacing w:before="0" w:after="40" w:line="276" w:lineRule="auto"/>
        <w:ind w:left="-37" w:right="-680" w:hanging="360"/>
      </w:pPr>
      <w:r>
        <w:t xml:space="preserve">•</w:t>
        <w:tab/>
      </w:r>
      <w:r>
        <w:rPr>
          <w:b/>
        </w:rPr>
        <w:t xml:space="preserve">Fleet by:</w:t>
      </w:r>
      <w:r>
        <w:t xml:space="preserve"> switch between model year, variant, body, engine, hand of drive and market. Each bar shows vehicles, events and high-severity events. Click a bar to list those vehicles.</w:t>
      </w:r>
    </w:p>
    <w:p>
      <w:pPr>
        <w:spacing w:before="0" w:after="40" w:line="276" w:lineRule="auto"/>
        <w:ind w:left="-37" w:right="-680" w:hanging="360"/>
      </w:pPr>
      <w:r>
        <w:t xml:space="preserve">•</w:t>
        <w:tab/>
        <w:t xml:space="preserve">Every figure and bar is a link to the matching list.</w:t>
      </w:r>
    </w:p>
    <w:p>
      <w:pPr>
        <w:keepNext/>
        <w:spacing w:before="80" w:after="40"/>
        <w:spacing w:line="276" w:lineRule="auto"/>
        <w:ind w:left="-397" w:right="-680"/>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02_overview.png"/>
                    <pic:cNvPicPr/>
                  </pic:nvPicPr>
                  <pic:blipFill>
                    <a:blip r:embed="rId18"/>
                    <a:stretch>
                      <a:fillRect/>
                    </a:stretch>
                  </pic:blipFill>
                  <pic:spPr>
                    <a:xfrm>
                      <a:off x="0" y="0"/>
                      <a:ext cx="5760720" cy="3456432"/>
                    </a:xfrm>
                    <a:prstGeom prst="rect"/>
                  </pic:spPr>
                </pic:pic>
              </a:graphicData>
            </a:graphic>
          </wp:inline>
        </w:drawing>
      </w:r>
    </w:p>
    <w:p>
      <w:pPr>
        <w:spacing w:before="0" w:after="140" w:line="276" w:lineRule="auto"/>
        <w:ind w:left="-397" w:right="-680"/>
      </w:pPr>
      <w:r>
        <w:rPr>
          <w:i/>
          <w:sz w:val="18"/>
          <w:szCs w:val="18"/>
        </w:rPr>
        <w:t xml:space="preserve">Figure 4: Overview with the Fleet by panel</w:t>
      </w:r>
    </w:p>
    <w:p>
      <w:pPr>
        <w:pStyle w:val="berschrift2"/>
        <w:rPr>
          <w:lang w:val="en-GB"/>
        </w:rPr>
        <w:ind w:left="133" w:hanging="757"/>
      </w:pPr>
      <w:bookmarkStart w:id="9017" w:name="_Toc000009017"/>
      <w:r>
        <w:rPr>
          <w:bCs/>
          <w:lang w:val="en-GB"/>
        </w:rPr>
        <w:t xml:space="preserve">Search and read events</w:t>
      </w:r>
      <w:bookmarkEnd w:id="9017"/>
    </w:p>
    <w:p>
      <w:pPr>
        <w:spacing w:before="0" w:after="60" w:line="276" w:lineRule="auto"/>
        <w:ind w:left="-37" w:right="-680" w:hanging="360"/>
      </w:pPr>
      <w:r>
        <w:t xml:space="preserve">1.</w:t>
        <w:tab/>
        <w:t xml:space="preserve">Open </w:t>
      </w:r>
      <w:r>
        <w:rPr>
          <w:b/>
        </w:rPr>
        <w:t xml:space="preserve">Events</w:t>
      </w:r>
      <w:r>
        <w:t xml:space="preserve">. Type a query in the search box, set </w:t>
      </w:r>
      <w:r>
        <w:rPr>
          <w:b/>
        </w:rPr>
        <w:t xml:space="preserve">From</w:t>
      </w:r>
      <w:r>
        <w:t xml:space="preserve"> and </w:t>
      </w:r>
      <w:r>
        <w:rPr>
          <w:b/>
        </w:rPr>
        <w:t xml:space="preserve">To</w:t>
      </w:r>
      <w:r>
        <w:t xml:space="preserve"> if needed (UTC), then choose </w:t>
      </w:r>
      <w:r>
        <w:rPr>
          <w:b/>
        </w:rPr>
        <w:t xml:space="preserve">Search</w:t>
      </w:r>
      <w:r>
        <w:t xml:space="preserve">.</w:t>
      </w:r>
    </w:p>
    <w:p>
      <w:pPr>
        <w:spacing w:before="0" w:after="60" w:line="276" w:lineRule="auto"/>
        <w:ind w:left="-37" w:right="-680" w:hanging="360"/>
      </w:pPr>
      <w:r>
        <w:t xml:space="preserve">2.</w:t>
        <w:tab/>
        <w:t xml:space="preserve">Narrow the result with the facets on the left (severity, ECU, category).</w:t>
      </w:r>
    </w:p>
    <w:p>
      <w:pPr>
        <w:spacing w:before="0" w:after="60" w:line="276" w:lineRule="auto"/>
        <w:ind w:left="-37" w:right="-680" w:hanging="360"/>
      </w:pPr>
      <w:r>
        <w:t xml:space="preserve">3.</w:t>
        <w:tab/>
        <w:t xml:space="preserve">Select a row to open the event drawer. It shows the event, the backend details (section 7.3), the alerts that cover the event and its case, and related events of the same vehicle. Add an analyst note there; it is attributed to you.</w:t>
      </w:r>
    </w:p>
    <w:p>
      <w:pPr>
        <w:spacing w:before="0" w:after="60" w:line="276" w:lineRule="auto"/>
        <w:ind w:left="-37" w:right="-680" w:hanging="360"/>
      </w:pPr>
      <w:r>
        <w:t xml:space="preserve">4.</w:t>
        <w:tab/>
        <w:t xml:space="preserve">The column </w:t>
      </w:r>
      <w:r>
        <w:rPr>
          <w:b/>
        </w:rPr>
        <w:t xml:space="preserve">Alert, case</w:t>
      </w:r>
      <w:r>
        <w:t xml:space="preserve"> shows which alerts cover each event (for example #42) and the case they belong to. Use the filters </w:t>
      </w:r>
      <w:r>
        <w:rPr>
          <w:b/>
        </w:rPr>
        <w:t xml:space="preserve">Alert</w:t>
      </w:r>
      <w:r>
        <w:t xml:space="preserve"> (covered, not covered) and </w:t>
      </w:r>
      <w:r>
        <w:rPr>
          <w:b/>
        </w:rPr>
        <w:t xml:space="preserve">Case</w:t>
      </w:r>
      <w:r>
        <w:t xml:space="preserve"> (in a case, not in a case) to find events that nobody has looked at yet.</w:t>
      </w:r>
    </w:p>
    <w:p>
      <w:pPr>
        <w:spacing w:before="0" w:after="60" w:line="276" w:lineRule="auto"/>
        <w:ind w:left="-37" w:right="-680" w:hanging="360"/>
      </w:pPr>
      <w:r>
        <w:t xml:space="preserve">5.</w:t>
        <w:tab/>
        <w:t xml:space="preserve">Choose </w:t>
      </w:r>
      <w:r>
        <w:rPr>
          <w:b/>
        </w:rPr>
        <w:t xml:space="preserve">Export CSV</w:t>
      </w:r>
      <w:r>
        <w:t xml:space="preserve"> to save the current result.</w:t>
      </w:r>
    </w:p>
    <w:tbl>
      <w:tblPr>
        <w:tblStyle w:val="Tabellenraster"/>
        <w:tblW w:w="10207" w:type="dxa"/>
        <w:tblInd w:w="-431" w:type="dxa"/>
        <w:tblLook w:val="04A0" w:firstRow="1" w:lastRow="0" w:firstColumn="1" w:lastColumn="0" w:noHBand="0" w:noVBand="1"/>
      </w:tblPr>
      <w:tblGrid>
        <w:gridCol w:w="2400"/>
        <w:gridCol w:w="7807"/>
      </w:tblGrid>
      <w:tr>
        <w:trPr>
          <w:tblHeader/>
        </w:trPr>
        <w:tc>
          <w:tcPr>
            <w:tcW w:w="2400"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Search term</w:t>
            </w:r>
          </w:p>
        </w:tc>
        <w:tc>
          <w:tcPr>
            <w:tcW w:w="7807"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Matches</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vin:SC6GM1</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VINs containing the text</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ecu:BCM</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Events reported by that ECU</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sev:high</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Severity (info, low, medium, high, critical)</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name:CRC</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 name</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id:, type:, cat:, desc:</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 id, event type, category, description</w:t>
            </w:r>
          </w:p>
        </w:tc>
      </w:tr>
      <w:tr>
        <w:trPr>
          <w:cantSplit/>
        </w:trPr>
        <w:tc>
          <w:tcPr>
            <w:tcW w:w="24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ts:invalid</w:t>
            </w:r>
          </w:p>
        </w:tc>
        <w:tc>
          <w:tcPr>
            <w:tcW w:w="78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Events without a usable timestamp</w:t>
            </w:r>
          </w:p>
        </w:tc>
      </w:tr>
      <w:tr>
        <w:trPr>
          <w:cantSplit/>
        </w:trPr>
        <w:tc>
          <w:tcPr>
            <w:tcW w:w="2400" w:type="dxa"/>
            <w:hideMark/>
          </w:tcPr>
          <w:p>
            <w:pPr>
              <w:spacing w:line="276" w:lineRule="auto"/>
              <w:rPr>
                <w:rFonts w:ascii="Arial" w:hAnsi="Arial" w:cs="Arial"/>
                <w:sz w:val="22"/>
                <w:szCs w:val="22"/>
                <w:lang w:val="en-GB"/>
              </w:rPr>
            </w:pPr>
            <w:r>
              <w:rPr>
                <w:rFonts w:ascii="Arial" w:hAnsi="Arial" w:cs="Arial"/>
                <w:lang w:val="en-GB"/>
                <w:sz w:val="20"/>
                <w:szCs w:val="20"/>
              </w:rPr>
              <w:t xml:space="preserve">-type:can</w:t>
            </w:r>
          </w:p>
        </w:tc>
        <w:tc>
          <w:tcPr>
            <w:tcW w:w="7807" w:type="dxa"/>
            <w:hideMark/>
          </w:tcPr>
          <w:p>
            <w:pPr>
              <w:spacing w:line="276" w:lineRule="auto"/>
              <w:rPr>
                <w:rFonts w:ascii="Arial" w:hAnsi="Arial" w:cs="Arial"/>
                <w:sz w:val="22"/>
                <w:szCs w:val="22"/>
                <w:lang w:val="en-GB"/>
              </w:rPr>
            </w:pPr>
            <w:r>
              <w:rPr>
                <w:rFonts w:ascii="Arial" w:hAnsi="Arial" w:cs="Arial"/>
                <w:lang w:val="en-GB"/>
                <w:sz w:val="20"/>
                <w:szCs w:val="20"/>
              </w:rPr>
              <w:t xml:space="preserve">A minus in front excludes the match</w:t>
            </w:r>
          </w:p>
        </w:tc>
      </w:tr>
    </w:tbl>
    <w:p>
      <w:pPr>
        <w:spacing w:before="80" w:after="100" w:line="276" w:lineRule="auto"/>
        <w:ind w:left="-397" w:right="-680"/>
      </w:pPr>
      <w:r>
        <w:t xml:space="preserve">Terms can be combined, for example </w:t>
      </w:r>
      <w:r>
        <w:rPr>
          <w:b/>
        </w:rPr>
        <w:t xml:space="preserve">vin:SC6GM1 ecu:BCM sev:high -type:sev</w:t>
      </w:r>
      <w:r>
        <w:t xml:space="preserve">.</w:t>
      </w:r>
    </w:p>
    <w:p>
      <w:pPr>
        <w:spacing w:before="60" w:after="100" w:line="276" w:lineRule="auto"/>
        <w:ind w:left="-397" w:right="-680"/>
      </w:pPr>
      <w:r>
        <w:t xml:space="preserve">An alert covers an event when the event lies inside the filter of the alert (vehicle, event type, ECU and time window). These are the same events that the alert shows. An event counts as being in a case when one of the alerts that cover it is linked to that case, whatever the status of the alert.</w:t>
      </w:r>
    </w:p>
    <w:p>
      <w:pPr>
        <w:keepNext/>
        <w:spacing w:before="80" w:after="40"/>
        <w:spacing w:line="276" w:lineRule="auto"/>
        <w:ind w:left="-397" w:right="-680"/>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03_events.png"/>
                    <pic:cNvPicPr/>
                  </pic:nvPicPr>
                  <pic:blipFill>
                    <a:blip r:embed="rId19"/>
                    <a:stretch>
                      <a:fillRect/>
                    </a:stretch>
                  </pic:blipFill>
                  <pic:spPr>
                    <a:xfrm>
                      <a:off x="0" y="0"/>
                      <a:ext cx="5760720" cy="3456432"/>
                    </a:xfrm>
                    <a:prstGeom prst="rect"/>
                  </pic:spPr>
                </pic:pic>
              </a:graphicData>
            </a:graphic>
          </wp:inline>
        </w:drawing>
      </w:r>
    </w:p>
    <w:p>
      <w:pPr>
        <w:spacing w:before="0" w:after="140" w:line="276" w:lineRule="auto"/>
        <w:ind w:left="-397" w:right="-680"/>
      </w:pPr>
      <w:r>
        <w:rPr>
          <w:i/>
          <w:sz w:val="18"/>
          <w:szCs w:val="18"/>
        </w:rPr>
        <w:t xml:space="preserve">Figure 5: Events page with the Alert and Case filters and the Alert, case column</w:t>
      </w:r>
    </w:p>
    <w:p>
      <w:pPr>
        <w:pStyle w:val="berschrift2"/>
        <w:rPr>
          <w:lang w:val="en-GB"/>
        </w:rPr>
        <w:ind w:left="133" w:hanging="757"/>
      </w:pPr>
      <w:bookmarkStart w:id="9018" w:name="_Toc000009018"/>
      <w:r>
        <w:rPr>
          <w:bCs/>
          <w:lang w:val="en-GB"/>
        </w:rPr>
        <w:t xml:space="preserve">Review vehicles and VIN details</w:t>
      </w:r>
      <w:bookmarkEnd w:id="9018"/>
    </w:p>
    <w:p>
      <w:pPr>
        <w:spacing w:before="0" w:after="60" w:line="276" w:lineRule="auto"/>
        <w:ind w:left="-37" w:right="-680" w:hanging="360"/>
      </w:pPr>
      <w:r>
        <w:t xml:space="preserve">1.</w:t>
        <w:tab/>
        <w:t xml:space="preserve">Open </w:t>
      </w:r>
      <w:r>
        <w:rPr>
          <w:b/>
        </w:rPr>
        <w:t xml:space="preserve">Vehicles</w:t>
      </w:r>
      <w:r>
        <w:t xml:space="preserve">. The list is ordered by risk; low counts 1, medium 3, high 10 and critical 25 for every event. Sort by any column, search for a VIN or part of one, or filter by a decoded value (a chip shows the filter; the × removes it).</w:t>
      </w:r>
    </w:p>
    <w:p>
      <w:pPr>
        <w:spacing w:before="0" w:after="60" w:line="276" w:lineRule="auto"/>
        <w:ind w:left="-37" w:right="-680" w:hanging="360"/>
      </w:pPr>
      <w:r>
        <w:t xml:space="preserve">2.</w:t>
        <w:tab/>
        <w:t xml:space="preserve">Select a vehicle. The page shows its totals, </w:t>
      </w:r>
      <w:r>
        <w:rPr>
          <w:b/>
        </w:rPr>
        <w:t xml:space="preserve">Vehicle identity</w:t>
      </w:r>
      <w:r>
        <w:t xml:space="preserve">, timeline, what each ECU reported and its alerts.</w:t>
      </w:r>
    </w:p>
    <w:p>
      <w:pPr>
        <w:spacing w:before="0" w:after="60" w:line="276" w:lineRule="auto"/>
        <w:ind w:left="-37" w:right="-680" w:hanging="360"/>
      </w:pPr>
      <w:r>
        <w:t xml:space="preserve">3.</w:t>
        <w:tab/>
      </w:r>
      <w:r>
        <w:rPr>
          <w:b/>
        </w:rPr>
        <w:t xml:space="preserve">Vehicle identity</w:t>
      </w:r>
      <w:r>
        <w:t xml:space="preserve"> is decoded from the VIN: model and variant, body, engine, hand of drive, market, model year, plant and serial number. The VIN is also split into its fields. Choose any red value to list all vehicles that share it.</w:t>
      </w:r>
    </w:p>
    <w:p>
      <w:pPr>
        <w:spacing w:before="0" w:after="60" w:line="276" w:lineRule="auto"/>
        <w:ind w:left="-37" w:right="-680" w:hanging="360"/>
      </w:pPr>
      <w:r>
        <w:t xml:space="preserve">4.</w:t>
        <w:tab/>
        <w:t xml:space="preserve">Read the </w:t>
      </w:r>
      <w:r>
        <w:rPr>
          <w:b/>
        </w:rPr>
        <w:t xml:space="preserve">Check digit</w:t>
      </w:r>
      <w:r>
        <w:t xml:space="preserve"> line. “Wrong” means the VIN does not pass the standard check calculation: look for a typo or a spoofed VIN.</w:t>
      </w:r>
    </w:p>
    <w:p>
      <w:pPr>
        <w:keepNext/>
        <w:spacing w:before="80" w:after="40"/>
        <w:spacing w:line="276" w:lineRule="auto"/>
        <w:ind w:left="-397" w:right="-680"/>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06_vehicle.png"/>
                    <pic:cNvPicPr/>
                  </pic:nvPicPr>
                  <pic:blipFill>
                    <a:blip r:embed="rId20"/>
                    <a:stretch>
                      <a:fillRect/>
                    </a:stretch>
                  </pic:blipFill>
                  <pic:spPr>
                    <a:xfrm>
                      <a:off x="0" y="0"/>
                      <a:ext cx="5760720" cy="3456432"/>
                    </a:xfrm>
                    <a:prstGeom prst="rect"/>
                  </pic:spPr>
                </pic:pic>
              </a:graphicData>
            </a:graphic>
          </wp:inline>
        </w:drawing>
      </w:r>
    </w:p>
    <w:p>
      <w:pPr>
        <w:spacing w:before="0" w:after="140" w:line="276" w:lineRule="auto"/>
        <w:ind w:left="-397" w:right="-680"/>
      </w:pPr>
      <w:r>
        <w:rPr>
          <w:i/>
          <w:sz w:val="18"/>
          <w:szCs w:val="18"/>
        </w:rPr>
        <w:t xml:space="preserve">Figure 6: Vehicle page with the decoded VIN</w:t>
      </w:r>
    </w:p>
    <w:p>
      <w:pPr>
        <w:spacing w:before="60" w:after="120" w:line="276" w:lineRule="auto"/>
        <w:ind w:left="-397" w:right="-680"/>
      </w:pPr>
      <w:r>
        <w:rPr>
          <w:b/>
        </w:rPr>
        <w:t xml:space="preserve">Note:</w:t>
      </w:r>
      <w:r>
        <w:t xml:space="preserve"> The EU/ROW and US/Canada tables overlap for the LEVIII petrol engine. A passenger car with engine code C and restraint code A is shown as US/Canada; trucks are recognised by the WMI SH7. Codes the decoder does not list are shown as “Unknown (X)”, never guessed.</w:t>
      </w:r>
    </w:p>
    <w:p>
      <w:pPr>
        <w:pStyle w:val="berschrift2"/>
        <w:rPr>
          <w:lang w:val="en-GB"/>
        </w:rPr>
        <w:ind w:left="133" w:hanging="757"/>
      </w:pPr>
      <w:bookmarkStart w:id="9019" w:name="_Toc000009019"/>
      <w:r>
        <w:rPr>
          <w:bCs/>
          <w:lang w:val="en-GB"/>
        </w:rPr>
        <w:t xml:space="preserve">Triage alerts</w:t>
      </w:r>
      <w:bookmarkEnd w:id="9019"/>
    </w:p>
    <w:p>
      <w:pPr>
        <w:spacing w:before="0" w:after="60" w:line="276" w:lineRule="auto"/>
        <w:ind w:left="-397" w:right="-680"/>
      </w:pPr>
      <w:r>
        <w:t xml:space="preserve">Detections turn events into alerts. Each alert belongs to one detection and usually to one vehicle.</w:t>
      </w:r>
    </w:p>
    <w:p>
      <w:pPr>
        <w:spacing w:before="0" w:after="60" w:line="276" w:lineRule="auto"/>
        <w:ind w:left="-37" w:right="-680" w:hanging="360"/>
      </w:pPr>
      <w:r>
        <w:t xml:space="preserve">1.</w:t>
        <w:tab/>
        <w:t xml:space="preserve">Open </w:t>
      </w:r>
      <w:r>
        <w:rPr>
          <w:b/>
        </w:rPr>
        <w:t xml:space="preserve">Alerts</w:t>
      </w:r>
      <w:r>
        <w:t xml:space="preserve">. The tabs show Open, All, Resolved, False positive and Suppressed. Filter by text, severity, detection or case state.</w:t>
      </w:r>
    </w:p>
    <w:p>
      <w:pPr>
        <w:spacing w:before="0" w:after="60" w:line="276" w:lineRule="auto"/>
        <w:ind w:left="-37" w:right="-680" w:hanging="360"/>
      </w:pPr>
      <w:r>
        <w:t xml:space="preserve">2.</w:t>
        <w:tab/>
        <w:t xml:space="preserve">Select an alert to open its drawer. It shows the events behind it, the history and the notes.</w:t>
      </w:r>
    </w:p>
    <w:p>
      <w:pPr>
        <w:spacing w:before="0" w:after="60" w:line="276" w:lineRule="auto"/>
        <w:ind w:left="-37" w:right="-680" w:hanging="360"/>
      </w:pPr>
      <w:r>
        <w:t xml:space="preserve">3.</w:t>
        <w:tab/>
        <w:t xml:space="preserve">Decide: set the status </w:t>
      </w:r>
      <w:r>
        <w:rPr>
          <w:b/>
        </w:rPr>
        <w:t xml:space="preserve">In progress</w:t>
      </w:r>
      <w:r>
        <w:t xml:space="preserve"> and an assignee, </w:t>
      </w:r>
      <w:r>
        <w:rPr>
          <w:b/>
        </w:rPr>
        <w:t xml:space="preserve">Resolved</w:t>
      </w:r>
      <w:r>
        <w:t xml:space="preserve">, or </w:t>
      </w:r>
      <w:r>
        <w:rPr>
          <w:b/>
        </w:rPr>
        <w:t xml:space="preserve">False positive</w:t>
      </w:r>
      <w:r>
        <w:t xml:space="preserve">, and add a note that explains the decision.</w:t>
      </w:r>
    </w:p>
    <w:p>
      <w:pPr>
        <w:spacing w:before="0" w:after="60" w:line="276" w:lineRule="auto"/>
        <w:ind w:left="-37" w:right="-680" w:hanging="360"/>
      </w:pPr>
      <w:r>
        <w:t xml:space="preserve">4.</w:t>
        <w:tab/>
        <w:t xml:space="preserve">To handle several alerts alike, tick them and use the bulk actions: set a status, </w:t>
      </w:r>
      <w:r>
        <w:rPr>
          <w:b/>
        </w:rPr>
        <w:t xml:space="preserve">Create case</w:t>
      </w:r>
      <w:r>
        <w:t xml:space="preserve"> (one new case for all of them) or </w:t>
      </w:r>
      <w:r>
        <w:rPr>
          <w:b/>
        </w:rPr>
        <w:t xml:space="preserve">Add to case</w:t>
      </w:r>
      <w:r>
        <w:t xml:space="preserve"> (all of them into an existing case). An alert can be in one case only.</w:t>
      </w:r>
    </w:p>
    <w:p>
      <w:pPr>
        <w:spacing w:before="0" w:after="60" w:line="276" w:lineRule="auto"/>
        <w:ind w:left="-37" w:right="-680" w:hanging="360"/>
      </w:pPr>
      <w:r>
        <w:t xml:space="preserve">5.</w:t>
        <w:tab/>
        <w:t xml:space="preserve">If the drawer shows </w:t>
      </w:r>
      <w:r>
        <w:rPr>
          <w:b/>
        </w:rPr>
        <w:t xml:space="preserve">May belong to an existing case</w:t>
      </w:r>
      <w:r>
        <w:t xml:space="preserve">, the same vehicle already has a case for the same event type within 30 days. Open it, or add the alert to it. Nothing is linked automatically. The alert list shows the hint as “maybe #N”.</w:t>
      </w:r>
    </w:p>
    <w:p>
      <w:pPr>
        <w:spacing w:before="0" w:after="60" w:line="276" w:lineRule="auto"/>
        <w:ind w:left="-37" w:right="-680" w:hanging="360"/>
      </w:pPr>
      <w:r>
        <w:t xml:space="preserve">6.</w:t>
        <w:tab/>
        <w:t xml:space="preserve">If the alert needs real investigation, create a case from it (next step).</w:t>
      </w:r>
    </w:p>
    <w:p>
      <w:pPr>
        <w:spacing w:before="0" w:after="60" w:line="276" w:lineRule="auto"/>
        <w:ind w:left="-37" w:right="-680" w:hanging="360"/>
      </w:pPr>
      <w:r>
        <w:t xml:space="preserve">7.</w:t>
        <w:tab/>
        <w:t xml:space="preserve">If the same harmless pattern keeps coming back, choose </w:t>
      </w:r>
      <w:r>
        <w:rPr>
          <w:b/>
        </w:rPr>
        <w:t xml:space="preserve">Suppress similar alerts</w:t>
      </w:r>
      <w:r>
        <w:t xml:space="preserve"> in the drawer (analyst). See section 7.9.</w:t>
      </w:r>
    </w:p>
    <w:p>
      <w:pPr>
        <w:spacing w:before="60" w:after="120" w:line="276" w:lineRule="auto"/>
        <w:ind w:left="-397" w:right="-680"/>
      </w:pPr>
      <w:r>
        <w:rPr>
          <w:b/>
        </w:rPr>
        <w:t xml:space="preserve">Note:</w:t>
      </w:r>
      <w:r>
        <w:t xml:space="preserve"> Alert and case titles are real links. Right-click and choose </w:t>
      </w:r>
      <w:r>
        <w:rPr>
          <w:b/>
        </w:rPr>
        <w:t xml:space="preserve">Open in new tab</w:t>
      </w:r>
      <w:r>
        <w:t xml:space="preserve"> (or Ctrl-click, or middle-click) to open the alert or the case in its own tab. On a vehicle page a click on an alert opens its details in place and does not leave the vehicle.</w:t>
      </w:r>
    </w:p>
    <w:p>
      <w:pPr>
        <w:keepNext/>
        <w:spacing w:before="80" w:after="40"/>
        <w:spacing w:line="276" w:lineRule="auto"/>
        <w:ind w:left="-397" w:right="-680"/>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07_alerts.png"/>
                    <pic:cNvPicPr/>
                  </pic:nvPicPr>
                  <pic:blipFill>
                    <a:blip r:embed="rId21"/>
                    <a:stretch>
                      <a:fillRect/>
                    </a:stretch>
                  </pic:blipFill>
                  <pic:spPr>
                    <a:xfrm>
                      <a:off x="0" y="0"/>
                      <a:ext cx="5760720" cy="3456432"/>
                    </a:xfrm>
                    <a:prstGeom prst="rect"/>
                  </pic:spPr>
                </pic:pic>
              </a:graphicData>
            </a:graphic>
          </wp:inline>
        </w:drawing>
      </w:r>
    </w:p>
    <w:p>
      <w:pPr>
        <w:spacing w:before="0" w:after="140" w:line="276" w:lineRule="auto"/>
        <w:ind w:left="-397" w:right="-680"/>
      </w:pPr>
      <w:r>
        <w:rPr>
          <w:i/>
          <w:sz w:val="18"/>
          <w:szCs w:val="18"/>
        </w:rPr>
        <w:t xml:space="preserve">Figure 7: Alert queue</w:t>
      </w:r>
    </w:p>
    <w:p>
      <w:pPr>
        <w:spacing w:before="60" w:after="120" w:line="276" w:lineRule="auto"/>
        <w:ind w:left="-397" w:right="-680"/>
      </w:pPr>
      <w:r>
        <w:rPr>
          <w:b/>
        </w:rPr>
        <w:t xml:space="preserve">Note:</w:t>
      </w:r>
      <w:r>
        <w:t xml:space="preserve"> Alerts keep their status, assignee and notes when detections run again. Choose </w:t>
      </w:r>
      <w:r>
        <w:rPr>
          <w:b/>
        </w:rPr>
        <w:t xml:space="preserve">Run detections again</w:t>
      </w:r>
      <w:r>
        <w:t xml:space="preserve"> after you changed a rule or the event catalog.</w:t>
      </w:r>
    </w:p>
    <w:p>
      <w:pPr>
        <w:pStyle w:val="berschrift2"/>
        <w:rPr>
          <w:lang w:val="en-GB"/>
        </w:rPr>
        <w:ind w:left="133" w:hanging="757"/>
      </w:pPr>
      <w:bookmarkStart w:id="9020" w:name="_Toc000009020"/>
      <w:r>
        <w:rPr>
          <w:bCs/>
          <w:lang w:val="en-GB"/>
        </w:rPr>
        <w:t xml:space="preserve">Work a case</w:t>
      </w:r>
      <w:bookmarkEnd w:id="9020"/>
    </w:p>
    <w:p>
      <w:pPr>
        <w:spacing w:before="0" w:after="60" w:line="276" w:lineRule="auto"/>
        <w:ind w:left="-37" w:right="-680" w:hanging="360"/>
      </w:pPr>
      <w:r>
        <w:t xml:space="preserve">1.</w:t>
        <w:tab/>
        <w:t xml:space="preserve">Create the case from one or more alerts (alert drawer or bulk action). The linked alerts change to </w:t>
      </w:r>
      <w:r>
        <w:rPr>
          <w:b/>
        </w:rPr>
        <w:t xml:space="preserve">In progress</w:t>
      </w:r>
      <w:r>
        <w:t xml:space="preserve">.</w:t>
      </w:r>
    </w:p>
    <w:p>
      <w:pPr>
        <w:spacing w:before="0" w:after="60" w:line="276" w:lineRule="auto"/>
        <w:ind w:left="-37" w:right="-680" w:hanging="360"/>
      </w:pPr>
      <w:r>
        <w:t xml:space="preserve">2.</w:t>
        <w:tab/>
        <w:t xml:space="preserve">Give the case a clear title, write what happened and what is known in the summary, and set severity, owner and due date.</w:t>
      </w:r>
    </w:p>
    <w:p>
      <w:pPr>
        <w:spacing w:before="0" w:after="60" w:line="276" w:lineRule="auto"/>
        <w:ind w:left="-37" w:right="-680" w:hanging="360"/>
      </w:pPr>
      <w:r>
        <w:t xml:space="preserve">3.</w:t>
        <w:tab/>
        <w:t xml:space="preserve">Work through the checklist. The default tasks are: review the linked events and the vehicle history; check whether other vehicles show the same pattern; confirm with the system or component owner; assess the impact on TARA threat scenarios and CSMS; decide on the response and whether reporting is needed; document the findings. Add or remove tasks as needed.</w:t>
      </w:r>
    </w:p>
    <w:p>
      <w:pPr>
        <w:spacing w:before="0" w:after="60" w:line="276" w:lineRule="auto"/>
        <w:ind w:left="-37" w:right="-680" w:hanging="360"/>
      </w:pPr>
      <w:r>
        <w:t xml:space="preserve">4.</w:t>
        <w:tab/>
        <w:t xml:space="preserve">Write the result of each step into the box under the task, for example what you found or decided. It is saved when you leave the box and appears in the activity log and in the case report.</w:t>
      </w:r>
    </w:p>
    <w:p>
      <w:pPr>
        <w:spacing w:before="0" w:after="60" w:line="276" w:lineRule="auto"/>
        <w:ind w:left="-37" w:right="-680" w:hanging="360"/>
      </w:pPr>
      <w:r>
        <w:t xml:space="preserve">5.</w:t>
        <w:tab/>
        <w:t xml:space="preserve">Set the status to </w:t>
      </w:r>
      <w:r>
        <w:rPr>
          <w:b/>
        </w:rPr>
        <w:t xml:space="preserve">Investigating</w:t>
      </w:r>
      <w:r>
        <w:t xml:space="preserve"> or </w:t>
      </w:r>
      <w:r>
        <w:rPr>
          <w:b/>
        </w:rPr>
        <w:t xml:space="preserve">Waiting</w:t>
      </w:r>
      <w:r>
        <w:t xml:space="preserve"> as the work moves. Link or unlink alerts when the picture changes.</w:t>
      </w:r>
    </w:p>
    <w:p>
      <w:pPr>
        <w:spacing w:before="0" w:after="60" w:line="276" w:lineRule="auto"/>
        <w:ind w:left="-37" w:right="-680" w:hanging="360"/>
      </w:pPr>
      <w:r>
        <w:t xml:space="preserve">6.</w:t>
        <w:tab/>
        <w:t xml:space="preserve">Write the root cause, affected vehicles and decision into </w:t>
      </w:r>
      <w:r>
        <w:rPr>
          <w:b/>
        </w:rPr>
        <w:t xml:space="preserve">Findings and decision</w:t>
      </w:r>
      <w:r>
        <w:t xml:space="preserve">. Add comments for anything others should know.</w:t>
      </w:r>
    </w:p>
    <w:p>
      <w:pPr>
        <w:spacing w:before="0" w:after="60" w:line="276" w:lineRule="auto"/>
        <w:ind w:left="-37" w:right="-680" w:hanging="360"/>
      </w:pPr>
      <w:r>
        <w:t xml:space="preserve">7.</w:t>
        <w:tab/>
        <w:t xml:space="preserve">Choose </w:t>
      </w:r>
      <w:r>
        <w:rPr>
          <w:b/>
        </w:rPr>
        <w:t xml:space="preserve">Close case</w:t>
      </w:r>
      <w:r>
        <w:t xml:space="preserve"> and pick a resolution. Open alerts of the case can be resolved at the same time. </w:t>
      </w:r>
      <w:r>
        <w:rPr>
          <w:b/>
        </w:rPr>
        <w:t xml:space="preserve">Reopen</w:t>
      </w:r>
      <w:r>
        <w:t xml:space="preserve"> brings a closed case back.</w:t>
      </w:r>
    </w:p>
    <w:p>
      <w:pPr>
        <w:spacing w:before="0" w:after="60" w:line="276" w:lineRule="auto"/>
        <w:ind w:left="-37" w:right="-680" w:hanging="360"/>
      </w:pPr>
      <w:r>
        <w:t xml:space="preserve">8.</w:t>
        <w:tab/>
        <w:t xml:space="preserve">Choose </w:t>
      </w:r>
      <w:r>
        <w:rPr>
          <w:b/>
        </w:rPr>
        <w:t xml:space="preserve">Export report</w:t>
      </w:r>
      <w:r>
        <w:t xml:space="preserve"> at any time to open a printable report of the case. In the print dialog choose Save as PDF. Each export is written to the audit log.</w:t>
      </w:r>
    </w:p>
    <w:p>
      <w:pPr>
        <w:keepNext/>
        <w:spacing w:before="80" w:after="40"/>
        <w:spacing w:line="276" w:lineRule="auto"/>
        <w:ind w:left="-397" w:right="-680"/>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09_case.png"/>
                    <pic:cNvPicPr/>
                  </pic:nvPicPr>
                  <pic:blipFill>
                    <a:blip r:embed="rId22"/>
                    <a:stretch>
                      <a:fillRect/>
                    </a:stretch>
                  </pic:blipFill>
                  <pic:spPr>
                    <a:xfrm>
                      <a:off x="0" y="0"/>
                      <a:ext cx="5760720" cy="3456432"/>
                    </a:xfrm>
                    <a:prstGeom prst="rect"/>
                  </pic:spPr>
                </pic:pic>
              </a:graphicData>
            </a:graphic>
          </wp:inline>
        </w:drawing>
      </w:r>
    </w:p>
    <w:p>
      <w:pPr>
        <w:spacing w:before="0" w:after="140" w:line="276" w:lineRule="auto"/>
        <w:ind w:left="-397" w:right="-680"/>
      </w:pPr>
      <w:r>
        <w:rPr>
          <w:i/>
          <w:sz w:val="18"/>
          <w:szCs w:val="18"/>
        </w:rPr>
        <w:t xml:space="preserve">Figure 8: Case with checklist results, details and linked alerts</w:t>
      </w:r>
    </w:p>
    <w:p>
      <w:pPr>
        <w:spacing w:before="60" w:after="60" w:line="276" w:lineRule="auto"/>
        <w:ind w:left="-397" w:right="-680"/>
      </w:pPr>
      <w:r>
        <w:t xml:space="preserve">The report contains the case facts, summary, findings and decision, the vehicles with their decoded VIN, the linked alerts, the checklist and the full activity log, all in UTC.</w:t>
      </w:r>
    </w:p>
    <w:p>
      <w:pPr>
        <w:keepNext/>
        <w:spacing w:before="80" w:after="40"/>
        <w:spacing w:line="276" w:lineRule="auto"/>
        <w:ind w:left="-397" w:right="-680"/>
      </w:pPr>
      <w:r>
        <w:drawing>
          <wp:inline xmlns:a="http://schemas.openxmlformats.org/drawingml/2006/main" xmlns:pic="http://schemas.openxmlformats.org/drawingml/2006/picture">
            <wp:extent cx="4937760" cy="6748272"/>
            <wp:docPr id="1" name="Picture 1"/>
            <wp:cNvGraphicFramePr>
              <a:graphicFrameLocks noChangeAspect="1"/>
            </wp:cNvGraphicFramePr>
            <a:graphic>
              <a:graphicData uri="http://schemas.openxmlformats.org/drawingml/2006/picture">
                <pic:pic>
                  <pic:nvPicPr>
                    <pic:cNvPr id="0" name="15_report.png"/>
                    <pic:cNvPicPr/>
                  </pic:nvPicPr>
                  <pic:blipFill>
                    <a:blip r:embed="rId23"/>
                    <a:stretch>
                      <a:fillRect/>
                    </a:stretch>
                  </pic:blipFill>
                  <pic:spPr>
                    <a:xfrm>
                      <a:off x="0" y="0"/>
                      <a:ext cx="4937760" cy="6748272"/>
                    </a:xfrm>
                    <a:prstGeom prst="rect"/>
                  </pic:spPr>
                </pic:pic>
              </a:graphicData>
            </a:graphic>
          </wp:inline>
        </w:drawing>
      </w:r>
    </w:p>
    <w:p>
      <w:pPr>
        <w:spacing w:before="0" w:after="140" w:line="276" w:lineRule="auto"/>
        <w:ind w:left="-397" w:right="-680"/>
      </w:pPr>
      <w:r>
        <w:rPr>
          <w:i/>
          <w:sz w:val="18"/>
          <w:szCs w:val="18"/>
        </w:rPr>
        <w:t xml:space="preserve">Figure 9: Case report (top part)</w:t>
      </w:r>
    </w:p>
    <w:p>
      <w:pPr>
        <w:spacing w:before="60" w:after="100" w:line="276" w:lineRule="auto"/>
        <w:ind w:left="-397" w:right="-680"/>
      </w:pPr>
      <w:r>
        <w:t xml:space="preserve">The </w:t>
      </w:r>
      <w:r>
        <w:rPr>
          <w:b/>
        </w:rPr>
        <w:t xml:space="preserve">Cases</w:t>
      </w:r>
      <w:r>
        <w:t xml:space="preserve"> page starts with a dashboard: cases by status, overdue and ownerless cases, age, cases opened and closed per week, time to close, severity, owners and resolutions.</w:t>
      </w:r>
    </w:p>
    <w:p>
      <w:pPr>
        <w:pStyle w:val="berschrift2"/>
        <w:rPr>
          <w:lang w:val="en-GB"/>
        </w:rPr>
        <w:ind w:left="133" w:hanging="757"/>
      </w:pPr>
      <w:bookmarkStart w:id="9021" w:name="_Toc000009021"/>
      <w:r>
        <w:rPr>
          <w:bCs/>
          <w:lang w:val="en-GB"/>
        </w:rPr>
        <w:t xml:space="preserve">Tune detections, suppression rules and the event catalog</w:t>
      </w:r>
      <w:bookmarkEnd w:id="9021"/>
    </w:p>
    <w:p>
      <w:pPr>
        <w:spacing w:before="0" w:after="60" w:line="276" w:lineRule="auto"/>
        <w:ind w:left="-37" w:right="-680" w:hanging="360"/>
      </w:pPr>
      <w:r>
        <w:t xml:space="preserve">1.</w:t>
        <w:tab/>
        <w:t xml:space="preserve">Open </w:t>
      </w:r>
      <w:r>
        <w:rPr>
          <w:b/>
        </w:rPr>
        <w:t xml:space="preserve">Detections</w:t>
      </w:r>
      <w:r>
        <w:t xml:space="preserve"> (administrator to change, everyone to read). Six rules are available; each can be switched on or off and tuned.</w:t>
      </w:r>
    </w:p>
    <w:p>
      <w:pPr>
        <w:spacing w:before="0" w:after="60" w:line="276" w:lineRule="auto"/>
        <w:ind w:left="-37" w:right="-680" w:hanging="360"/>
      </w:pPr>
      <w:r>
        <w:t xml:space="preserve">2.</w:t>
        <w:tab/>
        <w:t xml:space="preserve">Open </w:t>
      </w:r>
      <w:r>
        <w:rPr>
          <w:b/>
        </w:rPr>
        <w:t xml:space="preserve">Event catalog</w:t>
      </w:r>
      <w:r>
        <w:t xml:space="preserve"> to set the severity and category of each event type. The defaults are only a starting point; adjust them to your TARA.</w:t>
      </w:r>
    </w:p>
    <w:p>
      <w:pPr>
        <w:spacing w:before="0" w:after="60" w:line="276" w:lineRule="auto"/>
        <w:ind w:left="-37" w:right="-680" w:hanging="360"/>
      </w:pPr>
      <w:r>
        <w:t xml:space="preserve">3.</w:t>
        <w:tab/>
        <w:t xml:space="preserve">Unclassified event types raise their own alert until you classify them.</w:t>
      </w:r>
    </w:p>
    <w:p>
      <w:pPr>
        <w:spacing w:before="0" w:after="60" w:line="276" w:lineRule="auto"/>
        <w:ind w:left="-37" w:right="-680" w:hanging="360"/>
      </w:pPr>
      <w:r>
        <w:t xml:space="preserve">4.</w:t>
        <w:tab/>
        <w:t xml:space="preserve">Silence a known-benign pattern with a </w:t>
      </w:r>
      <w:r>
        <w:rPr>
          <w:b/>
        </w:rPr>
        <w:t xml:space="preserve">suppression rule</w:t>
      </w:r>
      <w:r>
        <w:t xml:space="preserve"> (below).</w:t>
      </w:r>
    </w:p>
    <w:tbl>
      <w:tblPr>
        <w:tblStyle w:val="Tabellenraster"/>
        <w:tblW w:w="10207" w:type="dxa"/>
        <w:tblInd w:w="-431" w:type="dxa"/>
        <w:tblLook w:val="04A0" w:firstRow="1" w:lastRow="0" w:firstColumn="1" w:lastColumn="0" w:noHBand="0" w:noVBand="1"/>
      </w:tblPr>
      <w:tblGrid>
        <w:gridCol w:w="2700"/>
        <w:gridCol w:w="7507"/>
      </w:tblGrid>
      <w:tr>
        <w:trPr>
          <w:tblHeader/>
        </w:trPr>
        <w:tc>
          <w:tcPr>
            <w:tcW w:w="2700"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Detection</w:t>
            </w:r>
          </w:p>
        </w:tc>
        <w:tc>
          <w:tcPr>
            <w:tcW w:w="7507" w:type="dxa"/>
            <w:shd w:val="clear" w:color="auto" w:fill="E8E8E8" w:themeFill="background2"/>
            <w:hideMark/>
          </w:tcPr>
          <w:p>
            <w:pPr>
              <w:keepNext/>
              <w:spacing w:line="276" w:lineRule="auto"/>
              <w:rPr>
                <w:rFonts w:ascii="Arial" w:hAnsi="Arial" w:cs="Arial"/>
                <w:sz w:val="22"/>
                <w:szCs w:val="22"/>
                <w:lang w:val="en-GB"/>
              </w:rPr>
            </w:pPr>
            <w:r>
              <w:rPr>
                <w:rFonts w:ascii="Arial" w:hAnsi="Arial" w:cs="Arial"/>
                <w:lang w:val="en-GB"/>
                <w:sz w:val="20"/>
                <w:szCs w:val="20"/>
              </w:rPr>
              <w:t xml:space="preserve">What it finds</w:t>
            </w:r>
          </w:p>
        </w:tc>
      </w:tr>
      <w:tr>
        <w:trPr>
          <w:cantSplit/>
        </w:trPr>
        <w:tc>
          <w:tcPr>
            <w:tcW w:w="27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High-severity event</w:t>
            </w:r>
          </w:p>
        </w:tc>
        <w:tc>
          <w:tcPr>
            <w:tcW w:w="75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 types at or above a minimum severity, per vehicle, ECU and type.</w:t>
            </w:r>
          </w:p>
        </w:tc>
      </w:tr>
      <w:tr>
        <w:trPr>
          <w:cantSplit/>
        </w:trPr>
        <w:tc>
          <w:tcPr>
            <w:tcW w:w="27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Event burst</w:t>
            </w:r>
          </w:p>
        </w:tc>
        <w:tc>
          <w:tcPr>
            <w:tcW w:w="75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N or more events of one type on one vehicle within a time window (default 3 in 60 minutes). Raises the severity by one level.</w:t>
            </w:r>
          </w:p>
        </w:tc>
      </w:tr>
      <w:tr>
        <w:trPr>
          <w:cantSplit/>
        </w:trPr>
        <w:tc>
          <w:tcPr>
            <w:tcW w:w="27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Multiple ECUs affected</w:t>
            </w:r>
          </w:p>
        </w:tc>
        <w:tc>
          <w:tcPr>
            <w:tcW w:w="75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One vehicle reports non-info events from at least N ECUs on the same UTC day (default 3).</w:t>
            </w:r>
          </w:p>
        </w:tc>
      </w:tr>
      <w:tr>
        <w:trPr>
          <w:cantSplit/>
        </w:trPr>
        <w:tc>
          <w:tcPr>
            <w:tcW w:w="27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Vehicle outlier</w:t>
            </w:r>
          </w:p>
        </w:tc>
        <w:tc>
          <w:tcPr>
            <w:tcW w:w="75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A vehicle with far more non-info events than the fleet average (default 3 standard deviations, at least 10 events).</w:t>
            </w:r>
          </w:p>
        </w:tc>
      </w:tr>
      <w:tr>
        <w:trPr>
          <w:cantSplit/>
        </w:trPr>
        <w:tc>
          <w:tcPr>
            <w:tcW w:w="2700"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Fleet-wide spike</w:t>
            </w:r>
          </w:p>
        </w:tc>
        <w:tc>
          <w:tcPr>
            <w:tcW w:w="7507" w:type="dxa"/>
            <w:hideMark/>
          </w:tcPr>
          <w:p>
            <w:pPr>
              <w:keepNext/>
              <w:spacing w:line="276" w:lineRule="auto"/>
              <w:rPr>
                <w:rFonts w:ascii="Arial" w:hAnsi="Arial" w:cs="Arial"/>
                <w:sz w:val="22"/>
                <w:szCs w:val="22"/>
                <w:lang w:val="en-GB"/>
              </w:rPr>
            </w:pPr>
            <w:r>
              <w:rPr>
                <w:rFonts w:ascii="Arial" w:hAnsi="Arial" w:cs="Arial"/>
                <w:lang w:val="en-GB"/>
                <w:sz w:val="20"/>
                <w:szCs w:val="20"/>
              </w:rPr>
              <w:t xml:space="preserve">A UTC day with far more non-info events than the daily average. Neighbouring spike days are merged.</w:t>
            </w:r>
          </w:p>
        </w:tc>
      </w:tr>
      <w:tr>
        <w:trPr>
          <w:cantSplit/>
        </w:trPr>
        <w:tc>
          <w:tcPr>
            <w:tcW w:w="2700" w:type="dxa"/>
            <w:hideMark/>
          </w:tcPr>
          <w:p>
            <w:pPr>
              <w:spacing w:line="276" w:lineRule="auto"/>
              <w:rPr>
                <w:rFonts w:ascii="Arial" w:hAnsi="Arial" w:cs="Arial"/>
                <w:sz w:val="22"/>
                <w:szCs w:val="22"/>
                <w:lang w:val="en-GB"/>
              </w:rPr>
            </w:pPr>
            <w:r>
              <w:rPr>
                <w:rFonts w:ascii="Arial" w:hAnsi="Arial" w:cs="Arial"/>
                <w:lang w:val="en-GB"/>
                <w:sz w:val="20"/>
                <w:szCs w:val="20"/>
              </w:rPr>
              <w:t xml:space="preserve">Unclassified event type</w:t>
            </w:r>
          </w:p>
        </w:tc>
        <w:tc>
          <w:tcPr>
            <w:tcW w:w="7507" w:type="dxa"/>
            <w:hideMark/>
          </w:tcPr>
          <w:p>
            <w:pPr>
              <w:spacing w:line="276" w:lineRule="auto"/>
              <w:rPr>
                <w:rFonts w:ascii="Arial" w:hAnsi="Arial" w:cs="Arial"/>
                <w:sz w:val="22"/>
                <w:szCs w:val="22"/>
                <w:lang w:val="en-GB"/>
              </w:rPr>
            </w:pPr>
            <w:r>
              <w:rPr>
                <w:rFonts w:ascii="Arial" w:hAnsi="Arial" w:cs="Arial"/>
                <w:lang w:val="en-GB"/>
                <w:sz w:val="20"/>
                <w:szCs w:val="20"/>
              </w:rPr>
              <w:t xml:space="preserve">An event type that is not yet classified in the catalog.</w:t>
            </w:r>
          </w:p>
        </w:tc>
      </w:tr>
    </w:tbl>
    <w:p>
      <w:pPr>
        <w:keepNext/>
        <w:spacing w:before="80" w:after="40"/>
        <w:spacing w:line="276" w:lineRule="auto"/>
        <w:ind w:left="-397" w:right="-680"/>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10_detections.png"/>
                    <pic:cNvPicPr/>
                  </pic:nvPicPr>
                  <pic:blipFill>
                    <a:blip r:embed="rId24"/>
                    <a:stretch>
                      <a:fillRect/>
                    </a:stretch>
                  </pic:blipFill>
                  <pic:spPr>
                    <a:xfrm>
                      <a:off x="0" y="0"/>
                      <a:ext cx="5486400" cy="3291840"/>
                    </a:xfrm>
                    <a:prstGeom prst="rect"/>
                  </pic:spPr>
                </pic:pic>
              </a:graphicData>
            </a:graphic>
          </wp:inline>
        </w:drawing>
      </w:r>
    </w:p>
    <w:p>
      <w:pPr>
        <w:spacing w:before="0" w:after="140" w:line="276" w:lineRule="auto"/>
        <w:ind w:left="-397" w:right="-680"/>
      </w:pPr>
      <w:r>
        <w:rPr>
          <w:i/>
          <w:sz w:val="18"/>
          <w:szCs w:val="18"/>
        </w:rPr>
        <w:t xml:space="preserve">Figure 10: Detection rules</w:t>
      </w:r>
    </w:p>
    <w:p>
      <w:pPr>
        <w:keepNext/>
        <w:spacing w:before="80" w:after="60" w:line="276" w:lineRule="auto"/>
        <w:ind w:left="-397" w:right="-680"/>
      </w:pPr>
      <w:r>
        <w:rPr>
          <w:b/>
        </w:rPr>
        <w:t xml:space="preserve">Suppression rules</w:t>
      </w:r>
      <w:r>
        <w:t xml:space="preserve"> hide alerts for a pattern you have judged harmless, for example an event type that a bench diagnostic tool always triggers.</w:t>
      </w:r>
    </w:p>
    <w:p>
      <w:pPr>
        <w:spacing w:before="0" w:after="60" w:line="276" w:lineRule="auto"/>
        <w:ind w:left="-37" w:right="-680" w:hanging="360"/>
      </w:pPr>
      <w:r>
        <w:t xml:space="preserve">1.</w:t>
        <w:tab/>
        <w:t xml:space="preserve">Open the alert and choose </w:t>
      </w:r>
      <w:r>
        <w:rPr>
          <w:b/>
        </w:rPr>
        <w:t xml:space="preserve">Suppress similar alerts</w:t>
      </w:r>
      <w:r>
        <w:t xml:space="preserve">, or choose </w:t>
      </w:r>
      <w:r>
        <w:rPr>
          <w:b/>
        </w:rPr>
        <w:t xml:space="preserve">New rule</w:t>
      </w:r>
      <w:r>
        <w:t xml:space="preserve"> under Detections → Suppression rules.</w:t>
      </w:r>
    </w:p>
    <w:p>
      <w:pPr>
        <w:spacing w:before="0" w:after="60" w:line="276" w:lineRule="auto"/>
        <w:ind w:left="-37" w:right="-680" w:hanging="360"/>
      </w:pPr>
      <w:r>
        <w:t xml:space="preserve">2.</w:t>
        <w:tab/>
        <w:t xml:space="preserve">Choose what the rule matches: detection, ECU, event type and, if wanted, one vehicle. Leave a field empty to match anything. At least one field is required.</w:t>
      </w:r>
    </w:p>
    <w:p>
      <w:pPr>
        <w:spacing w:before="0" w:after="60" w:line="276" w:lineRule="auto"/>
        <w:ind w:left="-37" w:right="-680" w:hanging="360"/>
      </w:pPr>
      <w:r>
        <w:t xml:space="preserve">3.</w:t>
        <w:tab/>
        <w:t xml:space="preserve">Write the reason. Everyone who opens a suppressed alert reads it, and the audit log keeps it.</w:t>
      </w:r>
    </w:p>
    <w:p>
      <w:pPr>
        <w:spacing w:before="0" w:after="60" w:line="276" w:lineRule="auto"/>
        <w:ind w:left="-37" w:right="-680" w:hanging="360"/>
      </w:pPr>
      <w:r>
        <w:t xml:space="preserve">4.</w:t>
        <w:tab/>
        <w:t xml:space="preserve">Choose how long the rule lasts (30 days to 1 year, or no expiry; 90 days is preset) and create the rule.</w:t>
      </w:r>
    </w:p>
    <w:p>
      <w:pPr>
        <w:keepNext/>
        <w:spacing w:before="80" w:after="40"/>
        <w:spacing w:line="276" w:lineRule="auto"/>
        <w:ind w:left="-397" w:right="-680"/>
      </w:pPr>
      <w:r>
        <w:drawing>
          <wp:inline xmlns:a="http://schemas.openxmlformats.org/drawingml/2006/main" xmlns:pic="http://schemas.openxmlformats.org/drawingml/2006/picture">
            <wp:extent cx="5669280" cy="1326973"/>
            <wp:docPr id="1" name="Picture 1"/>
            <wp:cNvGraphicFramePr>
              <a:graphicFrameLocks noChangeAspect="1"/>
            </wp:cNvGraphicFramePr>
            <a:graphic>
              <a:graphicData uri="http://schemas.openxmlformats.org/drawingml/2006/picture">
                <pic:pic>
                  <pic:nvPicPr>
                    <pic:cNvPr id="0" name="14_suppression.png"/>
                    <pic:cNvPicPr/>
                  </pic:nvPicPr>
                  <pic:blipFill>
                    <a:blip r:embed="rId25"/>
                    <a:stretch>
                      <a:fillRect/>
                    </a:stretch>
                  </pic:blipFill>
                  <pic:spPr>
                    <a:xfrm>
                      <a:off x="0" y="0"/>
                      <a:ext cx="5669280" cy="1326973"/>
                    </a:xfrm>
                    <a:prstGeom prst="rect"/>
                  </pic:spPr>
                </pic:pic>
              </a:graphicData>
            </a:graphic>
          </wp:inline>
        </w:drawing>
      </w:r>
    </w:p>
    <w:p>
      <w:pPr>
        <w:spacing w:before="0" w:after="140" w:line="276" w:lineRule="auto"/>
        <w:ind w:left="-397" w:right="-680"/>
      </w:pPr>
      <w:r>
        <w:rPr>
          <w:i/>
          <w:sz w:val="18"/>
          <w:szCs w:val="18"/>
        </w:rPr>
        <w:t xml:space="preserve">Figure 11: Suppression rules on the Detections page</w:t>
      </w:r>
    </w:p>
    <w:p>
      <w:pPr>
        <w:spacing w:before="0" w:after="40" w:line="276" w:lineRule="auto"/>
        <w:ind w:left="-37" w:right="-680" w:hanging="360"/>
      </w:pPr>
      <w:r>
        <w:t xml:space="preserve">•</w:t>
        <w:tab/>
        <w:t xml:space="preserve">Matching alerts get the status </w:t>
      </w:r>
      <w:r>
        <w:rPr>
          <w:b/>
        </w:rPr>
        <w:t xml:space="preserve">Suppressed</w:t>
      </w:r>
      <w:r>
        <w:t xml:space="preserve"> and move to the Suppressed tab. They are not deleted and still count there.</w:t>
      </w:r>
    </w:p>
    <w:p>
      <w:pPr>
        <w:spacing w:before="0" w:after="40" w:line="276" w:lineRule="auto"/>
        <w:ind w:left="-37" w:right="-680" w:hanging="360"/>
      </w:pPr>
      <w:r>
        <w:t xml:space="preserve">•</w:t>
        <w:tab/>
        <w:t xml:space="preserve">Alerts that someone already works on (in progress or in a case) are never suppressed.</w:t>
      </w:r>
    </w:p>
    <w:p>
      <w:pPr>
        <w:spacing w:before="0" w:after="40" w:line="276" w:lineRule="auto"/>
        <w:ind w:left="-37" w:right="-680" w:hanging="360"/>
      </w:pPr>
      <w:r>
        <w:t xml:space="preserve">•</w:t>
        <w:tab/>
        <w:t xml:space="preserve">When a rule is switched off, deleted or expires, its alerts return to </w:t>
      </w:r>
      <w:r>
        <w:rPr>
          <w:b/>
        </w:rPr>
        <w:t xml:space="preserve">New</w:t>
      </w:r>
      <w:r>
        <w:t xml:space="preserve">.</w:t>
      </w:r>
    </w:p>
    <w:p>
      <w:pPr>
        <w:spacing w:before="0" w:after="40" w:line="276" w:lineRule="auto"/>
        <w:ind w:left="-37" w:right="-680" w:hanging="360"/>
      </w:pPr>
      <w:r>
        <w:t xml:space="preserve">•</w:t>
        <w:tab/>
        <w:t xml:space="preserve">Events are never hidden. Only the alerts made from them are.</w:t>
      </w:r>
    </w:p>
    <w:p>
      <w:pPr>
        <w:pStyle w:val="berschrift2"/>
        <w:rPr>
          <w:lang w:val="en-GB"/>
        </w:rPr>
        <w:ind w:left="133" w:hanging="757"/>
      </w:pPr>
      <w:bookmarkStart w:id="9022" w:name="_Toc000009022"/>
      <w:r>
        <w:rPr>
          <w:bCs/>
          <w:lang w:val="en-GB"/>
        </w:rPr>
        <w:t xml:space="preserve">Set up two-step sign-in</w:t>
      </w:r>
      <w:bookmarkEnd w:id="9022"/>
    </w:p>
    <w:p>
      <w:pPr>
        <w:keepNext/>
        <w:spacing w:before="0" w:after="60" w:line="276" w:lineRule="auto"/>
        <w:ind w:left="-397" w:right="-680"/>
      </w:pPr>
      <w:r>
        <w:t xml:space="preserve">A second step means a stolen password is not enough. You can use an authenticator app, a passkey, or both. Open </w:t>
      </w:r>
      <w:r>
        <w:rPr>
          <w:b/>
        </w:rPr>
        <w:t xml:space="preserve">Account → Two-step sign-in</w:t>
      </w:r>
      <w:r>
        <w:t xml:space="preserve">.</w:t>
      </w:r>
    </w:p>
    <w:p>
      <w:pPr>
        <w:spacing w:before="0" w:after="60" w:line="276" w:lineRule="auto"/>
        <w:ind w:left="-37" w:right="-680" w:hanging="360"/>
      </w:pPr>
      <w:r>
        <w:t xml:space="preserve">1.</w:t>
        <w:tab/>
        <w:t xml:space="preserve">Enter your password in the field at the top of the panel. Every change in this panel asks for it.</w:t>
      </w:r>
    </w:p>
    <w:p>
      <w:pPr>
        <w:spacing w:before="0" w:after="60" w:line="276" w:lineRule="auto"/>
        <w:ind w:left="-37" w:right="-680" w:hanging="360"/>
      </w:pPr>
      <w:r>
        <w:t xml:space="preserve">2.</w:t>
        <w:tab/>
      </w:r>
      <w:r>
        <w:rPr>
          <w:b/>
        </w:rPr>
        <w:t xml:space="preserve">Authenticator app:</w:t>
      </w:r>
      <w:r>
        <w:t xml:space="preserve"> choose </w:t>
      </w:r>
      <w:r>
        <w:rPr>
          <w:b/>
        </w:rPr>
        <w:t xml:space="preserve">Set up</w:t>
      </w:r>
      <w:r>
        <w:t xml:space="preserve">, scan the QR code with your authenticator app (or type the key), enter the 6-digit code and choose </w:t>
      </w:r>
      <w:r>
        <w:rPr>
          <w:b/>
        </w:rPr>
        <w:t xml:space="preserve">Turn on</w:t>
      </w:r>
      <w:r>
        <w:t xml:space="preserve">.</w:t>
      </w:r>
    </w:p>
    <w:p>
      <w:pPr>
        <w:spacing w:before="0" w:after="60" w:line="276" w:lineRule="auto"/>
        <w:ind w:left="-37" w:right="-680" w:hanging="360"/>
      </w:pPr>
      <w:r>
        <w:t xml:space="preserve">3.</w:t>
        <w:tab/>
      </w:r>
      <w:r>
        <w:rPr>
          <w:b/>
        </w:rPr>
        <w:t xml:space="preserve">Passkey:</w:t>
      </w:r>
      <w:r>
        <w:t xml:space="preserve"> open the tool as </w:t>
      </w:r>
      <w:r>
        <w:rPr>
          <w:b/>
        </w:rPr>
        <w:t xml:space="preserve">http://localhost:8765</w:t>
      </w:r>
      <w:r>
        <w:t xml:space="preserve">, enter a name, choose </w:t>
      </w:r>
      <w:r>
        <w:rPr>
          <w:b/>
        </w:rPr>
        <w:t xml:space="preserve">Add a passkey</w:t>
      </w:r>
      <w:r>
        <w:t xml:space="preserve"> and confirm with your fingerprint, face, PIN or security key.</w:t>
      </w:r>
    </w:p>
    <w:p>
      <w:pPr>
        <w:spacing w:before="0" w:after="60" w:line="276" w:lineRule="auto"/>
        <w:ind w:left="-37" w:right="-680" w:hanging="360"/>
      </w:pPr>
      <w:r>
        <w:t xml:space="preserve">4.</w:t>
        <w:tab/>
      </w:r>
      <w:r>
        <w:rPr>
          <w:b/>
        </w:rPr>
        <w:t xml:space="preserve">Recovery codes:</w:t>
      </w:r>
      <w:r>
        <w:t xml:space="preserve"> the first method you add creates ten recovery codes. Copy or download them now. They are shown only once.</w:t>
      </w:r>
    </w:p>
    <w:p>
      <w:pPr>
        <w:keepNext/>
        <w:spacing w:before="80" w:after="40"/>
        <w:spacing w:line="276" w:lineRule="auto"/>
        <w:ind w:left="-397" w:right="-680"/>
      </w:pPr>
      <w:r>
        <w:drawing>
          <wp:inline xmlns:a="http://schemas.openxmlformats.org/drawingml/2006/main" xmlns:pic="http://schemas.openxmlformats.org/drawingml/2006/picture">
            <wp:extent cx="4937760" cy="3275248"/>
            <wp:docPr id="1" name="Picture 1"/>
            <wp:cNvGraphicFramePr>
              <a:graphicFrameLocks noChangeAspect="1"/>
            </wp:cNvGraphicFramePr>
            <a:graphic>
              <a:graphicData uri="http://schemas.openxmlformats.org/drawingml/2006/picture">
                <pic:pic>
                  <pic:nvPicPr>
                    <pic:cNvPr id="0" name="17_mfa_setup.png"/>
                    <pic:cNvPicPr/>
                  </pic:nvPicPr>
                  <pic:blipFill>
                    <a:blip r:embed="rId26"/>
                    <a:stretch>
                      <a:fillRect/>
                    </a:stretch>
                  </pic:blipFill>
                  <pic:spPr>
                    <a:xfrm>
                      <a:off x="0" y="0"/>
                      <a:ext cx="4937760" cy="3275248"/>
                    </a:xfrm>
                    <a:prstGeom prst="rect"/>
                  </pic:spPr>
                </pic:pic>
              </a:graphicData>
            </a:graphic>
          </wp:inline>
        </w:drawing>
      </w:r>
    </w:p>
    <w:p>
      <w:pPr>
        <w:spacing w:before="0" w:after="140" w:line="276" w:lineRule="auto"/>
        <w:ind w:left="-397" w:right="-680"/>
      </w:pPr>
      <w:r>
        <w:rPr>
          <w:i/>
          <w:sz w:val="18"/>
          <w:szCs w:val="18"/>
        </w:rPr>
        <w:t xml:space="preserve">Figure 12: Setting up the authenticator app</w:t>
      </w:r>
    </w:p>
    <w:p>
      <w:pPr>
        <w:keepNext/>
        <w:spacing w:before="80" w:after="40"/>
        <w:spacing w:line="276" w:lineRule="auto"/>
        <w:ind w:left="-397" w:right="-680"/>
      </w:pPr>
      <w:r>
        <w:drawing>
          <wp:inline xmlns:a="http://schemas.openxmlformats.org/drawingml/2006/main" xmlns:pic="http://schemas.openxmlformats.org/drawingml/2006/picture">
            <wp:extent cx="4937760" cy="2578387"/>
            <wp:docPr id="1" name="Picture 1"/>
            <wp:cNvGraphicFramePr>
              <a:graphicFrameLocks noChangeAspect="1"/>
            </wp:cNvGraphicFramePr>
            <a:graphic>
              <a:graphicData uri="http://schemas.openxmlformats.org/drawingml/2006/picture">
                <pic:pic>
                  <pic:nvPicPr>
                    <pic:cNvPr id="0" name="18_mfa_on.png"/>
                    <pic:cNvPicPr/>
                  </pic:nvPicPr>
                  <pic:blipFill>
                    <a:blip r:embed="rId27"/>
                    <a:stretch>
                      <a:fillRect/>
                    </a:stretch>
                  </pic:blipFill>
                  <pic:spPr>
                    <a:xfrm>
                      <a:off x="0" y="0"/>
                      <a:ext cx="4937760" cy="2578387"/>
                    </a:xfrm>
                    <a:prstGeom prst="rect"/>
                  </pic:spPr>
                </pic:pic>
              </a:graphicData>
            </a:graphic>
          </wp:inline>
        </w:drawing>
      </w:r>
    </w:p>
    <w:p>
      <w:pPr>
        <w:spacing w:before="0" w:after="140" w:line="276" w:lineRule="auto"/>
        <w:ind w:left="-397" w:right="-680"/>
      </w:pPr>
      <w:r>
        <w:rPr>
          <w:i/>
          <w:sz w:val="18"/>
          <w:szCs w:val="18"/>
        </w:rPr>
        <w:t xml:space="preserve">Figure 13: Two-step sign-in with an authenticator app and a passkey</w:t>
      </w:r>
    </w:p>
    <w:p>
      <w:pPr>
        <w:spacing w:before="60" w:after="60" w:line="276" w:lineRule="auto"/>
        <w:ind w:left="-397" w:right="-680"/>
      </w:pPr>
      <w:r>
        <w:rPr>
          <w:b/>
        </w:rPr>
        <w:t xml:space="preserve">Signing in afterwards:</w:t>
      </w:r>
      <w:r>
        <w:t xml:space="preserve"> enter your password, then the code from the app, a recovery code, or choose </w:t>
      </w:r>
      <w:r>
        <w:rPr>
          <w:b/>
        </w:rPr>
        <w:t xml:space="preserve">Use a passkey</w:t>
      </w:r>
      <w:r>
        <w:t xml:space="preserve">. With a passkey you can also choose </w:t>
      </w:r>
      <w:r>
        <w:rPr>
          <w:b/>
        </w:rPr>
        <w:t xml:space="preserve">Sign in with a passkey</w:t>
      </w:r>
      <w:r>
        <w:t xml:space="preserve"> on the first screen and skip the password.</w:t>
      </w:r>
    </w:p>
    <w:p>
      <w:pPr>
        <w:keepNext/>
        <w:spacing w:before="80" w:after="40"/>
        <w:spacing w:line="276" w:lineRule="auto"/>
        <w:ind w:left="-397" w:right="-680"/>
      </w:pPr>
      <w:r>
        <w:drawing>
          <wp:inline xmlns:a="http://schemas.openxmlformats.org/drawingml/2006/main" xmlns:pic="http://schemas.openxmlformats.org/drawingml/2006/picture">
            <wp:extent cx="3291840" cy="3049283"/>
            <wp:docPr id="1" name="Picture 1"/>
            <wp:cNvGraphicFramePr>
              <a:graphicFrameLocks noChangeAspect="1"/>
            </wp:cNvGraphicFramePr>
            <a:graphic>
              <a:graphicData uri="http://schemas.openxmlformats.org/drawingml/2006/picture">
                <pic:pic>
                  <pic:nvPicPr>
                    <pic:cNvPr id="0" name="19_mfa_step.png"/>
                    <pic:cNvPicPr/>
                  </pic:nvPicPr>
                  <pic:blipFill>
                    <a:blip r:embed="rId28"/>
                    <a:stretch>
                      <a:fillRect/>
                    </a:stretch>
                  </pic:blipFill>
                  <pic:spPr>
                    <a:xfrm>
                      <a:off x="0" y="0"/>
                      <a:ext cx="3291840" cy="3049283"/>
                    </a:xfrm>
                    <a:prstGeom prst="rect"/>
                  </pic:spPr>
                </pic:pic>
              </a:graphicData>
            </a:graphic>
          </wp:inline>
        </w:drawing>
      </w:r>
    </w:p>
    <w:p>
      <w:pPr>
        <w:spacing w:before="0" w:after="140" w:line="276" w:lineRule="auto"/>
        <w:ind w:left="-397" w:right="-680"/>
      </w:pPr>
      <w:r>
        <w:rPr>
          <w:i/>
          <w:sz w:val="18"/>
          <w:szCs w:val="18"/>
        </w:rPr>
        <w:t xml:space="preserve">Figure 14: Second step of the sign-in</w:t>
      </w:r>
    </w:p>
    <w:p>
      <w:pPr>
        <w:spacing w:before="0" w:after="40" w:line="276" w:lineRule="auto"/>
        <w:ind w:left="-37" w:right="-680" w:hanging="360"/>
      </w:pPr>
      <w:r>
        <w:t xml:space="preserve">•</w:t>
        <w:tab/>
        <w:t xml:space="preserve">Wrong codes count like wrong passwords: after 5 failures the account is locked for 5 minutes.</w:t>
      </w:r>
    </w:p>
    <w:p>
      <w:pPr>
        <w:spacing w:before="0" w:after="40" w:line="276" w:lineRule="auto"/>
        <w:ind w:left="-37" w:right="-680" w:hanging="360"/>
      </w:pPr>
      <w:r>
        <w:t xml:space="preserve">•</w:t>
        <w:tab/>
        <w:t xml:space="preserve">Passkeys work only at </w:t>
      </w:r>
      <w:r>
        <w:rPr>
          <w:b/>
        </w:rPr>
        <w:t xml:space="preserve">http://localhost:8765</w:t>
      </w:r>
      <w:r>
        <w:t xml:space="preserve">, not at an IP address (127.0.0.1 is redirected to localhost). Authenticator codes work at both.</w:t>
      </w:r>
    </w:p>
    <w:p>
      <w:pPr>
        <w:spacing w:before="0" w:after="40" w:line="276" w:lineRule="auto"/>
        <w:ind w:left="-37" w:right="-680" w:hanging="360"/>
      </w:pPr>
      <w:r>
        <w:t xml:space="preserve">•</w:t>
        <w:tab/>
        <w:t xml:space="preserve">Lost your phone or key? Use a recovery code, then set up again. If you have none, ask an administrator to reset your two-step sign-in, or run </w:t>
      </w:r>
      <w:r>
        <w:rPr>
          <w:b/>
        </w:rPr>
        <w:t xml:space="preserve">python idssiem.py --reset-mfa USER</w:t>
      </w:r>
      <w:r>
        <w:t xml:space="preserve"> on the computer.</w:t>
      </w:r>
    </w:p>
    <w:p>
      <w:pPr>
        <w:spacing w:before="0" w:after="40" w:line="276" w:lineRule="auto"/>
        <w:ind w:left="-37" w:right="-680" w:hanging="360"/>
      </w:pPr>
      <w:r>
        <w:t xml:space="preserve">•</w:t>
        <w:tab/>
        <w:t xml:space="preserve">An administrator can require two-step sign-in for everyone (Users → Sign-in and token rules). Anyone without it can then only open the Account page until it is set up. API tokens are not affected.</w:t>
      </w:r>
    </w:p>
    <w:p>
      <w:pPr>
        <w:pStyle w:val="berschrift2"/>
        <w:rPr>
          <w:lang w:val="en-GB"/>
        </w:rPr>
        <w:ind w:left="133" w:hanging="757"/>
      </w:pPr>
      <w:bookmarkStart w:id="9023" w:name="_Toc000009023"/>
      <w:r>
        <w:rPr>
          <w:bCs/>
          <w:lang w:val="en-GB"/>
        </w:rPr>
        <w:t xml:space="preserve">Manage users, tokens and sign-in rules</w:t>
      </w:r>
      <w:bookmarkEnd w:id="9023"/>
    </w:p>
    <w:p>
      <w:pPr>
        <w:spacing w:before="0" w:after="60" w:line="276" w:lineRule="auto"/>
        <w:ind w:left="-397" w:right="-680"/>
      </w:pPr>
      <w:r>
        <w:rPr>
          <w:b/>
        </w:rPr>
        <w:t xml:space="preserve">Your own account:</w:t>
      </w:r>
      <w:r>
        <w:t xml:space="preserve"> choose your name in the top bar. There you change your password and create or revoke your own API tokens. Give a token a permission (view, modify, full) and an expiry. It is shown once.</w:t>
      </w:r>
    </w:p>
    <w:p>
      <w:pPr>
        <w:keepNext/>
        <w:spacing w:before="0" w:after="40" w:line="276" w:lineRule="auto"/>
        <w:ind w:left="-397" w:right="-680"/>
      </w:pPr>
      <w:r>
        <w:rPr>
          <w:b/>
        </w:rPr>
        <w:t xml:space="preserve">Administrators</w:t>
      </w:r>
      <w:r>
        <w:t xml:space="preserve"> open </w:t>
      </w:r>
      <w:r>
        <w:rPr>
          <w:b/>
        </w:rPr>
        <w:t xml:space="preserve">Users</w:t>
      </w:r>
      <w:r>
        <w:t xml:space="preserve">:</w:t>
      </w:r>
    </w:p>
    <w:p>
      <w:pPr>
        <w:spacing w:before="0" w:after="60" w:line="276" w:lineRule="auto"/>
        <w:ind w:left="-37" w:right="-680" w:hanging="360"/>
      </w:pPr>
      <w:r>
        <w:t xml:space="preserve">1.</w:t>
        <w:tab/>
        <w:t xml:space="preserve">Choose </w:t>
      </w:r>
      <w:r>
        <w:rPr>
          <w:b/>
        </w:rPr>
        <w:t xml:space="preserve">New user</w:t>
      </w:r>
      <w:r>
        <w:t xml:space="preserve">, enter user name, name, role and a starting password, and tell the person the password in person.</w:t>
      </w:r>
    </w:p>
    <w:p>
      <w:pPr>
        <w:spacing w:before="0" w:after="60" w:line="276" w:lineRule="auto"/>
        <w:ind w:left="-37" w:right="-680" w:hanging="360"/>
      </w:pPr>
      <w:r>
        <w:t xml:space="preserve">2.</w:t>
        <w:tab/>
        <w:t xml:space="preserve">Select an account to change its role, reset its password, deactivate or delete it. Such a change signs the person out everywhere.</w:t>
      </w:r>
    </w:p>
    <w:p>
      <w:pPr>
        <w:spacing w:before="0" w:after="60" w:line="276" w:lineRule="auto"/>
        <w:ind w:left="-37" w:right="-680" w:hanging="360"/>
      </w:pPr>
      <w:r>
        <w:t xml:space="preserve">3.</w:t>
        <w:tab/>
        <w:t xml:space="preserve">To help someone who lost their phone or passkey, select the account and choose </w:t>
      </w:r>
      <w:r>
        <w:rPr>
          <w:b/>
        </w:rPr>
        <w:t xml:space="preserve">Reset two-step sign-in</w:t>
      </w:r>
      <w:r>
        <w:t xml:space="preserve">. The person is signed out and can set it up again.</w:t>
      </w:r>
    </w:p>
    <w:p>
      <w:pPr>
        <w:spacing w:before="0" w:after="60" w:line="276" w:lineRule="auto"/>
        <w:ind w:left="-37" w:right="-680" w:hanging="360"/>
      </w:pPr>
      <w:r>
        <w:t xml:space="preserve">4.</w:t>
        <w:tab/>
        <w:t xml:space="preserve">Under </w:t>
      </w:r>
      <w:r>
        <w:rPr>
          <w:b/>
        </w:rPr>
        <w:t xml:space="preserve">Sign-in and token rules</w:t>
      </w:r>
      <w:r>
        <w:t xml:space="preserve"> set the idle session time, the minimum password length, the default and longest token lifetime, whether two-step sign-in is required, and whether API tokens are allowed at all. Switching tokens off stops every existing token at once.</w:t>
      </w:r>
    </w:p>
    <w:p>
      <w:pPr>
        <w:keepNext/>
        <w:spacing w:before="80" w:after="40"/>
        <w:spacing w:line="276" w:lineRule="auto"/>
        <w:ind w:left="-397" w:right="-680"/>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12_users.png"/>
                    <pic:cNvPicPr/>
                  </pic:nvPicPr>
                  <pic:blipFill>
                    <a:blip r:embed="rId29"/>
                    <a:stretch>
                      <a:fillRect/>
                    </a:stretch>
                  </pic:blipFill>
                  <pic:spPr>
                    <a:xfrm>
                      <a:off x="0" y="0"/>
                      <a:ext cx="5486400" cy="3291840"/>
                    </a:xfrm>
                    <a:prstGeom prst="rect"/>
                  </pic:spPr>
                </pic:pic>
              </a:graphicData>
            </a:graphic>
          </wp:inline>
        </w:drawing>
      </w:r>
    </w:p>
    <w:p>
      <w:pPr>
        <w:spacing w:before="0" w:after="140" w:line="276" w:lineRule="auto"/>
        <w:ind w:left="-397" w:right="-680"/>
      </w:pPr>
      <w:r>
        <w:rPr>
          <w:i/>
          <w:sz w:val="18"/>
          <w:szCs w:val="18"/>
        </w:rPr>
        <w:t xml:space="preserve">Figure 15: Users page</w:t>
      </w:r>
    </w:p>
    <w:p>
      <w:pPr>
        <w:spacing w:before="60" w:after="100" w:line="276" w:lineRule="auto"/>
        <w:ind w:left="-397" w:right="-680"/>
      </w:pPr>
      <w:r>
        <w:t xml:space="preserve">A token is used with the header </w:t>
      </w:r>
      <w:r>
        <w:rPr>
          <w:b/>
        </w:rPr>
        <w:t xml:space="preserve">Authorization: Bearer ids_…</w:t>
      </w:r>
      <w:r>
        <w:t xml:space="preserve"> on the tool’s API. The effective access is the lower of the token and its owner’s role.</w:t>
      </w:r>
    </w:p>
    <w:p>
      <w:pPr>
        <w:pStyle w:val="berschrift2"/>
        <w:rPr>
          <w:lang w:val="en-GB"/>
        </w:rPr>
        <w:ind w:left="133" w:hanging="757"/>
      </w:pPr>
      <w:bookmarkStart w:id="9024" w:name="_Toc000009024"/>
      <w:r>
        <w:rPr>
          <w:bCs/>
          <w:lang w:val="en-GB"/>
        </w:rPr>
        <w:t xml:space="preserve">Check the audit log</w:t>
      </w:r>
      <w:bookmarkEnd w:id="9024"/>
    </w:p>
    <w:p>
      <w:pPr>
        <w:spacing w:before="0" w:after="60" w:line="276" w:lineRule="auto"/>
        <w:ind w:left="-37" w:right="-680" w:hanging="360"/>
      </w:pPr>
      <w:r>
        <w:t xml:space="preserve">1.</w:t>
        <w:tab/>
        <w:t xml:space="preserve">Open </w:t>
      </w:r>
      <w:r>
        <w:rPr>
          <w:b/>
        </w:rPr>
        <w:t xml:space="preserve">Audit log</w:t>
      </w:r>
      <w:r>
        <w:t xml:space="preserve"> (administrator).</w:t>
      </w:r>
    </w:p>
    <w:p>
      <w:pPr>
        <w:spacing w:before="0" w:after="60" w:line="276" w:lineRule="auto"/>
        <w:ind w:left="-37" w:right="-680" w:hanging="360"/>
      </w:pPr>
      <w:r>
        <w:t xml:space="preserve">2.</w:t>
        <w:tab/>
        <w:t xml:space="preserve">Search for a person, action or target, or filter by person, action group and date.</w:t>
      </w:r>
    </w:p>
    <w:p>
      <w:pPr>
        <w:spacing w:before="0" w:after="60" w:line="276" w:lineRule="auto"/>
        <w:ind w:left="-37" w:right="-680" w:hanging="360"/>
      </w:pPr>
      <w:r>
        <w:t xml:space="preserve">3.</w:t>
        <w:tab/>
        <w:t xml:space="preserve">Choose </w:t>
      </w:r>
      <w:r>
        <w:rPr>
          <w:b/>
        </w:rPr>
        <w:t xml:space="preserve">Verify integrity</w:t>
      </w:r>
      <w:r>
        <w:t xml:space="preserve"> to check the hash chain. It reports where the chain breaks.</w:t>
      </w:r>
    </w:p>
    <w:p>
      <w:pPr>
        <w:spacing w:before="0" w:after="60" w:line="276" w:lineRule="auto"/>
        <w:ind w:left="-37" w:right="-680" w:hanging="360"/>
      </w:pPr>
      <w:r>
        <w:t xml:space="preserve">4.</w:t>
        <w:tab/>
        <w:t xml:space="preserve">Choose </w:t>
      </w:r>
      <w:r>
        <w:rPr>
          <w:b/>
        </w:rPr>
        <w:t xml:space="preserve">Export CSV</w:t>
      </w:r>
      <w:r>
        <w:t xml:space="preserve"> to hand the log to an auditor.</w:t>
      </w:r>
    </w:p>
    <w:p>
      <w:pPr>
        <w:keepNext/>
        <w:spacing w:before="80" w:after="40"/>
        <w:spacing w:line="276" w:lineRule="auto"/>
        <w:ind w:left="-397" w:right="-680"/>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13_audit.png"/>
                    <pic:cNvPicPr/>
                  </pic:nvPicPr>
                  <pic:blipFill>
                    <a:blip r:embed="rId30"/>
                    <a:stretch>
                      <a:fillRect/>
                    </a:stretch>
                  </pic:blipFill>
                  <pic:spPr>
                    <a:xfrm>
                      <a:off x="0" y="0"/>
                      <a:ext cx="5486400" cy="3291840"/>
                    </a:xfrm>
                    <a:prstGeom prst="rect"/>
                  </pic:spPr>
                </pic:pic>
              </a:graphicData>
            </a:graphic>
          </wp:inline>
        </w:drawing>
      </w:r>
    </w:p>
    <w:p>
      <w:pPr>
        <w:spacing w:before="0" w:after="140" w:line="276" w:lineRule="auto"/>
        <w:ind w:left="-397" w:right="-680"/>
      </w:pPr>
      <w:r>
        <w:rPr>
          <w:i/>
          <w:sz w:val="18"/>
          <w:szCs w:val="18"/>
        </w:rPr>
        <w:t xml:space="preserve">Figure 16: Audit log</w:t>
      </w:r>
    </w:p>
    <w:p>
      <w:pPr>
        <w:spacing w:before="0" w:after="100" w:line="276" w:lineRule="auto"/>
        <w:ind w:left="-397" w:right="-680"/>
      </w:pPr>
      <w:r>
        <w:t xml:space="preserve">Every state-changing action is recorded: sign-ins and failures, user and token changes, alert and case work, suppression rules, case reports, imports, syncs, detection runs and exports. Note text is not copied; the log only records that a note was added. Entries cannot be changed or deleted in the application, not even by “Delete all data”.</w:t>
      </w:r>
    </w:p>
    <w:p>
      <w:pPr>
        <w:spacing w:before="60" w:after="120" w:line="276" w:lineRule="auto"/>
        <w:ind w:left="-397" w:right="-680"/>
      </w:pPr>
      <w:r>
        <w:rPr>
          <w:b/>
        </w:rPr>
        <w:t xml:space="preserve">Limit:</w:t>
      </w:r>
      <w:r>
        <w:t xml:space="preserve"> The chain detects edited entries and entries deleted from the middle. Someone who can write the database file could recompute it, and cutting off the newest entries goes unnoticed unless you noted the latest hash. Treat it as evidence, not a vault.</w:t>
      </w:r>
    </w:p>
    <w:p>
      <w:pPr>
        <w:pStyle w:val="berschrift2"/>
        <w:rPr>
          <w:lang w:val="en-GB"/>
        </w:rPr>
        <w:ind w:left="133" w:hanging="757"/>
      </w:pPr>
      <w:bookmarkStart w:id="9025" w:name="_Toc000009025"/>
      <w:r>
        <w:rPr>
          <w:bCs/>
          <w:lang w:val="en-GB"/>
        </w:rPr>
        <w:t xml:space="preserve">Back up and remove data</w:t>
      </w:r>
      <w:bookmarkEnd w:id="9025"/>
    </w:p>
    <w:p>
      <w:pPr>
        <w:spacing w:before="0" w:after="40" w:line="276" w:lineRule="auto"/>
        <w:ind w:left="-37" w:right="-680" w:hanging="360"/>
      </w:pPr>
      <w:r>
        <w:t xml:space="preserve">•</w:t>
        <w:tab/>
        <w:t xml:space="preserve">All data is in </w:t>
      </w:r>
      <w:r>
        <w:rPr>
          <w:b/>
        </w:rPr>
        <w:t xml:space="preserve">data/siem.db</w:t>
      </w:r>
      <w:r>
        <w:t xml:space="preserve">. Stop the tool and copy that file to back it up. Set the variable IDS_SIEM_DB to use another location.</w:t>
      </w:r>
    </w:p>
    <w:p>
      <w:pPr>
        <w:spacing w:before="0" w:after="40" w:line="276" w:lineRule="auto"/>
        <w:ind w:left="-37" w:right="-680" w:hanging="360"/>
      </w:pPr>
      <w:r>
        <w:t xml:space="preserve">•</w:t>
        <w:tab/>
      </w:r>
      <w:r>
        <w:rPr>
          <w:b/>
        </w:rPr>
        <w:t xml:space="preserve">Data → Delete everything</w:t>
      </w:r>
      <w:r>
        <w:t xml:space="preserve"> (administrator) removes all events, alerts, cases and notes after you type the confirmation. Catalog, settings and the audit log stay.</w:t>
      </w:r>
    </w:p>
    <w:p>
      <w:pPr>
        <w:spacing w:before="60" w:after="120" w:line="276" w:lineRule="auto"/>
        <w:ind w:left="-397" w:right="-680"/>
      </w:pPr>
      <w:r>
        <w:rPr>
          <w:b/>
        </w:rPr>
        <w:t xml:space="preserve">Lean Tip:</w:t>
      </w:r>
      <w:r>
        <w:t xml:space="preserve"> Start each day on the Overview, then work the Alerts queue from the highest severity, and only open a case when an alert needs more than a decision.</w:t>
      </w:r>
    </w:p>
    <w:p>
      <w:pPr>
        <w:spacing w:line="276" w:lineRule="auto"/>
        <w:ind w:left="-397" w:right="-680"/>
      </w:pPr>
    </w:p>
    <w:p>
      <w:pPr>
        <w:pStyle w:val="berschrift1"/>
      </w:pPr>
      <w:bookmarkStart w:id="9026" w:name="_Toc000009026"/>
      <w:r>
        <w:t xml:space="preserve">FLOW</w:t>
      </w:r>
      <w:bookmarkEnd w:id="9026"/>
    </w:p>
    <w:p>
      <w:pPr>
        <w:keepNext/>
        <w:spacing w:before="0" w:after="80" w:line="276" w:lineRule="auto"/>
        <w:ind w:left="-397" w:right="-680"/>
      </w:pPr>
      <w:r>
        <w:t xml:space="preserve">R (Responsible), S (Supporting), I (Informed): the roles named are those of section 3.</w:t>
      </w:r>
    </w:p>
    <w:tbl>
      <w:tblPr>
        <w:tblW w:w="10207" w:type="dxa"/>
        <w:tblInd w:w="-43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1350"/>
        <w:gridCol w:w="1350"/>
        <w:gridCol w:w="1200"/>
        <w:gridCol w:w="1300"/>
        <w:gridCol w:w="2307"/>
        <w:gridCol w:w="1350"/>
      </w:tblGrid>
      <w:tr>
        <w:trPr>
          <w:trHeight w:val="850"/>
        </w:trPr>
        <w:tc>
          <w:tcPr>
            <w:tcW w:w="1350" w:type="dxa"/>
            <w:shd w:val="clear" w:color="auto" w:fill="E8E8E8" w:themeFill="background2"/>
            <w:vAlign w:val="center"/>
          </w:tcPr>
          <w:p>
            <w:pPr>
              <w:spacing w:line="276" w:lineRule="auto"/>
            </w:pPr>
            <w:r>
              <w:t>R</w:t>
            </w:r>
          </w:p>
        </w:tc>
        <w:tc>
          <w:tcPr>
            <w:tcW w:w="1350" w:type="dxa"/>
            <w:shd w:val="clear" w:color="auto" w:fill="E8E8E8" w:themeFill="background2"/>
            <w:vAlign w:val="center"/>
          </w:tcPr>
          <w:p>
            <w:pPr>
              <w:spacing w:line="276" w:lineRule="auto"/>
            </w:pPr>
            <w:r>
              <w:t>S</w:t>
            </w:r>
          </w:p>
        </w:tc>
        <w:tc>
          <w:tcPr>
            <w:tcW w:w="1350" w:type="dxa"/>
            <w:shd w:val="clear" w:color="auto" w:fill="E8E8E8" w:themeFill="background2"/>
            <w:vAlign w:val="center"/>
          </w:tcPr>
          <w:p>
            <w:pPr>
              <w:spacing w:line="276" w:lineRule="auto"/>
            </w:pPr>
            <w:r>
              <w:t>I</w:t>
            </w:r>
          </w:p>
        </w:tc>
        <w:tc>
          <w:tcPr>
            <w:tcW w:w="1200" w:type="dxa"/>
            <w:shd w:val="clear" w:color="auto" w:fill="E8E8E8" w:themeFill="background2"/>
            <w:vAlign w:val="center"/>
          </w:tcPr>
          <w:p>
            <w:pPr>
              <w:spacing w:line="276" w:lineRule="auto"/>
            </w:pPr>
            <w:r>
              <w:t>Input</w:t>
            </w:r>
          </w:p>
        </w:tc>
        <w:tc>
          <w:tcPr>
            <w:tcW w:w="1300" w:type="dxa"/>
            <w:shd w:val="clear" w:color="auto" w:fill="E8E8E8" w:themeFill="background2"/>
            <w:vAlign w:val="center"/>
          </w:tcPr>
          <w:p>
            <w:pPr>
              <w:spacing w:line="276" w:lineRule="auto"/>
            </w:pPr>
            <w:r>
              <w:t>Output</w:t>
            </w:r>
          </w:p>
        </w:tc>
        <w:tc>
          <w:tcPr>
            <w:tcW w:w="2307" w:type="dxa"/>
            <w:shd w:val="clear" w:color="auto" w:fill="E8E8E8" w:themeFill="background2"/>
            <w:vAlign w:val="center"/>
          </w:tcPr>
          <w:p>
            <w:pPr>
              <w:spacing w:line="276" w:lineRule="auto"/>
            </w:pPr>
            <w:r>
              <w:t>Activity</w:t>
            </w:r>
          </w:p>
        </w:tc>
        <w:tc>
          <w:tcPr>
            <w:tcW w:w="1350" w:type="dxa"/>
            <w:shd w:val="clear" w:color="auto" w:fill="E8E8E8" w:themeFill="background2"/>
            <w:vAlign w:val="center"/>
          </w:tcPr>
          <w:p>
            <w:pPr>
              <w:spacing w:line="276" w:lineRule="auto"/>
            </w:pPr>
            <w:r>
              <w:t>Documents</w:t>
            </w:r>
          </w:p>
        </w:tc>
      </w:tr>
      <w:tr>
        <w:trPr>
          <w:trHeight w:val="850"/>
        </w:trPr>
        <w:tc>
          <w:tcPr>
            <w:tcW w:w="1350" w:type="dxa"/>
            <w:vAlign w:val="center"/>
          </w:tcPr>
          <w:p>
            <w:pPr>
              <w:spacing w:line="276" w:lineRule="auto"/>
              <w:rPr>
                <w:szCs w:val="20"/>
              </w:rPr>
            </w:pPr>
            <w:r>
              <w:rPr>
                <w:sz w:val="16"/>
                <w:szCs w:val="16"/>
              </w:rPr>
              <w:t xml:space="preserve">Analyst</w:t>
            </w:r>
          </w:p>
        </w:tc>
        <w:tc>
          <w:tcPr>
            <w:tcW w:w="1350" w:type="dxa"/>
          </w:tcPr>
          <w:p>
            <w:pPr>
              <w:spacing w:line="276" w:lineRule="auto"/>
              <w:rPr>
                <w:noProof/>
                <w:szCs w:val="20"/>
              </w:rPr>
            </w:pPr>
            <w:r>
              <w:rPr>
                <w:noProof/>
                <w:sz w:val="16"/>
                <w:szCs w:val="16"/>
              </w:rPr>
              <w:t xml:space="preserve">Administrator</w:t>
            </w:r>
          </w:p>
        </w:tc>
        <w:tc>
          <w:tcPr>
            <w:tcW w:w="1350" w:type="dxa"/>
          </w:tcPr>
          <w:p>
            <w:pPr>
              <w:spacing w:line="276" w:lineRule="auto"/>
              <w:rPr>
                <w:noProof/>
                <w:szCs w:val="20"/>
              </w:rPr>
            </w:pPr>
          </w:p>
        </w:tc>
        <w:tc>
          <w:tcPr>
            <w:tcW w:w="1200" w:type="dxa"/>
          </w:tcPr>
          <w:p>
            <w:pPr>
              <w:spacing w:line="276" w:lineRule="auto"/>
              <w:rPr>
                <w:noProof/>
                <w:szCs w:val="20"/>
              </w:rPr>
            </w:pPr>
            <w:r>
              <w:rPr>
                <w:noProof/>
                <w:sz w:val="16"/>
                <w:szCs w:val="16"/>
              </w:rPr>
              <w:t xml:space="preserve">Event export or backend</w:t>
            </w:r>
          </w:p>
        </w:tc>
        <w:tc>
          <w:tcPr>
            <w:tcW w:w="1300" w:type="dxa"/>
          </w:tcPr>
          <w:p>
            <w:pPr>
              <w:spacing w:line="276" w:lineRule="auto"/>
              <w:rPr>
                <w:noProof/>
                <w:szCs w:val="20"/>
              </w:rPr>
            </w:pPr>
            <w:r>
              <w:rPr>
                <w:noProof/>
                <w:sz w:val="16"/>
                <w:szCs w:val="16"/>
              </w:rPr>
              <w:t xml:space="preserve">Events in the tool</w:t>
            </w:r>
          </w:p>
        </w:tc>
        <w:tc>
          <w:tcPr>
            <w:tcW w:w="2307" w:type="dxa"/>
          </w:tcPr>
          <w:p>
            <w:pPr>
              <w:spacing w:line="276" w:lineRule="auto"/>
              <w:rPr>
                <w:szCs w:val="20"/>
              </w:rPr>
            </w:pPr>
            <w:r>
              <w:rPr>
                <w:noProof/>
                <w:sz w:val="16"/>
                <w:szCs w:val="16"/>
              </w:rPr>
              <w:t xml:space="preserve">Import a file or sync from CycurGUARD, check data quality</w:t>
            </w:r>
          </w:p>
        </w:tc>
        <w:tc>
          <w:tcPr>
            <w:tcW w:w="1350" w:type="dxa"/>
            <w:vAlign w:val="center"/>
          </w:tcPr>
          <w:p>
            <w:pPr>
              <w:spacing w:line="276" w:lineRule="auto"/>
              <w:rPr>
                <w:szCs w:val="20"/>
              </w:rPr>
            </w:pPr>
            <w:r>
              <w:rPr>
                <w:sz w:val="16"/>
                <w:szCs w:val="16"/>
              </w:rPr>
              <w:t xml:space="preserve">Export file</w:t>
              <w:br/>
              <w:t xml:space="preserve">Backend token</w:t>
            </w:r>
          </w:p>
        </w:tc>
      </w:tr>
      <w:tr>
        <w:trPr>
          <w:trHeight w:val="850"/>
        </w:trPr>
        <w:tc>
          <w:tcPr>
            <w:tcW w:w="1350" w:type="dxa"/>
            <w:vAlign w:val="center"/>
          </w:tcPr>
          <w:p>
            <w:pPr>
              <w:spacing w:line="276" w:lineRule="auto"/>
              <w:rPr>
                <w:szCs w:val="20"/>
              </w:rPr>
            </w:pPr>
            <w:r>
              <w:rPr>
                <w:sz w:val="16"/>
                <w:szCs w:val="16"/>
              </w:rPr>
              <w:t xml:space="preserve">Analyst</w:t>
            </w:r>
          </w:p>
        </w:tc>
        <w:tc>
          <w:tcPr>
            <w:tcW w:w="1350" w:type="dxa"/>
          </w:tcPr>
          <w:p>
            <w:pPr>
              <w:spacing w:line="276" w:lineRule="auto"/>
              <w:rPr>
                <w:noProof/>
                <w:szCs w:val="20"/>
              </w:rPr>
            </w:pPr>
          </w:p>
        </w:tc>
        <w:tc>
          <w:tcPr>
            <w:tcW w:w="1350" w:type="dxa"/>
          </w:tcPr>
          <w:p>
            <w:pPr>
              <w:spacing w:line="276" w:lineRule="auto"/>
              <w:rPr>
                <w:noProof/>
                <w:szCs w:val="20"/>
              </w:rPr>
            </w:pPr>
            <w:r>
              <w:rPr>
                <w:noProof/>
                <w:sz w:val="16"/>
                <w:szCs w:val="16"/>
              </w:rPr>
              <w:t xml:space="preserve">Administrator</w:t>
            </w:r>
          </w:p>
        </w:tc>
        <w:tc>
          <w:tcPr>
            <w:tcW w:w="1200" w:type="dxa"/>
          </w:tcPr>
          <w:p>
            <w:pPr>
              <w:spacing w:line="276" w:lineRule="auto"/>
              <w:rPr>
                <w:noProof/>
                <w:szCs w:val="20"/>
              </w:rPr>
            </w:pPr>
            <w:r>
              <w:rPr>
                <w:noProof/>
                <w:sz w:val="16"/>
                <w:szCs w:val="16"/>
              </w:rPr>
              <w:t xml:space="preserve">Events</w:t>
            </w:r>
          </w:p>
        </w:tc>
        <w:tc>
          <w:tcPr>
            <w:tcW w:w="1300" w:type="dxa"/>
          </w:tcPr>
          <w:p>
            <w:pPr>
              <w:spacing w:line="276" w:lineRule="auto"/>
              <w:rPr>
                <w:noProof/>
                <w:szCs w:val="20"/>
              </w:rPr>
            </w:pPr>
            <w:r>
              <w:rPr>
                <w:noProof/>
                <w:sz w:val="16"/>
                <w:szCs w:val="16"/>
              </w:rPr>
              <w:t xml:space="preserve">Open alerts</w:t>
            </w:r>
          </w:p>
        </w:tc>
        <w:tc>
          <w:tcPr>
            <w:tcW w:w="2307" w:type="dxa"/>
          </w:tcPr>
          <w:p>
            <w:pPr>
              <w:spacing w:line="276" w:lineRule="auto"/>
              <w:rPr>
                <w:szCs w:val="20"/>
              </w:rPr>
            </w:pPr>
            <w:r>
              <w:rPr>
                <w:noProof/>
                <w:sz w:val="16"/>
                <w:szCs w:val="16"/>
              </w:rPr>
              <w:t xml:space="preserve">Run detections, review the alert queue</w:t>
            </w:r>
          </w:p>
        </w:tc>
        <w:tc>
          <w:tcPr>
            <w:tcW w:w="1350" w:type="dxa"/>
            <w:vAlign w:val="center"/>
          </w:tcPr>
          <w:p>
            <w:pPr>
              <w:spacing w:line="276" w:lineRule="auto"/>
              <w:rPr>
                <w:szCs w:val="20"/>
              </w:rPr>
            </w:pPr>
            <w:r>
              <w:rPr>
                <w:sz w:val="16"/>
                <w:szCs w:val="16"/>
              </w:rPr>
              <w:t xml:space="preserve">Detection settings</w:t>
              <w:br/>
              <w:t xml:space="preserve">Event catalog</w:t>
            </w:r>
          </w:p>
        </w:tc>
      </w:tr>
      <w:tr>
        <w:trPr>
          <w:trHeight w:val="850"/>
        </w:trPr>
        <w:tc>
          <w:tcPr>
            <w:tcW w:w="1350" w:type="dxa"/>
            <w:vAlign w:val="center"/>
          </w:tcPr>
          <w:p>
            <w:pPr>
              <w:spacing w:line="276" w:lineRule="auto"/>
              <w:rPr>
                <w:szCs w:val="20"/>
              </w:rPr>
            </w:pPr>
            <w:r>
              <w:rPr>
                <w:sz w:val="16"/>
                <w:szCs w:val="16"/>
              </w:rPr>
              <w:t xml:space="preserve">Analyst</w:t>
            </w:r>
          </w:p>
        </w:tc>
        <w:tc>
          <w:tcPr>
            <w:tcW w:w="1350" w:type="dxa"/>
          </w:tcPr>
          <w:p>
            <w:pPr>
              <w:spacing w:line="276" w:lineRule="auto"/>
              <w:rPr>
                <w:noProof/>
                <w:szCs w:val="20"/>
              </w:rPr>
            </w:pPr>
            <w:r>
              <w:rPr>
                <w:noProof/>
                <w:sz w:val="16"/>
                <w:szCs w:val="16"/>
              </w:rPr>
              <w:t xml:space="preserve">Case owner</w:t>
            </w:r>
          </w:p>
        </w:tc>
        <w:tc>
          <w:tcPr>
            <w:tcW w:w="1350" w:type="dxa"/>
          </w:tcPr>
          <w:p>
            <w:pPr>
              <w:spacing w:line="276" w:lineRule="auto"/>
              <w:rPr>
                <w:noProof/>
                <w:szCs w:val="20"/>
              </w:rPr>
            </w:pPr>
            <w:r>
              <w:rPr>
                <w:noProof/>
                <w:sz w:val="16"/>
                <w:szCs w:val="16"/>
              </w:rPr>
              <w:t xml:space="preserve">Administrator</w:t>
            </w:r>
          </w:p>
        </w:tc>
        <w:tc>
          <w:tcPr>
            <w:tcW w:w="1200" w:type="dxa"/>
          </w:tcPr>
          <w:p>
            <w:pPr>
              <w:spacing w:line="276" w:lineRule="auto"/>
              <w:rPr>
                <w:noProof/>
                <w:szCs w:val="20"/>
              </w:rPr>
            </w:pPr>
            <w:r>
              <w:rPr>
                <w:noProof/>
                <w:sz w:val="16"/>
                <w:szCs w:val="16"/>
              </w:rPr>
              <w:t xml:space="preserve">Open alert</w:t>
            </w:r>
          </w:p>
        </w:tc>
        <w:tc>
          <w:tcPr>
            <w:tcW w:w="1300" w:type="dxa"/>
          </w:tcPr>
          <w:p>
            <w:pPr>
              <w:spacing w:line="276" w:lineRule="auto"/>
              <w:rPr>
                <w:noProof/>
                <w:szCs w:val="20"/>
              </w:rPr>
            </w:pPr>
            <w:r>
              <w:rPr>
                <w:noProof/>
                <w:sz w:val="16"/>
                <w:szCs w:val="16"/>
              </w:rPr>
              <w:t xml:space="preserve">Alert resolved, false positive or case</w:t>
            </w:r>
          </w:p>
        </w:tc>
        <w:tc>
          <w:tcPr>
            <w:tcW w:w="2307" w:type="dxa"/>
          </w:tcPr>
          <w:p>
            <w:pPr>
              <w:spacing w:line="276" w:lineRule="auto"/>
              <w:rPr>
                <w:szCs w:val="20"/>
              </w:rPr>
            </w:pPr>
            <w:r>
              <w:rPr>
                <w:noProof/>
                <w:sz w:val="16"/>
                <w:szCs w:val="16"/>
              </w:rPr>
              <w:t xml:space="preserve">Triage the alert, add a note, create a case if needed</w:t>
            </w:r>
          </w:p>
        </w:tc>
        <w:tc>
          <w:tcPr>
            <w:tcW w:w="1350" w:type="dxa"/>
            <w:vAlign w:val="center"/>
          </w:tcPr>
          <w:p>
            <w:pPr>
              <w:spacing w:line="276" w:lineRule="auto"/>
              <w:rPr>
                <w:szCs w:val="20"/>
              </w:rPr>
            </w:pPr>
            <w:r>
              <w:rPr>
                <w:sz w:val="16"/>
                <w:szCs w:val="16"/>
              </w:rPr>
              <w:t xml:space="preserve">Alert notes</w:t>
            </w:r>
          </w:p>
        </w:tc>
      </w:tr>
      <w:tr>
        <w:trPr>
          <w:trHeight w:val="850"/>
        </w:trPr>
        <w:tc>
          <w:tcPr>
            <w:tcW w:w="1350" w:type="dxa"/>
            <w:vAlign w:val="center"/>
          </w:tcPr>
          <w:p>
            <w:pPr>
              <w:spacing w:line="276" w:lineRule="auto"/>
              <w:rPr>
                <w:szCs w:val="20"/>
              </w:rPr>
            </w:pPr>
            <w:r>
              <w:rPr>
                <w:sz w:val="16"/>
                <w:szCs w:val="16"/>
              </w:rPr>
              <w:t xml:space="preserve">Case owner</w:t>
            </w:r>
          </w:p>
        </w:tc>
        <w:tc>
          <w:tcPr>
            <w:tcW w:w="1350" w:type="dxa"/>
          </w:tcPr>
          <w:p>
            <w:pPr>
              <w:spacing w:line="276" w:lineRule="auto"/>
              <w:rPr>
                <w:noProof/>
                <w:szCs w:val="20"/>
              </w:rPr>
            </w:pPr>
            <w:r>
              <w:rPr>
                <w:noProof/>
                <w:sz w:val="16"/>
                <w:szCs w:val="16"/>
              </w:rPr>
              <w:t xml:space="preserve">Analyst</w:t>
            </w:r>
          </w:p>
        </w:tc>
        <w:tc>
          <w:tcPr>
            <w:tcW w:w="1350" w:type="dxa"/>
          </w:tcPr>
          <w:p>
            <w:pPr>
              <w:spacing w:line="276" w:lineRule="auto"/>
              <w:rPr>
                <w:noProof/>
                <w:szCs w:val="20"/>
              </w:rPr>
            </w:pPr>
            <w:r>
              <w:rPr>
                <w:noProof/>
                <w:sz w:val="16"/>
                <w:szCs w:val="16"/>
              </w:rPr>
              <w:t xml:space="preserve">Administrator</w:t>
            </w:r>
          </w:p>
        </w:tc>
        <w:tc>
          <w:tcPr>
            <w:tcW w:w="1200" w:type="dxa"/>
          </w:tcPr>
          <w:p>
            <w:pPr>
              <w:spacing w:line="276" w:lineRule="auto"/>
              <w:rPr>
                <w:noProof/>
                <w:szCs w:val="20"/>
              </w:rPr>
            </w:pPr>
            <w:r>
              <w:rPr>
                <w:noProof/>
                <w:sz w:val="16"/>
                <w:szCs w:val="16"/>
              </w:rPr>
              <w:t xml:space="preserve">Case</w:t>
            </w:r>
          </w:p>
        </w:tc>
        <w:tc>
          <w:tcPr>
            <w:tcW w:w="1300" w:type="dxa"/>
          </w:tcPr>
          <w:p>
            <w:pPr>
              <w:spacing w:line="276" w:lineRule="auto"/>
              <w:rPr>
                <w:noProof/>
                <w:szCs w:val="20"/>
              </w:rPr>
            </w:pPr>
            <w:r>
              <w:rPr>
                <w:noProof/>
                <w:sz w:val="16"/>
                <w:szCs w:val="16"/>
              </w:rPr>
              <w:t xml:space="preserve">Closed case with findings and resolution</w:t>
            </w:r>
          </w:p>
        </w:tc>
        <w:tc>
          <w:tcPr>
            <w:tcW w:w="2307" w:type="dxa"/>
          </w:tcPr>
          <w:p>
            <w:pPr>
              <w:spacing w:line="276" w:lineRule="auto"/>
              <w:rPr>
                <w:noProof/>
                <w:szCs w:val="20"/>
              </w:rPr>
            </w:pPr>
            <w:r>
              <w:rPr>
                <w:noProof/>
                <w:sz w:val="16"/>
                <w:szCs w:val="16"/>
              </w:rPr>
              <w:t xml:space="preserve">Work the checklist, record findings, close</w:t>
            </w:r>
          </w:p>
        </w:tc>
        <w:tc>
          <w:tcPr>
            <w:tcW w:w="1350" w:type="dxa"/>
            <w:vAlign w:val="center"/>
          </w:tcPr>
          <w:p>
            <w:pPr>
              <w:spacing w:line="276" w:lineRule="auto"/>
              <w:rPr>
                <w:szCs w:val="20"/>
              </w:rPr>
            </w:pPr>
            <w:r>
              <w:rPr>
                <w:sz w:val="16"/>
                <w:szCs w:val="16"/>
              </w:rPr>
              <w:t xml:space="preserve">Case record</w:t>
              <w:br/>
              <w:t xml:space="preserve">VIN decoder</w:t>
            </w:r>
          </w:p>
        </w:tc>
      </w:tr>
      <w:tr>
        <w:trPr>
          <w:trHeight w:val="850"/>
        </w:trPr>
        <w:tc>
          <w:tcPr>
            <w:tcW w:w="1350" w:type="dxa"/>
            <w:vAlign w:val="center"/>
          </w:tcPr>
          <w:p>
            <w:pPr>
              <w:spacing w:line="276" w:lineRule="auto"/>
              <w:rPr>
                <w:szCs w:val="20"/>
              </w:rPr>
            </w:pPr>
            <w:r>
              <w:rPr>
                <w:sz w:val="16"/>
                <w:szCs w:val="16"/>
              </w:rPr>
              <w:t xml:space="preserve">Administrator</w:t>
            </w:r>
          </w:p>
        </w:tc>
        <w:tc>
          <w:tcPr>
            <w:tcW w:w="1350" w:type="dxa"/>
          </w:tcPr>
          <w:p>
            <w:pPr>
              <w:spacing w:line="276" w:lineRule="auto"/>
              <w:rPr>
                <w:noProof/>
                <w:szCs w:val="20"/>
              </w:rPr>
            </w:pPr>
          </w:p>
        </w:tc>
        <w:tc>
          <w:tcPr>
            <w:tcW w:w="1350" w:type="dxa"/>
          </w:tcPr>
          <w:p>
            <w:pPr>
              <w:spacing w:line="276" w:lineRule="auto"/>
              <w:rPr>
                <w:noProof/>
                <w:szCs w:val="20"/>
              </w:rPr>
            </w:pPr>
            <w:r>
              <w:rPr>
                <w:noProof/>
                <w:sz w:val="16"/>
                <w:szCs w:val="16"/>
              </w:rPr>
              <w:t xml:space="preserve">Analyst</w:t>
            </w:r>
          </w:p>
        </w:tc>
        <w:tc>
          <w:tcPr>
            <w:tcW w:w="1200" w:type="dxa"/>
          </w:tcPr>
          <w:p>
            <w:pPr>
              <w:spacing w:line="276" w:lineRule="auto"/>
              <w:rPr>
                <w:noProof/>
                <w:szCs w:val="20"/>
              </w:rPr>
            </w:pPr>
            <w:r>
              <w:rPr>
                <w:noProof/>
                <w:sz w:val="16"/>
                <w:szCs w:val="16"/>
              </w:rPr>
              <w:t xml:space="preserve">Audit log</w:t>
            </w:r>
          </w:p>
        </w:tc>
        <w:tc>
          <w:tcPr>
            <w:tcW w:w="1300" w:type="dxa"/>
          </w:tcPr>
          <w:p>
            <w:pPr>
              <w:spacing w:line="276" w:lineRule="auto"/>
              <w:rPr>
                <w:noProof/>
                <w:szCs w:val="20"/>
              </w:rPr>
            </w:pPr>
            <w:r>
              <w:rPr>
                <w:noProof/>
                <w:sz w:val="16"/>
                <w:szCs w:val="16"/>
              </w:rPr>
              <w:t xml:space="preserve">Verified log</w:t>
            </w:r>
          </w:p>
        </w:tc>
        <w:tc>
          <w:tcPr>
            <w:tcW w:w="2307" w:type="dxa"/>
          </w:tcPr>
          <w:p>
            <w:pPr>
              <w:spacing w:line="276" w:lineRule="auto"/>
              <w:rPr>
                <w:noProof/>
                <w:szCs w:val="20"/>
              </w:rPr>
            </w:pPr>
            <w:r>
              <w:rPr>
                <w:noProof/>
                <w:sz w:val="16"/>
                <w:szCs w:val="16"/>
              </w:rPr>
              <w:t xml:space="preserve">Verify integrity and export on request</w:t>
            </w:r>
          </w:p>
        </w:tc>
        <w:tc>
          <w:tcPr>
            <w:tcW w:w="1350" w:type="dxa"/>
            <w:vAlign w:val="center"/>
          </w:tcPr>
          <w:p>
            <w:pPr>
              <w:spacing w:line="276" w:lineRule="auto"/>
              <w:rPr>
                <w:szCs w:val="20"/>
              </w:rPr>
            </w:pPr>
            <w:r>
              <w:rPr>
                <w:sz w:val="16"/>
                <w:szCs w:val="16"/>
              </w:rPr>
              <w:t xml:space="preserve">Audit log CSV</w:t>
            </w:r>
          </w:p>
        </w:tc>
      </w:tr>
    </w:tbl>
    <w:p>
      <w:pPr>
        <w:spacing w:line="276" w:lineRule="auto"/>
        <w:ind w:left="-397" w:right="-680"/>
      </w:pPr>
    </w:p>
    <w:p>
      <w:pPr>
        <w:pStyle w:val="berschrift2"/>
        <w:rPr>
          <w:lang w:val="en-GB"/>
        </w:rPr>
        <w:ind w:left="133" w:hanging="757"/>
      </w:pPr>
      <w:bookmarkStart w:id="9027" w:name="_Toc000009027"/>
      <w:r>
        <w:rPr>
          <w:bCs/>
          <w:lang w:val="en-GB"/>
        </w:rPr>
        <w:t xml:space="preserve">PROCESS FLOW OVERVIEW</w:t>
      </w:r>
      <w:bookmarkEnd w:id="9027"/>
    </w:p>
    <w:p>
      <w:pPr>
        <w:pStyle w:val="berschrift3"/>
      </w:pPr>
      <w:bookmarkStart w:id="9028" w:name="_Toc000009028"/>
      <w:r>
        <w:t xml:space="preserve">Alert and case life cycle</w:t>
      </w:r>
      <w:bookmarkEnd w:id="9028"/>
    </w:p>
    <w:p>
      <w:pPr>
        <w:spacing w:before="0" w:after="60" w:line="276" w:lineRule="auto"/>
        <w:ind w:left="-397" w:right="-680"/>
      </w:pPr>
      <w:r>
        <w:rPr>
          <w:b/>
        </w:rPr>
        <w:t xml:space="preserve">Alert:</w:t>
      </w:r>
      <w:r>
        <w:t xml:space="preserve"> New → In progress → Resolved or False positive. A matching suppression rule moves a new alert to Suppressed. An alert becomes In progress when you set it or when a case is created from it. A resolved alert is re-opened if new matching events show up, and the case it belongs to is told.</w:t>
      </w:r>
    </w:p>
    <w:p>
      <w:pPr>
        <w:spacing w:before="0" w:after="100" w:line="276" w:lineRule="auto"/>
        <w:ind w:left="-397" w:right="-680"/>
      </w:pPr>
      <w:r>
        <w:rPr>
          <w:b/>
        </w:rPr>
        <w:t xml:space="preserve">Case:</w:t>
      </w:r>
      <w:r>
        <w:t xml:space="preserve"> Open → Investigating or Waiting → Closed. Closing needs a resolution and can resolve the case’s open alerts. A closed case can be reopened.</w:t>
      </w:r>
    </w:p>
    <w:p>
      <w:pPr>
        <w:pStyle w:val="berschrift1"/>
      </w:pPr>
      <w:bookmarkStart w:id="9029" w:name="_Toc000009029"/>
      <w:r>
        <w:t xml:space="preserve">DOCUMENTS &amp; RECORDS</w:t>
      </w:r>
      <w:bookmarkEnd w:id="9029"/>
    </w:p>
    <w:p>
      <w:pPr>
        <w:spacing w:line="276" w:lineRule="auto"/>
        <w:ind w:left="-397" w:right="-680"/>
      </w:pPr>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
        <w:gridCol w:w="9355"/>
      </w:tblGrid>
      <w:tr>
        <w:trPr>
          <w:cantSplit/>
          <w:trHeight w:val="518"/>
        </w:trPr>
        <w:tc>
          <w:tcPr>
            <w:tcW w:w="852" w:type="dxa"/>
            <w:shd w:val="clear" w:color="auto" w:fill="E8E8E8" w:themeFill="background2"/>
            <w:vAlign w:val="center"/>
          </w:tcPr>
          <w:p>
            <w:pPr>
              <w:spacing w:line="276" w:lineRule="auto"/>
            </w:pPr>
            <w:r>
              <w:t>#</w:t>
            </w:r>
          </w:p>
        </w:tc>
        <w:tc>
          <w:tcPr>
            <w:tcW w:w="9355" w:type="dxa"/>
            <w:shd w:val="clear" w:color="auto" w:fill="E8E8E8" w:themeFill="background2"/>
            <w:vAlign w:val="center"/>
          </w:tcPr>
          <w:p>
            <w:pPr>
              <w:spacing w:line="276" w:lineRule="auto"/>
            </w:pPr>
            <w:r>
              <w:t>Description</w:t>
            </w:r>
          </w:p>
        </w:tc>
      </w:tr>
      <w:tr>
        <w:trPr>
          <w:cantSplit/>
          <w:trHeight w:val="360"/>
        </w:trPr>
        <w:tc>
          <w:tcPr>
            <w:tcW w:w="852" w:type="dxa"/>
          </w:tcPr>
          <w:p>
            <w:pPr>
              <w:spacing w:line="276" w:lineRule="auto"/>
            </w:pPr>
            <w:r>
              <w:t xml:space="preserve">1</w:t>
            </w:r>
          </w:p>
        </w:tc>
        <w:tc>
          <w:tcPr>
            <w:tcW w:w="9355" w:type="dxa"/>
          </w:tcPr>
          <w:p>
            <w:pPr>
              <w:spacing w:line="276" w:lineRule="auto"/>
            </w:pPr>
            <w:r>
              <w:t xml:space="preserve">INEOS Grenadier VIN Decoder Global, Corp-P2-ENG-0128, revision 001</w:t>
            </w:r>
          </w:p>
        </w:tc>
      </w:tr>
      <w:tr>
        <w:trPr>
          <w:cantSplit/>
          <w:trHeight w:val="360"/>
        </w:trPr>
        <w:tc>
          <w:tcPr>
            <w:tcW w:w="852" w:type="dxa"/>
          </w:tcPr>
          <w:p>
            <w:pPr>
              <w:spacing w:line="276" w:lineRule="auto"/>
            </w:pPr>
            <w:r>
              <w:t xml:space="preserve">2</w:t>
            </w:r>
          </w:p>
        </w:tc>
        <w:tc>
          <w:tcPr>
            <w:tcW w:w="9355" w:type="dxa"/>
          </w:tcPr>
          <w:p>
            <w:pPr>
              <w:spacing w:line="276" w:lineRule="auto"/>
            </w:pPr>
            <w:r>
              <w:t xml:space="preserve">Fleet IDS SIEM repository and README: github.com/rng0xff/idssiem</w:t>
            </w:r>
          </w:p>
        </w:tc>
      </w:tr>
      <w:tr>
        <w:trPr>
          <w:cantSplit/>
          <w:trHeight w:val="360"/>
        </w:trPr>
        <w:tc>
          <w:tcPr>
            <w:tcW w:w="852" w:type="dxa"/>
          </w:tcPr>
          <w:p>
            <w:pPr>
              <w:spacing w:line="276" w:lineRule="auto"/>
            </w:pPr>
            <w:r>
              <w:t xml:space="preserve">3</w:t>
            </w:r>
          </w:p>
        </w:tc>
        <w:tc>
          <w:tcPr>
            <w:tcW w:w="9355" w:type="dxa"/>
          </w:tcPr>
          <w:p>
            <w:pPr>
              <w:spacing w:line="276" w:lineRule="auto"/>
            </w:pPr>
            <w:r>
              <w:t xml:space="preserve">CycurGUARD backend API documentation (Swagger): ineos.cycurguard.etas.com/docs</w:t>
            </w:r>
          </w:p>
        </w:tc>
      </w:tr>
      <w:tr>
        <w:trPr>
          <w:cantSplit/>
          <w:trHeight w:val="360"/>
        </w:trPr>
        <w:tc>
          <w:tcPr>
            <w:tcW w:w="852" w:type="dxa"/>
          </w:tcPr>
          <w:p>
            <w:pPr>
              <w:spacing w:line="276" w:lineRule="auto"/>
            </w:pPr>
            <w:r>
              <w:t xml:space="preserve">4</w:t>
            </w:r>
          </w:p>
        </w:tc>
        <w:tc>
          <w:tcPr>
            <w:tcW w:w="9355" w:type="dxa"/>
          </w:tcPr>
          <w:p>
            <w:pPr>
              <w:spacing w:line="276" w:lineRule="auto"/>
            </w:pPr>
            <w:r>
              <w:t xml:space="preserve">Event and audit log exports (CSV), created in the tool on request</w:t>
            </w:r>
          </w:p>
        </w:tc>
      </w:tr>
    </w:tbl>
    <w:p>
      <w:pPr>
        <w:spacing w:line="276" w:lineRule="auto"/>
        <w:ind w:left="-397" w:right="-680"/>
      </w:pPr>
    </w:p>
    <w:p>
      <w:pPr>
        <w:pStyle w:val="berschrift1"/>
      </w:pPr>
      <w:bookmarkStart w:id="9030" w:name="_Toc000009030"/>
      <w:r>
        <w:t xml:space="preserve">REVISION HISTORY</w:t>
      </w:r>
      <w:bookmarkEnd w:id="9030"/>
    </w:p>
    <w:tbl>
      <w:tblPr>
        <w:tblW w:w="10207" w:type="dxa"/>
        <w:tblInd w:w="-4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0"/>
        <w:gridCol w:w="5885"/>
        <w:gridCol w:w="2268"/>
        <w:gridCol w:w="1134"/>
      </w:tblGrid>
      <w:tr>
        <w:trPr>
          <w:trHeight w:val="300"/>
        </w:trPr>
        <w:tc>
          <w:tcPr>
            <w:tcW w:w="920" w:type="dxa"/>
            <w:tcBorders>
              <w:top w:val="single" w:sz="6" w:space="0" w:color="auto"/>
              <w:left w:val="single" w:sz="6" w:space="0" w:color="auto"/>
              <w:bottom w:val="single" w:sz="6" w:space="0" w:color="auto"/>
              <w:right w:val="single" w:sz="6" w:space="0" w:color="auto"/>
            </w:tcBorders>
            <w:shd w:val="clear" w:color="auto" w:fill="E8E8E8" w:themeFill="background2"/>
            <w:hideMark/>
          </w:tcPr>
          <w:p>
            <w:pPr>
              <w:spacing w:line="276" w:lineRule="auto"/>
              <w:rPr>
                <w:lang w:val="de-DE"/>
              </w:rPr>
            </w:pPr>
            <w:r>
              <w:rPr>
                <w:lang w:val="en-GB"/>
              </w:rPr>
              <w:t>Revision</w:t>
            </w:r>
            <w:r>
              <w:rPr>
                <w:lang w:val="de-DE"/>
              </w:rPr>
              <w:t> </w:t>
            </w:r>
          </w:p>
        </w:tc>
        <w:tc>
          <w:tcPr>
            <w:tcW w:w="5885" w:type="dxa"/>
            <w:tcBorders>
              <w:top w:val="single" w:sz="6" w:space="0" w:color="auto"/>
              <w:left w:val="single" w:sz="6" w:space="0" w:color="auto"/>
              <w:bottom w:val="single" w:sz="6" w:space="0" w:color="auto"/>
              <w:right w:val="single" w:sz="6" w:space="0" w:color="auto"/>
            </w:tcBorders>
            <w:shd w:val="clear" w:color="auto" w:fill="E8E8E8" w:themeFill="background2"/>
            <w:hideMark/>
          </w:tcPr>
          <w:p>
            <w:pPr>
              <w:spacing w:line="276" w:lineRule="auto"/>
              <w:rPr>
                <w:lang w:val="de-DE"/>
              </w:rPr>
            </w:pPr>
            <w:r>
              <w:rPr>
                <w:lang w:val="en-GB"/>
              </w:rPr>
              <w:t>Description of Change</w:t>
            </w:r>
            <w:r>
              <w:rPr>
                <w:lang w:val="de-DE"/>
              </w:rPr>
              <w:t> </w:t>
            </w:r>
          </w:p>
        </w:tc>
        <w:tc>
          <w:tcPr>
            <w:tcW w:w="2268" w:type="dxa"/>
            <w:tcBorders>
              <w:top w:val="single" w:sz="6" w:space="0" w:color="auto"/>
              <w:left w:val="single" w:sz="6" w:space="0" w:color="auto"/>
              <w:bottom w:val="single" w:sz="6" w:space="0" w:color="auto"/>
              <w:right w:val="single" w:sz="6" w:space="0" w:color="auto"/>
            </w:tcBorders>
            <w:shd w:val="clear" w:color="auto" w:fill="E8E8E8" w:themeFill="background2"/>
            <w:hideMark/>
          </w:tcPr>
          <w:p>
            <w:pPr>
              <w:spacing w:line="276" w:lineRule="auto"/>
              <w:rPr>
                <w:lang w:val="de-DE"/>
              </w:rPr>
            </w:pPr>
            <w:r>
              <w:rPr>
                <w:lang w:val="en-GB"/>
              </w:rPr>
              <w:t>Editor</w:t>
            </w:r>
            <w:r>
              <w:rPr>
                <w:lang w:val="de-DE"/>
              </w:rPr>
              <w:t> </w:t>
            </w:r>
          </w:p>
        </w:tc>
        <w:tc>
          <w:tcPr>
            <w:tcW w:w="1134" w:type="dxa"/>
            <w:tcBorders>
              <w:top w:val="single" w:sz="6" w:space="0" w:color="auto"/>
              <w:left w:val="single" w:sz="6" w:space="0" w:color="auto"/>
              <w:bottom w:val="single" w:sz="6" w:space="0" w:color="auto"/>
              <w:right w:val="single" w:sz="6" w:space="0" w:color="auto"/>
            </w:tcBorders>
            <w:shd w:val="clear" w:color="auto" w:fill="E8E8E8" w:themeFill="background2"/>
            <w:hideMark/>
          </w:tcPr>
          <w:p>
            <w:pPr>
              <w:spacing w:line="276" w:lineRule="auto"/>
              <w:rPr>
                <w:lang w:val="de-DE"/>
              </w:rPr>
            </w:pPr>
            <w:r>
              <w:rPr>
                <w:lang w:val="en-GB"/>
              </w:rPr>
              <w:t>Date</w:t>
            </w:r>
            <w:r>
              <w:rPr>
                <w:lang w:val="de-DE"/>
              </w:rPr>
              <w:t> </w:t>
            </w:r>
          </w:p>
        </w:tc>
      </w:tr>
      <w:tr>
        <w:trPr>
          <w:trHeight w:val="300"/>
        </w:trPr>
        <w:tc>
          <w:tcPr>
            <w:tcW w:w="920" w:type="dxa"/>
            <w:tcBorders>
              <w:top w:val="single" w:sz="6" w:space="0" w:color="auto"/>
              <w:left w:val="single" w:sz="6" w:space="0" w:color="auto"/>
              <w:bottom w:val="single" w:sz="6" w:space="0" w:color="auto"/>
              <w:right w:val="single" w:sz="6" w:space="0" w:color="auto"/>
            </w:tcBorders>
            <w:hideMark/>
          </w:tcPr>
          <w:p>
            <w:pPr>
              <w:spacing w:line="276" w:lineRule="auto"/>
              <w:rPr>
                <w:lang w:val="de-DE"/>
              </w:rPr>
            </w:pPr>
            <w:r>
              <w:rPr>
                <w:lang w:val="en-GB"/>
              </w:rPr>
              <w:t xml:space="preserve">001</w:t>
            </w:r>
          </w:p>
        </w:tc>
        <w:tc>
          <w:tcPr>
            <w:tcW w:w="5885" w:type="dxa"/>
            <w:tcBorders>
              <w:top w:val="single" w:sz="6" w:space="0" w:color="auto"/>
              <w:left w:val="single" w:sz="6" w:space="0" w:color="auto"/>
              <w:bottom w:val="single" w:sz="6" w:space="0" w:color="auto"/>
              <w:right w:val="single" w:sz="6" w:space="0" w:color="auto"/>
            </w:tcBorders>
            <w:hideMark/>
          </w:tcPr>
          <w:p>
            <w:pPr>
              <w:spacing w:line="276" w:lineRule="auto"/>
              <w:rPr>
                <w:lang w:val="de-DE"/>
              </w:rPr>
            </w:pPr>
            <w:r>
              <w:rPr>
                <w:lang w:val="en-GB"/>
              </w:rPr>
              <w:t xml:space="preserve">Initial document</w:t>
            </w:r>
          </w:p>
        </w:tc>
        <w:tc>
          <w:tcPr>
            <w:tcW w:w="2268" w:type="dxa"/>
            <w:tcBorders>
              <w:top w:val="single" w:sz="6" w:space="0" w:color="auto"/>
              <w:left w:val="single" w:sz="6" w:space="0" w:color="auto"/>
              <w:bottom w:val="single" w:sz="6" w:space="0" w:color="auto"/>
              <w:right w:val="single" w:sz="6" w:space="0" w:color="auto"/>
            </w:tcBorders>
            <w:hideMark/>
          </w:tcPr>
          <w:p>
            <w:pPr>
              <w:spacing w:line="276" w:lineRule="auto"/>
              <w:rPr>
                <w:lang w:val="de-DE"/>
              </w:rPr>
            </w:pPr>
            <w:r>
              <w:rPr>
                <w:lang w:val="en-GB"/>
              </w:rPr>
              <w:t xml:space="preserve">Matthias Wachs</w:t>
            </w:r>
          </w:p>
        </w:tc>
        <w:tc>
          <w:tcPr>
            <w:tcW w:w="1134" w:type="dxa"/>
            <w:tcBorders>
              <w:top w:val="single" w:sz="6" w:space="0" w:color="auto"/>
              <w:left w:val="single" w:sz="6" w:space="0" w:color="auto"/>
              <w:bottom w:val="single" w:sz="6" w:space="0" w:color="auto"/>
              <w:right w:val="single" w:sz="6" w:space="0" w:color="auto"/>
            </w:tcBorders>
            <w:hideMark/>
          </w:tcPr>
          <w:p>
            <w:pPr>
              <w:spacing w:line="276" w:lineRule="auto"/>
              <w:rPr>
                <w:lang w:val="de-DE"/>
              </w:rPr>
            </w:pPr>
            <w:r>
              <w:rPr>
                <w:lang w:val="en-GB"/>
              </w:rPr>
              <w:t xml:space="preserve">15.10.2026</w:t>
            </w:r>
          </w:p>
        </w:tc>
      </w:tr>
    </w:tbl>
    <w:p>
      <w:pPr>
        <w:spacing w:line="276" w:lineRule="auto"/>
        <w:ind w:left="-397" w:right="-680"/>
      </w:pPr>
    </w:p>
    <w:sectPr w:rsidR="00815E97" w:rsidRPr="00815E97" w:rsidSect="00815E97">
      <w:headerReference w:type="default" r:id="rId11"/>
      <w:footerReference w:type="default" r:id="rId12"/>
      <w:pgSz w:w="12240" w:h="15840" w:code="1"/>
      <w:pgMar w:top="133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2FA3B" w14:textId="77777777" w:rsidR="000E0BFA" w:rsidRDefault="000E0BFA" w:rsidP="009E0B16">
      <w:r>
        <w:separator/>
      </w:r>
    </w:p>
  </w:endnote>
  <w:endnote w:type="continuationSeparator" w:id="0">
    <w:p w14:paraId="57069FA2" w14:textId="77777777" w:rsidR="000E0BFA" w:rsidRDefault="000E0BFA" w:rsidP="009E0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2E9C" w14:textId="73B5E5C2" w:rsidR="00E002A4" w:rsidRPr="00773568" w:rsidRDefault="00E002A4" w:rsidP="00DD0CC2">
    <w:pPr>
      <w:pStyle w:val="Fuzeile"/>
      <w:ind w:left="-624" w:right="-397"/>
      <w:rPr>
        <w:lang w:val="en-GB"/>
      </w:rPr>
    </w:pPr>
    <w:r>
      <w:rPr>
        <w:noProof/>
        <w:sz w:val="12"/>
      </w:rPr>
      <w:drawing>
        <wp:inline distT="0" distB="0" distL="0" distR="0" wp14:anchorId="201A3C81" wp14:editId="298FD58A">
          <wp:extent cx="1792560" cy="108000"/>
          <wp:effectExtent l="0" t="0" r="0" b="6350"/>
          <wp:docPr id="711484176"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41799" name="Grafik 1350041799"/>
                  <pic:cNvPicPr/>
                </pic:nvPicPr>
                <pic:blipFill>
                  <a:blip r:embed="rId1">
                    <a:extLst>
                      <a:ext uri="{28A0092B-C50C-407E-A947-70E740481C1C}">
                        <a14:useLocalDpi xmlns:a14="http://schemas.microsoft.com/office/drawing/2010/main" val="0"/>
                      </a:ext>
                    </a:extLst>
                  </a:blip>
                  <a:stretch>
                    <a:fillRect/>
                  </a:stretch>
                </pic:blipFill>
                <pic:spPr>
                  <a:xfrm>
                    <a:off x="0" y="0"/>
                    <a:ext cx="1792560" cy="108000"/>
                  </a:xfrm>
                  <a:prstGeom prst="rect">
                    <a:avLst/>
                  </a:prstGeom>
                </pic:spPr>
              </pic:pic>
            </a:graphicData>
          </a:graphic>
        </wp:inline>
      </w:drawing>
    </w:r>
    <w:r w:rsidRPr="00773568">
      <w:rPr>
        <w:caps/>
        <w:noProof/>
        <w:color w:val="808080" w:themeColor="background1" w:themeShade="80"/>
        <w:sz w:val="18"/>
        <w:szCs w:val="18"/>
      </w:rPr>
      <w:ptab w:relativeTo="margin" w:alignment="center" w:leader="none"/>
    </w:r>
    <w:r>
      <w:rPr>
        <w:caps/>
        <w:noProof/>
        <w:color w:val="808080" w:themeColor="background1" w:themeShade="80"/>
        <w:sz w:val="18"/>
        <w:szCs w:val="18"/>
      </w:rPr>
      <w:fldChar w:fldCharType="begin"/>
    </w:r>
    <w:r>
      <w:rPr>
        <w:caps/>
        <w:noProof/>
        <w:color w:val="808080" w:themeColor="background1" w:themeShade="80"/>
        <w:sz w:val="18"/>
        <w:szCs w:val="18"/>
      </w:rPr>
      <w:instrText xml:space="preserve"> PAGE   \* MERGEFORMAT </w:instrText>
    </w:r>
    <w:r>
      <w:rPr>
        <w:caps/>
        <w:noProof/>
        <w:color w:val="808080" w:themeColor="background1" w:themeShade="80"/>
        <w:sz w:val="18"/>
        <w:szCs w:val="18"/>
      </w:rPr>
      <w:fldChar w:fldCharType="separate"/>
    </w:r>
    <w:r>
      <w:rPr>
        <w:caps/>
        <w:noProof/>
        <w:color w:val="808080" w:themeColor="background1" w:themeShade="80"/>
        <w:sz w:val="18"/>
        <w:szCs w:val="18"/>
      </w:rPr>
      <w:t>1</w:t>
    </w:r>
    <w:r>
      <w:rPr>
        <w:caps/>
        <w:noProof/>
        <w:color w:val="808080" w:themeColor="background1" w:themeShade="80"/>
        <w:sz w:val="18"/>
        <w:szCs w:val="18"/>
      </w:rPr>
      <w:fldChar w:fldCharType="end"/>
    </w:r>
    <w:r w:rsidRPr="00773568">
      <w:rPr>
        <w:caps/>
        <w:noProof/>
        <w:color w:val="808080" w:themeColor="background1" w:themeShade="80"/>
        <w:sz w:val="18"/>
        <w:szCs w:val="18"/>
      </w:rPr>
      <w:ptab w:relativeTo="margin" w:alignment="right" w:leader="none"/>
    </w:r>
    <w:r>
      <w:rPr>
        <w:noProof/>
        <w:color w:val="808080" w:themeColor="background1" w:themeShade="80"/>
        <w:sz w:val="18"/>
        <w:szCs w:val="18"/>
        <w:caps w:val="0"/>
      </w:rPr>
      <w:t>CORP-P2-ENG-0164-Fleet IDS SIEM - User Manual</w:t>
    </w:r>
    <w:r w:rsidR="0008305E" w:rsidRPr="00773568">
      <w:rPr>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3E2CC" w14:textId="77777777" w:rsidR="000E0BFA" w:rsidRDefault="000E0BFA" w:rsidP="009E0B16">
      <w:r>
        <w:separator/>
      </w:r>
    </w:p>
  </w:footnote>
  <w:footnote w:type="continuationSeparator" w:id="0">
    <w:p w14:paraId="1D07DBB2" w14:textId="77777777" w:rsidR="000E0BFA" w:rsidRDefault="000E0BFA" w:rsidP="009E0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1E0" w:firstRow="1" w:lastRow="1" w:firstColumn="1" w:lastColumn="1" w:noHBand="0" w:noVBand="0"/>
    </w:tblPr>
    <w:tblGrid>
      <w:gridCol w:w="1413"/>
      <w:gridCol w:w="4758"/>
      <w:gridCol w:w="4172"/>
    </w:tblGrid>
    <w:tr w:rsidR="00514B61" w:rsidRPr="00FC6487" w14:paraId="202DE213" w14:textId="77777777" w:rsidTr="00327A28">
      <w:trPr>
        <w:cantSplit/>
        <w:trHeight w:hRule="exact" w:val="436"/>
        <w:jc w:val="center"/>
      </w:trPr>
      <w:tc>
        <w:tcPr>
          <w:tcW w:w="683" w:type="pct"/>
          <w:vMerge w:val="restart"/>
          <w:noWrap/>
          <w:tcMar>
            <w:left w:w="29" w:type="dxa"/>
            <w:right w:w="29" w:type="dxa"/>
          </w:tcMar>
          <w:vAlign w:val="center"/>
        </w:tcPr>
        <w:p w14:paraId="18B5CEBA" w14:textId="77777777" w:rsidR="00514B61" w:rsidRPr="00FC6487" w:rsidRDefault="00514B61" w:rsidP="00514B61">
          <w:pPr>
            <w:rPr>
              <w:szCs w:val="20"/>
            </w:rPr>
          </w:pPr>
          <w:r>
            <w:rPr>
              <w:szCs w:val="20"/>
            </w:rPr>
            <w:t xml:space="preserve">   </w:t>
          </w:r>
          <w:r>
            <w:rPr>
              <w:noProof/>
              <w:szCs w:val="20"/>
            </w:rPr>
            <w:drawing>
              <wp:inline distT="0" distB="0" distL="0" distR="0" wp14:anchorId="703A464F" wp14:editId="06A8358C">
                <wp:extent cx="615950" cy="511810"/>
                <wp:effectExtent l="0" t="0" r="0" b="2540"/>
                <wp:docPr id="377521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950" cy="511810"/>
                        </a:xfrm>
                        <a:prstGeom prst="rect">
                          <a:avLst/>
                        </a:prstGeom>
                        <a:noFill/>
                      </pic:spPr>
                    </pic:pic>
                  </a:graphicData>
                </a:graphic>
              </wp:inline>
            </w:drawing>
          </w:r>
        </w:p>
      </w:tc>
      <w:tc>
        <w:tcPr>
          <w:tcW w:w="2300" w:type="pct"/>
          <w:noWrap/>
          <w:vAlign w:val="center"/>
        </w:tcPr>
        <w:p w14:paraId="11C87BB5" w14:textId="4A5BA170" w:rsidR="00514B61" w:rsidRPr="0043460F" w:rsidRDefault="00514B61" w:rsidP="00514B61">
          <w:pPr>
            <w:rPr>
              <w:b/>
              <w:bCs/>
            </w:rPr>
          </w:pPr>
          <w:r>
            <w:rPr>
              <w:b/>
              <w:bCs/>
            </w:rPr>
            <w:t>Fleet IDS SIEM - User Manual</w:t>
          </w:r>
          <w:r>
            <w:rPr>
              <w:b/>
              <w:bCs/>
            </w:rPr>
          </w:r>
          <w:proofErr w:type="spellStart"/>
          <w:r>
            <w:rPr>
              <w:b/>
              <w:bCs/>
            </w:rPr>
          </w:r>
          <w:r w:rsidR="00BE297A">
            <w:rPr>
              <w:b/>
              <w:bCs/>
            </w:rPr>
          </w:r>
          <w:r>
            <w:rPr>
              <w:b/>
              <w:bCs/>
            </w:rPr>
          </w:r>
          <w:proofErr w:type="spellEnd"/>
        </w:p>
      </w:tc>
      <w:tc>
        <w:tcPr>
          <w:tcW w:w="2017" w:type="pct"/>
          <w:vAlign w:val="center"/>
        </w:tcPr>
        <w:p w14:paraId="533E82D4" w14:textId="029D71FE" w:rsidR="00514B61" w:rsidRPr="0043460F" w:rsidRDefault="00514B61" w:rsidP="00514B61">
          <w:pPr>
            <w:rPr>
              <w:b/>
              <w:bCs/>
            </w:rPr>
          </w:pPr>
          <w:r w:rsidRPr="0043460F">
            <w:rPr>
              <w:b/>
              <w:bCs/>
            </w:rPr>
            <w:t>CORP-P2-ENG-0164</w:t>
          </w:r>
          <w:r>
            <w:rPr>
              <w:b/>
              <w:bCs/>
            </w:rPr>
          </w:r>
          <w:r w:rsidRPr="0043460F">
            <w:rPr>
              <w:b/>
              <w:bCs/>
            </w:rPr>
          </w:r>
          <w:r>
            <w:rPr>
              <w:b/>
              <w:bCs/>
            </w:rPr>
          </w:r>
        </w:p>
      </w:tc>
    </w:tr>
    <w:tr w:rsidR="00514B61" w:rsidRPr="00FC6487" w14:paraId="1829F0E2" w14:textId="77777777" w:rsidTr="00327A28">
      <w:trPr>
        <w:cantSplit/>
        <w:trHeight w:val="360"/>
        <w:jc w:val="center"/>
      </w:trPr>
      <w:tc>
        <w:tcPr>
          <w:tcW w:w="683" w:type="pct"/>
          <w:vMerge/>
        </w:tcPr>
        <w:p w14:paraId="1B46AB53" w14:textId="77777777" w:rsidR="00514B61" w:rsidRPr="00FC6487" w:rsidRDefault="00514B61" w:rsidP="00514B61">
          <w:pPr>
            <w:rPr>
              <w:szCs w:val="20"/>
            </w:rPr>
          </w:pPr>
        </w:p>
      </w:tc>
      <w:tc>
        <w:tcPr>
          <w:tcW w:w="2300" w:type="pct"/>
          <w:vAlign w:val="center"/>
        </w:tcPr>
        <w:p w14:paraId="01276061" w14:textId="3B28629D" w:rsidR="00514B61" w:rsidRPr="00FC6487" w:rsidRDefault="00514B61" w:rsidP="00514B61">
          <w:pPr>
            <w:rPr>
              <w:lang w:val="en-GB"/>
            </w:rPr>
          </w:pPr>
          <w:r>
            <w:rPr>
              <w:lang w:val="en-GB"/>
            </w:rPr>
            <w:t>Work Instruction – internal use only</w:t>
          </w:r>
          <w:r w:rsidRPr="00FC6487">
            <w:rPr>
              <w:lang w:val="en-GB"/>
            </w:rPr>
          </w:r>
        </w:p>
      </w:tc>
      <w:tc>
        <w:tcPr>
          <w:tcW w:w="2017" w:type="pct"/>
          <w:vAlign w:val="center"/>
        </w:tcPr>
        <w:p w14:paraId="5EA918D1" w14:textId="4D8F7682" w:rsidR="00514B61" w:rsidRPr="00FC6487" w:rsidRDefault="00514B61" w:rsidP="00514B61">
          <w:r>
            <w:t>Revision: 001</w:t>
          </w:r>
          <w:r/>
        </w:p>
      </w:tc>
    </w:tr>
    <w:tr w:rsidR="00514B61" w:rsidRPr="009E3118" w14:paraId="1CBBEB30" w14:textId="77777777" w:rsidTr="00327A28">
      <w:trPr>
        <w:cantSplit/>
        <w:trHeight w:hRule="exact" w:val="203"/>
        <w:jc w:val="center"/>
      </w:trPr>
      <w:tc>
        <w:tcPr>
          <w:tcW w:w="683" w:type="pct"/>
          <w:vMerge/>
        </w:tcPr>
        <w:p w14:paraId="1C0ABCB6" w14:textId="77777777" w:rsidR="00514B61" w:rsidRPr="00FC6487" w:rsidRDefault="00514B61" w:rsidP="00514B61">
          <w:pPr>
            <w:rPr>
              <w:szCs w:val="20"/>
            </w:rPr>
          </w:pPr>
        </w:p>
      </w:tc>
      <w:tc>
        <w:tcPr>
          <w:tcW w:w="4317" w:type="pct"/>
          <w:gridSpan w:val="2"/>
          <w:vAlign w:val="center"/>
        </w:tcPr>
        <w:p w14:paraId="62F644D8" w14:textId="77777777" w:rsidR="00514B61" w:rsidRPr="009E3118" w:rsidRDefault="00514B61" w:rsidP="00514B61">
          <w:pPr>
            <w:rPr>
              <w:sz w:val="15"/>
              <w:szCs w:val="15"/>
              <w:lang w:val="en-GB"/>
            </w:rPr>
          </w:pPr>
          <w:r w:rsidRPr="00FA1C3C">
            <w:rPr>
              <w:i/>
              <w:iCs/>
              <w:sz w:val="15"/>
              <w:szCs w:val="15"/>
              <w:lang w:val="en-GB"/>
            </w:rPr>
            <w:t>Printed versions are for information purposes only. The version in data base with corresponding meta data is considered valid.</w:t>
          </w:r>
        </w:p>
      </w:tc>
    </w:tr>
  </w:tbl>
  <w:p w14:paraId="30D4803A" w14:textId="75F8ACF3" w:rsidR="00E002A4" w:rsidRPr="00514B61" w:rsidRDefault="00E002A4" w:rsidP="0091076D">
    <w:pPr>
      <w:pStyle w:val="Kopfzeile"/>
      <w:rPr>
        <w:sz w:val="12"/>
        <w:szCs w:val="1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66D"/>
    <w:multiLevelType w:val="hybridMultilevel"/>
    <w:tmpl w:val="FEC2F5DA"/>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1" w15:restartNumberingAfterBreak="0">
    <w:nsid w:val="0CB82A0E"/>
    <w:multiLevelType w:val="multilevel"/>
    <w:tmpl w:val="893A05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DF1ACE"/>
    <w:multiLevelType w:val="hybridMultilevel"/>
    <w:tmpl w:val="F1141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3F4FA1"/>
    <w:multiLevelType w:val="multilevel"/>
    <w:tmpl w:val="54CC99DA"/>
    <w:lvl w:ilvl="0">
      <w:start w:val="8"/>
      <w:numFmt w:val="decimal"/>
      <w:lvlText w:val="%1."/>
      <w:lvlJc w:val="left"/>
      <w:pPr>
        <w:tabs>
          <w:tab w:val="num" w:pos="432"/>
        </w:tabs>
        <w:ind w:left="454" w:hanging="454"/>
      </w:pPr>
      <w:rPr>
        <w:rFonts w:ascii="Arial" w:hAnsi="Arial" w:hint="default"/>
        <w:b/>
        <w:i w:val="0"/>
        <w:sz w:val="22"/>
        <w:szCs w:val="22"/>
      </w:rPr>
    </w:lvl>
    <w:lvl w:ilvl="1">
      <w:start w:val="1"/>
      <w:numFmt w:val="decimal"/>
      <w:suff w:val="space"/>
      <w:lvlText w:val="%1.%2."/>
      <w:lvlJc w:val="left"/>
      <w:pPr>
        <w:ind w:left="964" w:hanging="510"/>
      </w:pPr>
      <w:rPr>
        <w:rFonts w:hint="default"/>
        <w:b/>
        <w:i w:val="0"/>
        <w:sz w:val="22"/>
        <w:szCs w:val="26"/>
        <w:u w:val="single"/>
      </w:rPr>
    </w:lvl>
    <w:lvl w:ilvl="2">
      <w:start w:val="1"/>
      <w:numFmt w:val="decimal"/>
      <w:suff w:val="space"/>
      <w:lvlText w:val="%1.%2.%3."/>
      <w:lvlJc w:val="left"/>
      <w:pPr>
        <w:ind w:left="1701" w:hanging="794"/>
      </w:pPr>
      <w:rPr>
        <w:rFonts w:hint="default"/>
      </w:rPr>
    </w:lvl>
    <w:lvl w:ilvl="3">
      <w:start w:val="1"/>
      <w:numFmt w:val="decimal"/>
      <w:suff w:val="space"/>
      <w:lvlText w:val="%1.%2.%3.%4."/>
      <w:lvlJc w:val="left"/>
      <w:pPr>
        <w:ind w:left="2325" w:hanging="737"/>
      </w:pPr>
      <w:rPr>
        <w:rFonts w:hint="default"/>
        <w:b w:val="0"/>
        <w:bCs w:val="0"/>
        <w:i w:val="0"/>
        <w:iCs w:val="0"/>
        <w:caps w:val="0"/>
        <w:smallCaps w:val="0"/>
        <w:strike w:val="0"/>
        <w:dstrike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4" w15:restartNumberingAfterBreak="0">
    <w:nsid w:val="236A64BE"/>
    <w:multiLevelType w:val="hybridMultilevel"/>
    <w:tmpl w:val="759086EA"/>
    <w:lvl w:ilvl="0" w:tplc="12B61306">
      <w:start w:val="1"/>
      <w:numFmt w:val="decimal"/>
      <w:lvlText w:val="%1."/>
      <w:lvlJc w:val="left"/>
      <w:pPr>
        <w:ind w:left="928"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25711064"/>
    <w:multiLevelType w:val="hybridMultilevel"/>
    <w:tmpl w:val="A36CF24A"/>
    <w:lvl w:ilvl="0" w:tplc="24C86A12">
      <w:start w:val="1"/>
      <w:numFmt w:val="decimal"/>
      <w:lvlText w:val="%1."/>
      <w:lvlJc w:val="left"/>
      <w:pPr>
        <w:ind w:left="72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7605A5A"/>
    <w:multiLevelType w:val="multilevel"/>
    <w:tmpl w:val="1472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A437B"/>
    <w:multiLevelType w:val="hybridMultilevel"/>
    <w:tmpl w:val="0B368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C00F42"/>
    <w:multiLevelType w:val="hybridMultilevel"/>
    <w:tmpl w:val="4DD66260"/>
    <w:lvl w:ilvl="0" w:tplc="847646E4">
      <w:start w:val="1"/>
      <w:numFmt w:val="decimal"/>
      <w:pStyle w:val="berschrit4"/>
      <w:lvlText w:val="%1.1"/>
      <w:lvlJc w:val="left"/>
      <w:pPr>
        <w:ind w:left="1440" w:hanging="360"/>
      </w:pPr>
      <w:rPr>
        <w:rFonts w:ascii="Arial" w:hAnsi="Arial" w:hint="default"/>
        <w:b w:val="0"/>
        <w:i w:val="0"/>
        <w:sz w:val="24"/>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0A07146"/>
    <w:multiLevelType w:val="multilevel"/>
    <w:tmpl w:val="22B60140"/>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0" w15:restartNumberingAfterBreak="0">
    <w:nsid w:val="4B0E232C"/>
    <w:multiLevelType w:val="multilevel"/>
    <w:tmpl w:val="F7D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A2914"/>
    <w:multiLevelType w:val="multilevel"/>
    <w:tmpl w:val="59D499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BB125A8"/>
    <w:multiLevelType w:val="hybridMultilevel"/>
    <w:tmpl w:val="B7887608"/>
    <w:lvl w:ilvl="0" w:tplc="412CBDE8">
      <w:start w:val="1"/>
      <w:numFmt w:val="decimal"/>
      <w:lvlText w:val="%1.1"/>
      <w:lvlJc w:val="left"/>
      <w:pPr>
        <w:ind w:left="1288" w:hanging="360"/>
      </w:pPr>
      <w:rPr>
        <w:rFonts w:ascii="Arial" w:hAnsi="Arial" w:hint="default"/>
        <w:b w:val="0"/>
        <w:i w:val="0"/>
        <w:sz w:val="24"/>
      </w:rPr>
    </w:lvl>
    <w:lvl w:ilvl="1" w:tplc="08090019" w:tentative="1">
      <w:start w:val="1"/>
      <w:numFmt w:val="lowerLetter"/>
      <w:lvlText w:val="%2."/>
      <w:lvlJc w:val="left"/>
      <w:pPr>
        <w:ind w:left="2008" w:hanging="360"/>
      </w:pPr>
    </w:lvl>
    <w:lvl w:ilvl="2" w:tplc="0809001B" w:tentative="1">
      <w:start w:val="1"/>
      <w:numFmt w:val="lowerRoman"/>
      <w:lvlText w:val="%3."/>
      <w:lvlJc w:val="right"/>
      <w:pPr>
        <w:ind w:left="2728" w:hanging="180"/>
      </w:pPr>
    </w:lvl>
    <w:lvl w:ilvl="3" w:tplc="0809000F" w:tentative="1">
      <w:start w:val="1"/>
      <w:numFmt w:val="decimal"/>
      <w:lvlText w:val="%4."/>
      <w:lvlJc w:val="left"/>
      <w:pPr>
        <w:ind w:left="3448" w:hanging="360"/>
      </w:pPr>
    </w:lvl>
    <w:lvl w:ilvl="4" w:tplc="08090019" w:tentative="1">
      <w:start w:val="1"/>
      <w:numFmt w:val="lowerLetter"/>
      <w:lvlText w:val="%5."/>
      <w:lvlJc w:val="left"/>
      <w:pPr>
        <w:ind w:left="4168" w:hanging="360"/>
      </w:pPr>
    </w:lvl>
    <w:lvl w:ilvl="5" w:tplc="0809001B" w:tentative="1">
      <w:start w:val="1"/>
      <w:numFmt w:val="lowerRoman"/>
      <w:lvlText w:val="%6."/>
      <w:lvlJc w:val="right"/>
      <w:pPr>
        <w:ind w:left="4888" w:hanging="180"/>
      </w:pPr>
    </w:lvl>
    <w:lvl w:ilvl="6" w:tplc="0809000F" w:tentative="1">
      <w:start w:val="1"/>
      <w:numFmt w:val="decimal"/>
      <w:lvlText w:val="%7."/>
      <w:lvlJc w:val="left"/>
      <w:pPr>
        <w:ind w:left="5608" w:hanging="360"/>
      </w:pPr>
    </w:lvl>
    <w:lvl w:ilvl="7" w:tplc="08090019" w:tentative="1">
      <w:start w:val="1"/>
      <w:numFmt w:val="lowerLetter"/>
      <w:lvlText w:val="%8."/>
      <w:lvlJc w:val="left"/>
      <w:pPr>
        <w:ind w:left="6328" w:hanging="360"/>
      </w:pPr>
    </w:lvl>
    <w:lvl w:ilvl="8" w:tplc="0809001B" w:tentative="1">
      <w:start w:val="1"/>
      <w:numFmt w:val="lowerRoman"/>
      <w:lvlText w:val="%9."/>
      <w:lvlJc w:val="right"/>
      <w:pPr>
        <w:ind w:left="7048" w:hanging="180"/>
      </w:pPr>
    </w:lvl>
  </w:abstractNum>
  <w:abstractNum w:abstractNumId="13" w15:restartNumberingAfterBreak="0">
    <w:nsid w:val="6DCD19BC"/>
    <w:multiLevelType w:val="hybridMultilevel"/>
    <w:tmpl w:val="0974FA22"/>
    <w:lvl w:ilvl="0" w:tplc="BEA2FF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FB1E17"/>
    <w:multiLevelType w:val="hybridMultilevel"/>
    <w:tmpl w:val="2A72D594"/>
    <w:lvl w:ilvl="0" w:tplc="DA14DA2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F81548D"/>
    <w:multiLevelType w:val="hybridMultilevel"/>
    <w:tmpl w:val="BFD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8234199">
    <w:abstractNumId w:val="14"/>
  </w:num>
  <w:num w:numId="2" w16cid:durableId="1256329837">
    <w:abstractNumId w:val="3"/>
  </w:num>
  <w:num w:numId="3" w16cid:durableId="2038237554">
    <w:abstractNumId w:val="3"/>
  </w:num>
  <w:num w:numId="4" w16cid:durableId="1995642407">
    <w:abstractNumId w:val="3"/>
  </w:num>
  <w:num w:numId="5" w16cid:durableId="1400447338">
    <w:abstractNumId w:val="3"/>
  </w:num>
  <w:num w:numId="6" w16cid:durableId="2034332567">
    <w:abstractNumId w:val="4"/>
  </w:num>
  <w:num w:numId="7" w16cid:durableId="1123310480">
    <w:abstractNumId w:val="4"/>
  </w:num>
  <w:num w:numId="8" w16cid:durableId="1269704097">
    <w:abstractNumId w:val="8"/>
  </w:num>
  <w:num w:numId="9" w16cid:durableId="328140319">
    <w:abstractNumId w:val="13"/>
  </w:num>
  <w:num w:numId="10" w16cid:durableId="635531995">
    <w:abstractNumId w:val="12"/>
  </w:num>
  <w:num w:numId="11" w16cid:durableId="1220239172">
    <w:abstractNumId w:val="5"/>
  </w:num>
  <w:num w:numId="12" w16cid:durableId="980230080">
    <w:abstractNumId w:val="8"/>
  </w:num>
  <w:num w:numId="13" w16cid:durableId="970332486">
    <w:abstractNumId w:val="8"/>
  </w:num>
  <w:num w:numId="14" w16cid:durableId="1457334301">
    <w:abstractNumId w:val="1"/>
  </w:num>
  <w:num w:numId="15" w16cid:durableId="991523657">
    <w:abstractNumId w:val="0"/>
  </w:num>
  <w:num w:numId="16" w16cid:durableId="839153652">
    <w:abstractNumId w:val="2"/>
  </w:num>
  <w:num w:numId="17" w16cid:durableId="2006546829">
    <w:abstractNumId w:val="11"/>
  </w:num>
  <w:num w:numId="18" w16cid:durableId="2031950183">
    <w:abstractNumId w:val="9"/>
  </w:num>
  <w:num w:numId="19" w16cid:durableId="1577737818">
    <w:abstractNumId w:val="10"/>
  </w:num>
  <w:num w:numId="20" w16cid:durableId="1831864865">
    <w:abstractNumId w:val="7"/>
  </w:num>
  <w:num w:numId="21" w16cid:durableId="681862276">
    <w:abstractNumId w:val="6"/>
  </w:num>
  <w:num w:numId="22" w16cid:durableId="903965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E97"/>
    <w:rsid w:val="00017BA5"/>
    <w:rsid w:val="0003462E"/>
    <w:rsid w:val="00074090"/>
    <w:rsid w:val="0008305E"/>
    <w:rsid w:val="0009248F"/>
    <w:rsid w:val="000D370D"/>
    <w:rsid w:val="000E0BFA"/>
    <w:rsid w:val="000E3EA7"/>
    <w:rsid w:val="00113261"/>
    <w:rsid w:val="00126AB8"/>
    <w:rsid w:val="001335A4"/>
    <w:rsid w:val="001368EC"/>
    <w:rsid w:val="0014527C"/>
    <w:rsid w:val="00161B98"/>
    <w:rsid w:val="001A3A9C"/>
    <w:rsid w:val="001A71E7"/>
    <w:rsid w:val="001B1009"/>
    <w:rsid w:val="001C7278"/>
    <w:rsid w:val="001E31C7"/>
    <w:rsid w:val="00211BC1"/>
    <w:rsid w:val="00253561"/>
    <w:rsid w:val="0027451C"/>
    <w:rsid w:val="00293A35"/>
    <w:rsid w:val="002A39AC"/>
    <w:rsid w:val="002A7AB7"/>
    <w:rsid w:val="00310740"/>
    <w:rsid w:val="0031362F"/>
    <w:rsid w:val="00331143"/>
    <w:rsid w:val="00334A35"/>
    <w:rsid w:val="003817E2"/>
    <w:rsid w:val="003B2C2A"/>
    <w:rsid w:val="003B57B3"/>
    <w:rsid w:val="003C649E"/>
    <w:rsid w:val="00403175"/>
    <w:rsid w:val="004055CA"/>
    <w:rsid w:val="004246F9"/>
    <w:rsid w:val="00440722"/>
    <w:rsid w:val="004500D1"/>
    <w:rsid w:val="00456A7D"/>
    <w:rsid w:val="00467DCF"/>
    <w:rsid w:val="00475D06"/>
    <w:rsid w:val="004943F8"/>
    <w:rsid w:val="004A6678"/>
    <w:rsid w:val="004C291A"/>
    <w:rsid w:val="004C3F88"/>
    <w:rsid w:val="004C6F68"/>
    <w:rsid w:val="004D2758"/>
    <w:rsid w:val="004E40BD"/>
    <w:rsid w:val="004F0975"/>
    <w:rsid w:val="00514B61"/>
    <w:rsid w:val="00523E4B"/>
    <w:rsid w:val="005864DA"/>
    <w:rsid w:val="00597C20"/>
    <w:rsid w:val="005B5AE0"/>
    <w:rsid w:val="005E6A92"/>
    <w:rsid w:val="00605826"/>
    <w:rsid w:val="00612E9D"/>
    <w:rsid w:val="00627A92"/>
    <w:rsid w:val="00680172"/>
    <w:rsid w:val="006858E0"/>
    <w:rsid w:val="006C7276"/>
    <w:rsid w:val="006E19B9"/>
    <w:rsid w:val="006E7AAC"/>
    <w:rsid w:val="006F36F4"/>
    <w:rsid w:val="00710834"/>
    <w:rsid w:val="00712AAC"/>
    <w:rsid w:val="00722794"/>
    <w:rsid w:val="00730230"/>
    <w:rsid w:val="007330A9"/>
    <w:rsid w:val="00734F36"/>
    <w:rsid w:val="00746150"/>
    <w:rsid w:val="00750968"/>
    <w:rsid w:val="00764E6C"/>
    <w:rsid w:val="0077759E"/>
    <w:rsid w:val="00782E64"/>
    <w:rsid w:val="00791123"/>
    <w:rsid w:val="007939AC"/>
    <w:rsid w:val="007A3C97"/>
    <w:rsid w:val="007B2F90"/>
    <w:rsid w:val="007F27A5"/>
    <w:rsid w:val="0081267C"/>
    <w:rsid w:val="00815E97"/>
    <w:rsid w:val="00824E78"/>
    <w:rsid w:val="00827F32"/>
    <w:rsid w:val="00843855"/>
    <w:rsid w:val="0084567D"/>
    <w:rsid w:val="008457D3"/>
    <w:rsid w:val="008671FF"/>
    <w:rsid w:val="008956CB"/>
    <w:rsid w:val="00896E32"/>
    <w:rsid w:val="008A3A15"/>
    <w:rsid w:val="008C0439"/>
    <w:rsid w:val="008F2C2E"/>
    <w:rsid w:val="008F67F7"/>
    <w:rsid w:val="0091327F"/>
    <w:rsid w:val="00934CBA"/>
    <w:rsid w:val="00935EC4"/>
    <w:rsid w:val="00944B78"/>
    <w:rsid w:val="00966410"/>
    <w:rsid w:val="00990CAF"/>
    <w:rsid w:val="009931F6"/>
    <w:rsid w:val="009A3DAD"/>
    <w:rsid w:val="009B3BF7"/>
    <w:rsid w:val="009D3E15"/>
    <w:rsid w:val="009E0B16"/>
    <w:rsid w:val="009E1FF9"/>
    <w:rsid w:val="00A046EC"/>
    <w:rsid w:val="00A95DBE"/>
    <w:rsid w:val="00A97B22"/>
    <w:rsid w:val="00AD0DBC"/>
    <w:rsid w:val="00AF202A"/>
    <w:rsid w:val="00B031AA"/>
    <w:rsid w:val="00B31954"/>
    <w:rsid w:val="00B31A0D"/>
    <w:rsid w:val="00B34CC2"/>
    <w:rsid w:val="00B67909"/>
    <w:rsid w:val="00B85F4F"/>
    <w:rsid w:val="00BB36BD"/>
    <w:rsid w:val="00BE297A"/>
    <w:rsid w:val="00BE52C5"/>
    <w:rsid w:val="00BE6219"/>
    <w:rsid w:val="00BF0D6A"/>
    <w:rsid w:val="00BF363D"/>
    <w:rsid w:val="00C02196"/>
    <w:rsid w:val="00C15AF8"/>
    <w:rsid w:val="00C456D7"/>
    <w:rsid w:val="00C465E8"/>
    <w:rsid w:val="00C6149E"/>
    <w:rsid w:val="00C71467"/>
    <w:rsid w:val="00CA2D09"/>
    <w:rsid w:val="00CC0A0E"/>
    <w:rsid w:val="00CC7DE5"/>
    <w:rsid w:val="00CE0AD4"/>
    <w:rsid w:val="00CE565A"/>
    <w:rsid w:val="00CE60BC"/>
    <w:rsid w:val="00CF6C9F"/>
    <w:rsid w:val="00D049CC"/>
    <w:rsid w:val="00D2263E"/>
    <w:rsid w:val="00D244B3"/>
    <w:rsid w:val="00D75C13"/>
    <w:rsid w:val="00D9618A"/>
    <w:rsid w:val="00DD0CC2"/>
    <w:rsid w:val="00DD338D"/>
    <w:rsid w:val="00DF46AD"/>
    <w:rsid w:val="00E002A4"/>
    <w:rsid w:val="00E01032"/>
    <w:rsid w:val="00E20918"/>
    <w:rsid w:val="00E5128F"/>
    <w:rsid w:val="00E71B28"/>
    <w:rsid w:val="00E91538"/>
    <w:rsid w:val="00E9324E"/>
    <w:rsid w:val="00EA13DA"/>
    <w:rsid w:val="00ED4ED6"/>
    <w:rsid w:val="00EF7CDB"/>
    <w:rsid w:val="00F16D7A"/>
    <w:rsid w:val="00F36984"/>
    <w:rsid w:val="00F47462"/>
    <w:rsid w:val="00F86BB1"/>
    <w:rsid w:val="00FB266F"/>
    <w:rsid w:val="00FC257C"/>
    <w:rsid w:val="00FC6592"/>
    <w:rsid w:val="591F3B80"/>
    <w:rsid w:val="6F2459A2"/>
    <w:rsid w:val="7E6C0A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FB820"/>
  <w15:chartTrackingRefBased/>
  <w15:docId w15:val="{FB7C9331-F275-433E-BE6A-5C4946519BA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Standard Text INEOS"/>
    <w:qFormat/>
    <w:rsid w:val="004F0975"/>
    <w:pPr>
      <w:spacing w:after="0" w:line="240" w:lineRule="auto"/>
    </w:pPr>
    <w:rPr>
      <w:color w:val="000000" w:themeColor="text1"/>
      <w:lang w:val="en-US"/>
    </w:rPr>
  </w:style>
  <w:style w:type="paragraph" w:styleId="berschrift1">
    <w:name w:val="heading 1"/>
    <w:basedOn w:val="Standard"/>
    <w:next w:val="Standard"/>
    <w:link w:val="berschrift1Zchn"/>
    <w:autoRedefine/>
    <w:uiPriority w:val="9"/>
    <w:qFormat/>
    <w:rsid w:val="0003462E"/>
    <w:pPr>
      <w:keepNext/>
      <w:keepLines/>
      <w:numPr>
        <w:numId w:val="18"/>
      </w:numPr>
      <w:spacing w:before="240" w:after="240"/>
      <w:ind w:left="-199" w:right="-680" w:hanging="425"/>
      <w:outlineLvl w:val="0"/>
    </w:pPr>
    <w:rPr>
      <w:rFonts w:eastAsiaTheme="majorEastAsia"/>
      <w:b/>
      <w:sz w:val="32"/>
      <w:szCs w:val="32"/>
      <w:lang w:val="de-DE" w:eastAsia="en-GB"/>
    </w:rPr>
  </w:style>
  <w:style w:type="paragraph" w:styleId="berschrift2">
    <w:name w:val="heading 2"/>
    <w:basedOn w:val="berschrift1"/>
    <w:next w:val="Standard"/>
    <w:link w:val="berschrift2Zchn"/>
    <w:autoRedefine/>
    <w:uiPriority w:val="9"/>
    <w:unhideWhenUsed/>
    <w:qFormat/>
    <w:rsid w:val="0003462E"/>
    <w:pPr>
      <w:numPr>
        <w:ilvl w:val="1"/>
      </w:numPr>
      <w:ind w:left="-57" w:hanging="567"/>
      <w:outlineLvl w:val="1"/>
    </w:pPr>
    <w:rPr>
      <w:sz w:val="28"/>
      <w:szCs w:val="26"/>
    </w:rPr>
  </w:style>
  <w:style w:type="paragraph" w:styleId="berschrift3">
    <w:name w:val="heading 3"/>
    <w:basedOn w:val="berschrift2"/>
    <w:next w:val="Standard"/>
    <w:link w:val="berschrift3Zchn"/>
    <w:autoRedefine/>
    <w:uiPriority w:val="9"/>
    <w:unhideWhenUsed/>
    <w:qFormat/>
    <w:rsid w:val="0003462E"/>
    <w:pPr>
      <w:numPr>
        <w:ilvl w:val="2"/>
      </w:numPr>
      <w:ind w:left="85" w:hanging="709"/>
      <w:outlineLvl w:val="2"/>
    </w:pPr>
    <w:rPr>
      <w:rFonts w:cstheme="majorBidi"/>
      <w:sz w:val="24"/>
      <w:szCs w:val="24"/>
    </w:rPr>
  </w:style>
  <w:style w:type="paragraph" w:styleId="berschrift4">
    <w:name w:val="heading 4"/>
    <w:basedOn w:val="berschrift1"/>
    <w:next w:val="Standard"/>
    <w:link w:val="berschrift4Zchn"/>
    <w:autoRedefine/>
    <w:uiPriority w:val="9"/>
    <w:unhideWhenUsed/>
    <w:qFormat/>
    <w:rsid w:val="00B31A0D"/>
    <w:pPr>
      <w:numPr>
        <w:ilvl w:val="3"/>
      </w:numPr>
      <w:ind w:left="227" w:hanging="851"/>
      <w:outlineLvl w:val="3"/>
    </w:pPr>
    <w:rPr>
      <w:rFonts w:cstheme="majorBidi"/>
      <w:iCs/>
      <w:sz w:val="24"/>
    </w:rPr>
  </w:style>
  <w:style w:type="paragraph" w:styleId="berschrift5">
    <w:name w:val="heading 5"/>
    <w:basedOn w:val="Standard"/>
    <w:next w:val="Standard"/>
    <w:link w:val="berschrift5Zchn"/>
    <w:uiPriority w:val="9"/>
    <w:semiHidden/>
    <w:unhideWhenUsed/>
    <w:rsid w:val="00815E97"/>
    <w:pPr>
      <w:keepNext/>
      <w:keepLines/>
      <w:numPr>
        <w:ilvl w:val="4"/>
        <w:numId w:val="18"/>
      </w:numPr>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5E97"/>
    <w:pPr>
      <w:keepNext/>
      <w:keepLines/>
      <w:numPr>
        <w:ilvl w:val="5"/>
        <w:numId w:val="18"/>
      </w:numPr>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5E97"/>
    <w:pPr>
      <w:keepNext/>
      <w:keepLines/>
      <w:numPr>
        <w:ilvl w:val="6"/>
        <w:numId w:val="18"/>
      </w:numPr>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815E97"/>
    <w:pPr>
      <w:keepNext/>
      <w:keepLines/>
      <w:numPr>
        <w:ilvl w:val="7"/>
        <w:numId w:val="18"/>
      </w:numPr>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5E97"/>
    <w:pPr>
      <w:keepNext/>
      <w:keepLines/>
      <w:numPr>
        <w:ilvl w:val="8"/>
        <w:numId w:val="18"/>
      </w:numPr>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3462E"/>
    <w:rPr>
      <w:rFonts w:eastAsiaTheme="majorEastAsia"/>
      <w:b/>
      <w:color w:val="000000" w:themeColor="text1"/>
      <w:sz w:val="32"/>
      <w:szCs w:val="32"/>
      <w:lang w:val="de-DE" w:eastAsia="en-GB"/>
    </w:rPr>
  </w:style>
  <w:style w:type="paragraph" w:customStyle="1" w:styleId="berschrit3">
    <w:name w:val="Überschrit 3"/>
    <w:basedOn w:val="Standard"/>
    <w:next w:val="Standard"/>
    <w:rsid w:val="008C0439"/>
  </w:style>
  <w:style w:type="paragraph" w:styleId="Titel">
    <w:name w:val="Title"/>
    <w:basedOn w:val="Standard"/>
    <w:next w:val="Standard"/>
    <w:link w:val="TitelZchn"/>
    <w:autoRedefine/>
    <w:uiPriority w:val="10"/>
    <w:rsid w:val="008C0439"/>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8C0439"/>
    <w:rPr>
      <w:rFonts w:eastAsiaTheme="majorEastAsia" w:cstheme="majorBidi"/>
      <w:spacing w:val="-10"/>
      <w:kern w:val="28"/>
      <w:sz w:val="56"/>
      <w:szCs w:val="56"/>
    </w:rPr>
  </w:style>
  <w:style w:type="paragraph" w:styleId="Kopfzeile">
    <w:name w:val="header"/>
    <w:basedOn w:val="Standard"/>
    <w:link w:val="KopfzeileZchn"/>
    <w:uiPriority w:val="99"/>
    <w:rsid w:val="00815E97"/>
    <w:pPr>
      <w:tabs>
        <w:tab w:val="center" w:pos="4320"/>
        <w:tab w:val="right" w:pos="8640"/>
      </w:tabs>
    </w:pPr>
  </w:style>
  <w:style w:type="character" w:customStyle="1" w:styleId="KopfzeileZchn">
    <w:name w:val="Kopfzeile Zchn"/>
    <w:basedOn w:val="Absatz-Standardschriftart"/>
    <w:link w:val="Kopfzeile"/>
    <w:uiPriority w:val="99"/>
    <w:rsid w:val="00815E97"/>
    <w:rPr>
      <w:lang w:val="en-US"/>
    </w:rPr>
  </w:style>
  <w:style w:type="paragraph" w:styleId="Fuzeile">
    <w:name w:val="footer"/>
    <w:basedOn w:val="Standard"/>
    <w:link w:val="FuzeileZchn"/>
    <w:uiPriority w:val="99"/>
    <w:rsid w:val="00815E97"/>
    <w:pPr>
      <w:tabs>
        <w:tab w:val="center" w:pos="4320"/>
        <w:tab w:val="right" w:pos="8640"/>
      </w:tabs>
    </w:pPr>
  </w:style>
  <w:style w:type="character" w:customStyle="1" w:styleId="FuzeileZchn">
    <w:name w:val="Fußzeile Zchn"/>
    <w:basedOn w:val="Absatz-Standardschriftart"/>
    <w:link w:val="Fuzeile"/>
    <w:uiPriority w:val="99"/>
    <w:rsid w:val="00815E97"/>
    <w:rPr>
      <w:lang w:val="en-US"/>
    </w:rPr>
  </w:style>
  <w:style w:type="character" w:customStyle="1" w:styleId="berschrift2Zchn">
    <w:name w:val="Überschrift 2 Zchn"/>
    <w:basedOn w:val="Absatz-Standardschriftart"/>
    <w:link w:val="berschrift2"/>
    <w:uiPriority w:val="9"/>
    <w:rsid w:val="0003462E"/>
    <w:rPr>
      <w:rFonts w:eastAsiaTheme="majorEastAsia"/>
      <w:b/>
      <w:color w:val="000000" w:themeColor="text1"/>
      <w:sz w:val="28"/>
      <w:szCs w:val="26"/>
      <w:lang w:val="de-DE" w:eastAsia="en-GB"/>
    </w:rPr>
  </w:style>
  <w:style w:type="character" w:customStyle="1" w:styleId="berschrift3Zchn">
    <w:name w:val="Überschrift 3 Zchn"/>
    <w:basedOn w:val="Absatz-Standardschriftart"/>
    <w:link w:val="berschrift3"/>
    <w:uiPriority w:val="9"/>
    <w:rsid w:val="0003462E"/>
    <w:rPr>
      <w:rFonts w:eastAsiaTheme="majorEastAsia" w:cstheme="majorBidi"/>
      <w:b/>
      <w:color w:val="000000" w:themeColor="text1"/>
      <w:sz w:val="24"/>
      <w:szCs w:val="24"/>
      <w:lang w:val="de-DE" w:eastAsia="en-GB"/>
    </w:rPr>
  </w:style>
  <w:style w:type="paragraph" w:customStyle="1" w:styleId="Text1">
    <w:name w:val="Text1"/>
    <w:basedOn w:val="Standard"/>
    <w:autoRedefine/>
    <w:rsid w:val="008C0439"/>
    <w:pPr>
      <w:spacing w:after="240"/>
      <w:ind w:left="454"/>
    </w:pPr>
    <w:rPr>
      <w:szCs w:val="20"/>
    </w:rPr>
  </w:style>
  <w:style w:type="paragraph" w:styleId="Untertitel">
    <w:name w:val="Subtitle"/>
    <w:basedOn w:val="Standard"/>
    <w:next w:val="Standard"/>
    <w:link w:val="UntertitelZchn"/>
    <w:autoRedefine/>
    <w:uiPriority w:val="11"/>
    <w:rsid w:val="008C0439"/>
    <w:pPr>
      <w:numPr>
        <w:ilvl w:val="1"/>
      </w:numPr>
      <w:spacing w:after="160"/>
    </w:pPr>
    <w:rPr>
      <w:rFonts w:eastAsiaTheme="minorEastAsia" w:cstheme="minorBidi"/>
      <w:spacing w:val="15"/>
      <w:sz w:val="40"/>
      <w:szCs w:val="20"/>
    </w:rPr>
  </w:style>
  <w:style w:type="character" w:customStyle="1" w:styleId="UntertitelZchn">
    <w:name w:val="Untertitel Zchn"/>
    <w:basedOn w:val="Absatz-Standardschriftart"/>
    <w:link w:val="Untertitel"/>
    <w:uiPriority w:val="11"/>
    <w:rsid w:val="008C0439"/>
    <w:rPr>
      <w:rFonts w:eastAsiaTheme="minorEastAsia" w:cstheme="minorBidi"/>
      <w:spacing w:val="15"/>
      <w:sz w:val="40"/>
    </w:rPr>
  </w:style>
  <w:style w:type="paragraph" w:customStyle="1" w:styleId="berschrit4">
    <w:name w:val="Überschrit 4"/>
    <w:basedOn w:val="Standard"/>
    <w:next w:val="berschrift4"/>
    <w:autoRedefine/>
    <w:rsid w:val="00934CBA"/>
    <w:pPr>
      <w:keepNext/>
      <w:keepLines/>
      <w:numPr>
        <w:numId w:val="13"/>
      </w:numPr>
      <w:spacing w:before="240"/>
      <w:outlineLvl w:val="0"/>
    </w:pPr>
    <w:rPr>
      <w:rFonts w:eastAsiaTheme="majorEastAsia"/>
      <w:b/>
      <w:szCs w:val="32"/>
    </w:rPr>
  </w:style>
  <w:style w:type="character" w:customStyle="1" w:styleId="berschrift4Zchn">
    <w:name w:val="Überschrift 4 Zchn"/>
    <w:basedOn w:val="Absatz-Standardschriftart"/>
    <w:link w:val="berschrift4"/>
    <w:uiPriority w:val="9"/>
    <w:rsid w:val="00B31A0D"/>
    <w:rPr>
      <w:rFonts w:eastAsiaTheme="majorEastAsia" w:cstheme="majorBidi"/>
      <w:b/>
      <w:iCs/>
      <w:color w:val="000000" w:themeColor="text1"/>
      <w:sz w:val="24"/>
      <w:szCs w:val="32"/>
      <w:lang w:val="de-DE" w:eastAsia="en-GB"/>
    </w:rPr>
  </w:style>
  <w:style w:type="character" w:customStyle="1" w:styleId="berschrift5Zchn">
    <w:name w:val="Überschrift 5 Zchn"/>
    <w:basedOn w:val="Absatz-Standardschriftart"/>
    <w:link w:val="berschrift5"/>
    <w:uiPriority w:val="9"/>
    <w:semiHidden/>
    <w:rsid w:val="00815E97"/>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815E97"/>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5E97"/>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815E97"/>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5E97"/>
    <w:rPr>
      <w:rFonts w:asciiTheme="minorHAnsi" w:eastAsiaTheme="majorEastAsia" w:hAnsiTheme="minorHAnsi" w:cstheme="majorBidi"/>
      <w:color w:val="272727" w:themeColor="text1" w:themeTint="D8"/>
    </w:rPr>
  </w:style>
  <w:style w:type="paragraph" w:styleId="Zitat">
    <w:name w:val="Quote"/>
    <w:basedOn w:val="Standard"/>
    <w:next w:val="Standard"/>
    <w:link w:val="ZitatZchn"/>
    <w:autoRedefine/>
    <w:uiPriority w:val="29"/>
    <w:qFormat/>
    <w:rsid w:val="00815E9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15E97"/>
    <w:rPr>
      <w:i/>
      <w:iCs/>
      <w:color w:val="404040" w:themeColor="text1" w:themeTint="BF"/>
    </w:rPr>
  </w:style>
  <w:style w:type="paragraph" w:styleId="Listenabsatz">
    <w:name w:val="List Paragraph"/>
    <w:basedOn w:val="Standard"/>
    <w:uiPriority w:val="34"/>
    <w:rsid w:val="00815E97"/>
    <w:pPr>
      <w:ind w:left="720"/>
      <w:contextualSpacing/>
    </w:pPr>
  </w:style>
  <w:style w:type="character" w:styleId="IntensiveHervorhebung">
    <w:name w:val="Intense Emphasis"/>
    <w:basedOn w:val="Absatz-Standardschriftart"/>
    <w:uiPriority w:val="21"/>
    <w:rsid w:val="00815E97"/>
    <w:rPr>
      <w:i/>
      <w:iCs/>
      <w:color w:val="0F4761" w:themeColor="accent1" w:themeShade="BF"/>
    </w:rPr>
  </w:style>
  <w:style w:type="paragraph" w:styleId="IntensivesZitat">
    <w:name w:val="Intense Quote"/>
    <w:basedOn w:val="Standard"/>
    <w:next w:val="Standard"/>
    <w:link w:val="IntensivesZitatZchn"/>
    <w:uiPriority w:val="30"/>
    <w:rsid w:val="00815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5E97"/>
    <w:rPr>
      <w:i/>
      <w:iCs/>
      <w:color w:val="0F4761" w:themeColor="accent1" w:themeShade="BF"/>
    </w:rPr>
  </w:style>
  <w:style w:type="character" w:styleId="IntensiverVerweis">
    <w:name w:val="Intense Reference"/>
    <w:basedOn w:val="Absatz-Standardschriftart"/>
    <w:uiPriority w:val="32"/>
    <w:rsid w:val="00815E97"/>
    <w:rPr>
      <w:b/>
      <w:bCs/>
      <w:smallCaps/>
      <w:color w:val="0F4761" w:themeColor="accent1" w:themeShade="BF"/>
      <w:spacing w:val="5"/>
    </w:rPr>
  </w:style>
  <w:style w:type="paragraph" w:customStyle="1" w:styleId="Level1">
    <w:name w:val="Level 1"/>
    <w:basedOn w:val="Standard"/>
    <w:rsid w:val="00815E97"/>
    <w:pPr>
      <w:tabs>
        <w:tab w:val="num" w:pos="432"/>
      </w:tabs>
      <w:spacing w:before="600" w:after="240"/>
      <w:ind w:left="454" w:hanging="454"/>
    </w:pPr>
    <w:rPr>
      <w:b/>
      <w:sz w:val="26"/>
    </w:rPr>
  </w:style>
  <w:style w:type="paragraph" w:customStyle="1" w:styleId="Level2">
    <w:name w:val="Level 2"/>
    <w:basedOn w:val="Standard"/>
    <w:rsid w:val="00815E97"/>
    <w:pPr>
      <w:spacing w:before="180" w:after="120"/>
      <w:ind w:left="964" w:hanging="510"/>
    </w:pPr>
  </w:style>
  <w:style w:type="paragraph" w:customStyle="1" w:styleId="Level3">
    <w:name w:val="Level 3"/>
    <w:basedOn w:val="Standard"/>
    <w:rsid w:val="00815E97"/>
    <w:pPr>
      <w:spacing w:before="120" w:after="120"/>
      <w:ind w:left="1701" w:hanging="794"/>
    </w:pPr>
  </w:style>
  <w:style w:type="paragraph" w:customStyle="1" w:styleId="Level4">
    <w:name w:val="Level 4"/>
    <w:basedOn w:val="Standard"/>
    <w:rsid w:val="00815E97"/>
    <w:pPr>
      <w:spacing w:before="120" w:after="120"/>
      <w:ind w:left="2325" w:hanging="737"/>
    </w:pPr>
  </w:style>
  <w:style w:type="paragraph" w:styleId="Inhaltsverzeichnisberschrift">
    <w:name w:val="TOC Heading"/>
    <w:basedOn w:val="Standard"/>
    <w:next w:val="Standard"/>
    <w:autoRedefine/>
    <w:uiPriority w:val="39"/>
    <w:unhideWhenUsed/>
    <w:rsid w:val="00DF46AD"/>
    <w:pPr>
      <w:spacing w:before="100" w:beforeAutospacing="1" w:after="100" w:afterAutospacing="1" w:line="259" w:lineRule="auto"/>
      <w:ind w:left="-624"/>
    </w:pPr>
    <w:rPr>
      <w:rFonts w:cstheme="majorBidi"/>
      <w:b/>
      <w:sz w:val="32"/>
      <w:lang w:val="en-GB"/>
    </w:rPr>
  </w:style>
  <w:style w:type="paragraph" w:styleId="Verzeichnis1">
    <w:name w:val="toc 1"/>
    <w:basedOn w:val="Standard"/>
    <w:next w:val="Standard"/>
    <w:autoRedefine/>
    <w:uiPriority w:val="39"/>
    <w:unhideWhenUsed/>
    <w:rsid w:val="00B67909"/>
    <w:pPr>
      <w:tabs>
        <w:tab w:val="left" w:pos="567"/>
        <w:tab w:val="right" w:leader="underscore" w:pos="8505"/>
      </w:tabs>
      <w:spacing w:before="120" w:after="120"/>
      <w:ind w:right="-907" w:hanging="567"/>
    </w:pPr>
    <w:rPr>
      <w:bCs/>
      <w:iCs/>
      <w:sz w:val="24"/>
      <w:szCs w:val="24"/>
    </w:rPr>
  </w:style>
  <w:style w:type="character" w:styleId="Hyperlink">
    <w:name w:val="Hyperlink"/>
    <w:basedOn w:val="Absatz-Standardschriftart"/>
    <w:uiPriority w:val="99"/>
    <w:unhideWhenUsed/>
    <w:rsid w:val="00815E97"/>
    <w:rPr>
      <w:color w:val="467886" w:themeColor="hyperlink"/>
      <w:u w:val="single"/>
    </w:rPr>
  </w:style>
  <w:style w:type="table" w:styleId="TabellemithellemGitternetz">
    <w:name w:val="Grid Table Light"/>
    <w:basedOn w:val="NormaleTabelle"/>
    <w:uiPriority w:val="40"/>
    <w:rsid w:val="00815E97"/>
    <w:pPr>
      <w:spacing w:after="0" w:line="240" w:lineRule="auto"/>
    </w:pPr>
    <w:rPr>
      <w:rFonts w:ascii="Times New Roman" w:eastAsia="Times New Roman" w:hAnsi="Times New Roman" w:cs="Times New Roman"/>
      <w:sz w:val="20"/>
      <w:szCs w:val="20"/>
      <w:lang w:val="en-PH" w:eastAsia="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nraster">
    <w:name w:val="Table Grid"/>
    <w:basedOn w:val="NormaleTabelle"/>
    <w:rsid w:val="00815E97"/>
    <w:pPr>
      <w:spacing w:after="0" w:line="240" w:lineRule="auto"/>
    </w:pPr>
    <w:rPr>
      <w:rFonts w:ascii="Times New Roman" w:eastAsia="Times New Roma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2">
    <w:name w:val="toc 2"/>
    <w:basedOn w:val="Standard"/>
    <w:next w:val="Standard"/>
    <w:autoRedefine/>
    <w:uiPriority w:val="39"/>
    <w:unhideWhenUsed/>
    <w:rsid w:val="00B67909"/>
    <w:pPr>
      <w:tabs>
        <w:tab w:val="left" w:pos="567"/>
        <w:tab w:val="right" w:leader="underscore" w:pos="8505"/>
      </w:tabs>
      <w:spacing w:before="120" w:after="120"/>
      <w:ind w:right="-907" w:hanging="567"/>
    </w:pPr>
    <w:rPr>
      <w:bCs/>
      <w:sz w:val="24"/>
    </w:rPr>
  </w:style>
  <w:style w:type="paragraph" w:styleId="Verzeichnis3">
    <w:name w:val="toc 3"/>
    <w:basedOn w:val="Standard"/>
    <w:next w:val="Standard"/>
    <w:autoRedefine/>
    <w:uiPriority w:val="39"/>
    <w:unhideWhenUsed/>
    <w:rsid w:val="00B67909"/>
    <w:pPr>
      <w:tabs>
        <w:tab w:val="left" w:pos="567"/>
        <w:tab w:val="right" w:leader="underscore" w:pos="8505"/>
      </w:tabs>
      <w:spacing w:before="120" w:after="120"/>
      <w:ind w:right="-907" w:hanging="567"/>
    </w:pPr>
    <w:rPr>
      <w:sz w:val="24"/>
      <w:szCs w:val="20"/>
    </w:rPr>
  </w:style>
  <w:style w:type="paragraph" w:styleId="Verzeichnis4">
    <w:name w:val="toc 4"/>
    <w:basedOn w:val="Standard"/>
    <w:next w:val="Standard"/>
    <w:autoRedefine/>
    <w:uiPriority w:val="39"/>
    <w:unhideWhenUsed/>
    <w:rsid w:val="00B67909"/>
    <w:pPr>
      <w:spacing w:before="120" w:after="120"/>
      <w:ind w:right="-907" w:hanging="567"/>
    </w:pPr>
    <w:rPr>
      <w:sz w:val="24"/>
      <w:szCs w:val="20"/>
    </w:rPr>
  </w:style>
  <w:style w:type="paragraph" w:styleId="Verzeichnis5">
    <w:name w:val="toc 5"/>
    <w:basedOn w:val="Standard"/>
    <w:next w:val="Standard"/>
    <w:autoRedefine/>
    <w:uiPriority w:val="39"/>
    <w:unhideWhenUsed/>
    <w:rsid w:val="00627A92"/>
    <w:pPr>
      <w:ind w:left="880"/>
    </w:pPr>
    <w:rPr>
      <w:rFonts w:asciiTheme="minorHAnsi" w:hAnsiTheme="minorHAnsi"/>
      <w:szCs w:val="20"/>
    </w:rPr>
  </w:style>
  <w:style w:type="paragraph" w:styleId="Verzeichnis6">
    <w:name w:val="toc 6"/>
    <w:basedOn w:val="Standard"/>
    <w:next w:val="Standard"/>
    <w:autoRedefine/>
    <w:uiPriority w:val="39"/>
    <w:unhideWhenUsed/>
    <w:rsid w:val="00627A92"/>
    <w:pPr>
      <w:ind w:left="1100"/>
    </w:pPr>
    <w:rPr>
      <w:rFonts w:asciiTheme="minorHAnsi" w:hAnsiTheme="minorHAnsi"/>
      <w:szCs w:val="20"/>
    </w:rPr>
  </w:style>
  <w:style w:type="paragraph" w:styleId="Verzeichnis7">
    <w:name w:val="toc 7"/>
    <w:basedOn w:val="Standard"/>
    <w:next w:val="Standard"/>
    <w:autoRedefine/>
    <w:uiPriority w:val="39"/>
    <w:unhideWhenUsed/>
    <w:rsid w:val="00627A92"/>
    <w:pPr>
      <w:ind w:left="1320"/>
    </w:pPr>
    <w:rPr>
      <w:rFonts w:asciiTheme="minorHAnsi" w:hAnsiTheme="minorHAnsi"/>
      <w:szCs w:val="20"/>
    </w:rPr>
  </w:style>
  <w:style w:type="paragraph" w:styleId="Verzeichnis8">
    <w:name w:val="toc 8"/>
    <w:basedOn w:val="Standard"/>
    <w:next w:val="Standard"/>
    <w:autoRedefine/>
    <w:uiPriority w:val="39"/>
    <w:unhideWhenUsed/>
    <w:rsid w:val="00627A92"/>
    <w:pPr>
      <w:ind w:left="1540"/>
    </w:pPr>
    <w:rPr>
      <w:rFonts w:asciiTheme="minorHAnsi" w:hAnsiTheme="minorHAnsi"/>
      <w:szCs w:val="20"/>
    </w:rPr>
  </w:style>
  <w:style w:type="paragraph" w:styleId="Verzeichnis9">
    <w:name w:val="toc 9"/>
    <w:basedOn w:val="Standard"/>
    <w:next w:val="Standard"/>
    <w:autoRedefine/>
    <w:uiPriority w:val="39"/>
    <w:unhideWhenUsed/>
    <w:rsid w:val="00627A92"/>
    <w:pPr>
      <w:ind w:left="1760"/>
    </w:pPr>
    <w:rPr>
      <w:rFonts w:asciiTheme="minorHAnsi" w:hAnsi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619851">
      <w:bodyDiv w:val="1"/>
      <w:marLeft w:val="0"/>
      <w:marRight w:val="0"/>
      <w:marTop w:val="0"/>
      <w:marBottom w:val="0"/>
      <w:divBdr>
        <w:top w:val="none" w:sz="0" w:space="0" w:color="auto"/>
        <w:left w:val="none" w:sz="0" w:space="0" w:color="auto"/>
        <w:bottom w:val="none" w:sz="0" w:space="0" w:color="auto"/>
        <w:right w:val="none" w:sz="0" w:space="0" w:color="auto"/>
      </w:divBdr>
      <w:divsChild>
        <w:div w:id="634985981">
          <w:marLeft w:val="0"/>
          <w:marRight w:val="0"/>
          <w:marTop w:val="0"/>
          <w:marBottom w:val="0"/>
          <w:divBdr>
            <w:top w:val="none" w:sz="0" w:space="0" w:color="auto"/>
            <w:left w:val="none" w:sz="0" w:space="0" w:color="auto"/>
            <w:bottom w:val="none" w:sz="0" w:space="0" w:color="auto"/>
            <w:right w:val="none" w:sz="0" w:space="0" w:color="auto"/>
          </w:divBdr>
        </w:div>
      </w:divsChild>
    </w:div>
    <w:div w:id="399835960">
      <w:bodyDiv w:val="1"/>
      <w:marLeft w:val="0"/>
      <w:marRight w:val="0"/>
      <w:marTop w:val="0"/>
      <w:marBottom w:val="0"/>
      <w:divBdr>
        <w:top w:val="none" w:sz="0" w:space="0" w:color="auto"/>
        <w:left w:val="none" w:sz="0" w:space="0" w:color="auto"/>
        <w:bottom w:val="none" w:sz="0" w:space="0" w:color="auto"/>
        <w:right w:val="none" w:sz="0" w:space="0" w:color="auto"/>
      </w:divBdr>
    </w:div>
    <w:div w:id="547767728">
      <w:bodyDiv w:val="1"/>
      <w:marLeft w:val="0"/>
      <w:marRight w:val="0"/>
      <w:marTop w:val="0"/>
      <w:marBottom w:val="0"/>
      <w:divBdr>
        <w:top w:val="none" w:sz="0" w:space="0" w:color="auto"/>
        <w:left w:val="none" w:sz="0" w:space="0" w:color="auto"/>
        <w:bottom w:val="none" w:sz="0" w:space="0" w:color="auto"/>
        <w:right w:val="none" w:sz="0" w:space="0" w:color="auto"/>
      </w:divBdr>
    </w:div>
    <w:div w:id="561790583">
      <w:bodyDiv w:val="1"/>
      <w:marLeft w:val="0"/>
      <w:marRight w:val="0"/>
      <w:marTop w:val="0"/>
      <w:marBottom w:val="0"/>
      <w:divBdr>
        <w:top w:val="none" w:sz="0" w:space="0" w:color="auto"/>
        <w:left w:val="none" w:sz="0" w:space="0" w:color="auto"/>
        <w:bottom w:val="none" w:sz="0" w:space="0" w:color="auto"/>
        <w:right w:val="none" w:sz="0" w:space="0" w:color="auto"/>
      </w:divBdr>
      <w:divsChild>
        <w:div w:id="1912813286">
          <w:marLeft w:val="0"/>
          <w:marRight w:val="0"/>
          <w:marTop w:val="0"/>
          <w:marBottom w:val="0"/>
          <w:divBdr>
            <w:top w:val="none" w:sz="0" w:space="0" w:color="auto"/>
            <w:left w:val="none" w:sz="0" w:space="0" w:color="auto"/>
            <w:bottom w:val="none" w:sz="0" w:space="0" w:color="auto"/>
            <w:right w:val="none" w:sz="0" w:space="0" w:color="auto"/>
          </w:divBdr>
        </w:div>
      </w:divsChild>
    </w:div>
    <w:div w:id="574323259">
      <w:bodyDiv w:val="1"/>
      <w:marLeft w:val="0"/>
      <w:marRight w:val="0"/>
      <w:marTop w:val="0"/>
      <w:marBottom w:val="0"/>
      <w:divBdr>
        <w:top w:val="none" w:sz="0" w:space="0" w:color="auto"/>
        <w:left w:val="none" w:sz="0" w:space="0" w:color="auto"/>
        <w:bottom w:val="none" w:sz="0" w:space="0" w:color="auto"/>
        <w:right w:val="none" w:sz="0" w:space="0" w:color="auto"/>
      </w:divBdr>
    </w:div>
    <w:div w:id="905266351">
      <w:bodyDiv w:val="1"/>
      <w:marLeft w:val="0"/>
      <w:marRight w:val="0"/>
      <w:marTop w:val="0"/>
      <w:marBottom w:val="0"/>
      <w:divBdr>
        <w:top w:val="none" w:sz="0" w:space="0" w:color="auto"/>
        <w:left w:val="none" w:sz="0" w:space="0" w:color="auto"/>
        <w:bottom w:val="none" w:sz="0" w:space="0" w:color="auto"/>
        <w:right w:val="none" w:sz="0" w:space="0" w:color="auto"/>
      </w:divBdr>
    </w:div>
    <w:div w:id="1109618974">
      <w:bodyDiv w:val="1"/>
      <w:marLeft w:val="0"/>
      <w:marRight w:val="0"/>
      <w:marTop w:val="0"/>
      <w:marBottom w:val="0"/>
      <w:divBdr>
        <w:top w:val="none" w:sz="0" w:space="0" w:color="auto"/>
        <w:left w:val="none" w:sz="0" w:space="0" w:color="auto"/>
        <w:bottom w:val="none" w:sz="0" w:space="0" w:color="auto"/>
        <w:right w:val="none" w:sz="0" w:space="0" w:color="auto"/>
      </w:divBdr>
    </w:div>
    <w:div w:id="1368066696">
      <w:bodyDiv w:val="1"/>
      <w:marLeft w:val="0"/>
      <w:marRight w:val="0"/>
      <w:marTop w:val="0"/>
      <w:marBottom w:val="0"/>
      <w:divBdr>
        <w:top w:val="none" w:sz="0" w:space="0" w:color="auto"/>
        <w:left w:val="none" w:sz="0" w:space="0" w:color="auto"/>
        <w:bottom w:val="none" w:sz="0" w:space="0" w:color="auto"/>
        <w:right w:val="none" w:sz="0" w:space="0" w:color="auto"/>
      </w:divBdr>
    </w:div>
    <w:div w:id="1706834745">
      <w:bodyDiv w:val="1"/>
      <w:marLeft w:val="0"/>
      <w:marRight w:val="0"/>
      <w:marTop w:val="0"/>
      <w:marBottom w:val="0"/>
      <w:divBdr>
        <w:top w:val="none" w:sz="0" w:space="0" w:color="auto"/>
        <w:left w:val="none" w:sz="0" w:space="0" w:color="auto"/>
        <w:bottom w:val="none" w:sz="0" w:space="0" w:color="auto"/>
        <w:right w:val="none" w:sz="0" w:space="0" w:color="auto"/>
      </w:divBdr>
    </w:div>
    <w:div w:id="1768652203">
      <w:bodyDiv w:val="1"/>
      <w:marLeft w:val="0"/>
      <w:marRight w:val="0"/>
      <w:marTop w:val="0"/>
      <w:marBottom w:val="0"/>
      <w:divBdr>
        <w:top w:val="none" w:sz="0" w:space="0" w:color="auto"/>
        <w:left w:val="none" w:sz="0" w:space="0" w:color="auto"/>
        <w:bottom w:val="none" w:sz="0" w:space="0" w:color="auto"/>
        <w:right w:val="none" w:sz="0" w:space="0" w:color="auto"/>
      </w:divBdr>
    </w:div>
    <w:div w:id="182858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Type xmlns="6f6aa7f1-44fb-4d8f-bdd6-24a8011fd574" xsi:nil="true"/>
    <DocumentCounter xmlns="6f6aa7f1-44fb-4d8f-bdd6-24a8011fd574">0031</DocumentCounter>
    <GroupId xmlns="6f6aa7f1-44fb-4d8f-bdd6-24a8011fd574">Quality Management.INEOS.IAP</GroupId>
    <L1_5Sub_Process xmlns="c4e5aba1-f0a1-4cb8-a531-1547c39045f6" xsi:nil="true"/>
    <Languages xmlns="6f6aa7f1-44fb-4d8f-bdd6-24a8011fd574">
      <Value>GB</Value>
    </Languages>
    <Owner xmlns="6f6aa7f1-44fb-4d8f-bdd6-24a8011fd574">Helena Fitz (INEOS)</Owner>
    <PublishDocumentAsPdf xmlns="6f6aa7f1-44fb-4d8f-bdd6-24a8011fd574">false</PublishDocumentAsPdf>
    <Models xmlns="6f6aa7f1-44fb-4d8f-bdd6-24a8011fd574">
      <Value>GRENADIER</Value>
    </Models>
    <QMSRevision xmlns="6f6aa7f1-44fb-4d8f-bdd6-24a8011fd574">003</QMSRevision>
    <DocumentType xmlns="c4e5aba1-f0a1-4cb8-a531-1547c39045f6">Form / Template</DocumentType>
    <DateModified xmlns="6f6aa7f1-44fb-4d8f-bdd6-24a8011fd574">2026-08-03T00:00:00+00:00</DateModified>
    <History xmlns="6f6aa7f1-44fb-4d8f-bdd6-24a8011fd574">Update formatting and sizes according to new standards, update header, removal of revision date</History>
    <ReleaseProgress xmlns="6f6aa7f1-44fb-4d8f-bdd6-24a8011fd574">RELEASED</ReleaseProgress>
    <ReleaseStatus xmlns="6f6aa7f1-44fb-4d8f-bdd6-24a8011fd574">30</ReleaseStatus>
    <Prefix xmlns="6f6aa7f1-44fb-4d8f-bdd6-24a8011fd574">CORP</Prefix>
    <QMSDepartment xmlns="6f6aa7f1-44fb-4d8f-bdd6-24a8011fd574">QM</QMSDepartment>
    <Locations xmlns="6f6aa7f1-44fb-4d8f-bdd6-24a8011fd574">
      <Value>Böblingen</Value>
      <Value>Hambach</Value>
      <Value>London</Value>
    </Locations>
    <DateReleased xmlns="6f6aa7f1-44fb-4d8f-bdd6-24a8011fd574">2026-08-03T00:00:00+00:00</DateReleased>
    <Object xmlns="6f6aa7f1-44fb-4d8f-bdd6-24a8011fd574">CORP-M2-QM-0031/003-TEMPLATE_Work Instruction_EN</Object>
    <NormType xmlns="c4e5aba1-f0a1-4cb8-a531-1547c39045f6" xsi:nil="true"/>
    <QMSId xmlns="6f6aa7f1-44fb-4d8f-bdd6-24a8011fd574">DO-Q-000001959</QMSId>
    <L1ProcessOverview xmlns="6f6aa7f1-44fb-4d8f-bdd6-24a8011fd574">M2</L1ProcessOverview>
    <L2SubProcess xmlns="6f6aa7f1-44fb-4d8f-bdd6-24a8011fd574">3</L2SubProcess>
    <MainName xmlns="6f6aa7f1-44fb-4d8f-bdd6-24a8011fd574">TEMPLATE_Work Instruction_EN</MainName>
    <Type xmlns="c4e5aba1-f0a1-4cb8-a531-1547c39045f6" xsi:nil="true"/>
    <DocumentResponsible xmlns="6f6aa7f1-44fb-4d8f-bdd6-24a8011fd574">H. Fitz</DocumentResponsible>
  </documentManagement>
</p:properties>
</file>

<file path=customXml/item4.xml><?xml version="1.0" encoding="utf-8"?>
<ct:contentTypeSchema xmlns:ct="http://schemas.microsoft.com/office/2006/metadata/contentType" xmlns:ma="http://schemas.microsoft.com/office/2006/metadata/properties/metaAttributes" ct:_="" ma:_="" ma:contentTypeName="QMSDocument" ma:contentTypeID="0x0101003C2496A46E59FE488496D6FBDBB0BD6000DC6F7D5747A09C4DAFAA769666741225" ma:contentTypeVersion="22" ma:contentTypeDescription="Create a new document." ma:contentTypeScope="" ma:versionID="8eb30070a09a979cceb7674eb3731f4a">
  <xsd:schema xmlns:xsd="http://www.w3.org/2001/XMLSchema" xmlns:xs="http://www.w3.org/2001/XMLSchema" xmlns:p="http://schemas.microsoft.com/office/2006/metadata/properties" xmlns:ns2="6f6aa7f1-44fb-4d8f-bdd6-24a8011fd574" xmlns:ns3="c4e5aba1-f0a1-4cb8-a531-1547c39045f6" xmlns:ns4="282bdc25-7ce9-4ee1-8b2a-b62fdb275019" targetNamespace="http://schemas.microsoft.com/office/2006/metadata/properties" ma:root="true" ma:fieldsID="2a5e32af39024c51c6b9c3f186278e51" ns2:_="" ns3:_="" ns4:_="">
    <xsd:import namespace="6f6aa7f1-44fb-4d8f-bdd6-24a8011fd574"/>
    <xsd:import namespace="c4e5aba1-f0a1-4cb8-a531-1547c39045f6"/>
    <xsd:import namespace="282bdc25-7ce9-4ee1-8b2a-b62fdb275019"/>
    <xsd:element name="properties">
      <xsd:complexType>
        <xsd:sequence>
          <xsd:element name="documentManagement">
            <xsd:complexType>
              <xsd:all>
                <xsd:element ref="ns2:DateModified" minOccurs="0"/>
                <xsd:element ref="ns2:DateReleased" minOccurs="0"/>
                <xsd:element ref="ns2:QMSDepartment" minOccurs="0"/>
                <xsd:element ref="ns2:DocumentCounter" minOccurs="0"/>
                <xsd:element ref="ns2:DocumentResponsible" minOccurs="0"/>
                <xsd:element ref="ns2:GroupId" minOccurs="0"/>
                <xsd:element ref="ns2:History" minOccurs="0"/>
                <xsd:element ref="ns2:QMSId" minOccurs="0"/>
                <xsd:element ref="ns2:L1ProcessOverview" minOccurs="0"/>
                <xsd:element ref="ns2:L2SubProcess" minOccurs="0"/>
                <xsd:element ref="ns2:Languages" minOccurs="0"/>
                <xsd:element ref="ns2:Locations" minOccurs="0"/>
                <xsd:element ref="ns2:MainName" minOccurs="0"/>
                <xsd:element ref="ns2:Models" minOccurs="0"/>
                <xsd:element ref="ns2:Object" minOccurs="0"/>
                <xsd:element ref="ns2:Owner" minOccurs="0"/>
                <xsd:element ref="ns2:Prefix" minOccurs="0"/>
                <xsd:element ref="ns2:PublishDocumentAsPdf" minOccurs="0"/>
                <xsd:element ref="ns2:ReleaseProgress" minOccurs="0"/>
                <xsd:element ref="ns2:ReleaseStatus" minOccurs="0"/>
                <xsd:element ref="ns2:QMSRevision" minOccurs="0"/>
                <xsd:element ref="ns2:TemplateType"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DocumentType" minOccurs="0"/>
                <xsd:element ref="ns3:L1_5Sub_Process" minOccurs="0"/>
                <xsd:element ref="ns3:Type" minOccurs="0"/>
                <xsd:element ref="ns3:MediaServiceObjectDetectorVersions" minOccurs="0"/>
                <xsd:element ref="ns3:NormTyp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6aa7f1-44fb-4d8f-bdd6-24a8011fd574" elementFormDefault="qualified">
    <xsd:import namespace="http://schemas.microsoft.com/office/2006/documentManagement/types"/>
    <xsd:import namespace="http://schemas.microsoft.com/office/infopath/2007/PartnerControls"/>
    <xsd:element name="DateModified" ma:index="8" nillable="true" ma:displayName="DateModified" ma:format="DateTime" ma:internalName="DateModified">
      <xsd:simpleType>
        <xsd:restriction base="dms:DateTime"/>
      </xsd:simpleType>
    </xsd:element>
    <xsd:element name="DateReleased" ma:index="9" nillable="true" ma:displayName="DateReleased" ma:format="DateTime" ma:internalName="DateReleased">
      <xsd:simpleType>
        <xsd:restriction base="dms:DateTime"/>
      </xsd:simpleType>
    </xsd:element>
    <xsd:element name="QMSDepartment" ma:index="10" nillable="true" ma:displayName="QMSDepartment" ma:format="Dropdown" ma:internalName="QMSDepartment">
      <xsd:simpleType>
        <xsd:restriction base="dms:Choice">
          <xsd:enumeration value="CO"/>
          <xsd:enumeration value="ENG"/>
          <xsd:enumeration value="FI"/>
          <xsd:enumeration value="HR"/>
          <xsd:enumeration value="IND"/>
          <xsd:enumeration value="IT"/>
          <xsd:enumeration value="MM"/>
          <xsd:enumeration value="PM"/>
          <xsd:enumeration value="PRO"/>
          <xsd:enumeration value="QM"/>
          <xsd:enumeration value="SHE"/>
        </xsd:restriction>
      </xsd:simpleType>
    </xsd:element>
    <xsd:element name="DocumentCounter" ma:index="11" nillable="true" ma:displayName="DocumentCounter" ma:internalName="DocumentCounter">
      <xsd:simpleType>
        <xsd:restriction base="dms:Text">
          <xsd:maxLength value="255"/>
        </xsd:restriction>
      </xsd:simpleType>
    </xsd:element>
    <xsd:element name="DocumentResponsible" ma:index="12" nillable="true" ma:displayName="DocumentResponsible" ma:internalName="DocumentResponsible">
      <xsd:simpleType>
        <xsd:restriction base="dms:Text">
          <xsd:maxLength value="255"/>
        </xsd:restriction>
      </xsd:simpleType>
    </xsd:element>
    <xsd:element name="GroupId" ma:index="13" nillable="true" ma:displayName="GroupId" ma:internalName="GroupId">
      <xsd:simpleType>
        <xsd:restriction base="dms:Text">
          <xsd:maxLength value="255"/>
        </xsd:restriction>
      </xsd:simpleType>
    </xsd:element>
    <xsd:element name="History" ma:index="14" nillable="true" ma:displayName="History" ma:internalName="History">
      <xsd:simpleType>
        <xsd:restriction base="dms:Note">
          <xsd:maxLength value="255"/>
        </xsd:restriction>
      </xsd:simpleType>
    </xsd:element>
    <xsd:element name="QMSId" ma:index="15" nillable="true" ma:displayName="QMSId" ma:internalName="QMSId">
      <xsd:simpleType>
        <xsd:restriction base="dms:Text">
          <xsd:maxLength value="255"/>
        </xsd:restriction>
      </xsd:simpleType>
    </xsd:element>
    <xsd:element name="L1ProcessOverview" ma:index="16" nillable="true" ma:displayName="L1ProcessOverview" ma:format="Dropdown" ma:internalName="L1ProcessOverview">
      <xsd:simpleType>
        <xsd:restriction base="dms:Choice">
          <xsd:enumeration value="M1"/>
          <xsd:enumeration value="M2"/>
          <xsd:enumeration value="M3"/>
          <xsd:enumeration value="M4"/>
          <xsd:enumeration value="P1"/>
          <xsd:enumeration value="P2"/>
          <xsd:enumeration value="P3"/>
          <xsd:enumeration value="P4"/>
          <xsd:enumeration value="P5"/>
          <xsd:enumeration value="P6"/>
          <xsd:enumeration value="P7"/>
          <xsd:enumeration value="S1"/>
          <xsd:enumeration value="S2"/>
          <xsd:enumeration value="S3"/>
          <xsd:enumeration value="S4"/>
          <xsd:enumeration value="S5"/>
        </xsd:restriction>
      </xsd:simpleType>
    </xsd:element>
    <xsd:element name="L2SubProcess" ma:index="17" nillable="true" ma:displayName="L2SubProcess" ma:format="Dropdown" ma:internalName="L2SubProcess">
      <xsd:simpleType>
        <xsd:restriction base="dms:Choice">
          <xsd:enumeration value="0"/>
          <xsd:enumeration value="1"/>
          <xsd:enumeration value="2"/>
          <xsd:enumeration value="3"/>
          <xsd:enumeration value="4"/>
          <xsd:enumeration value="5"/>
          <xsd:enumeration value="6"/>
          <xsd:enumeration value="7"/>
          <xsd:enumeration value="8"/>
          <xsd:enumeration value="9"/>
        </xsd:restriction>
      </xsd:simpleType>
    </xsd:element>
    <xsd:element name="Languages" ma:index="18" nillable="true" ma:displayName="Languages" ma:internalName="Languages">
      <xsd:complexType>
        <xsd:complexContent>
          <xsd:extension base="dms:MultiChoice">
            <xsd:sequence>
              <xsd:element name="Value" maxOccurs="unbounded" minOccurs="0" nillable="true">
                <xsd:simpleType>
                  <xsd:restriction base="dms:Choice">
                    <xsd:enumeration value="DE"/>
                    <xsd:enumeration value="FR"/>
                    <xsd:enumeration value="GB"/>
                    <xsd:enumeration value="PT"/>
                  </xsd:restriction>
                </xsd:simpleType>
              </xsd:element>
            </xsd:sequence>
          </xsd:extension>
        </xsd:complexContent>
      </xsd:complexType>
    </xsd:element>
    <xsd:element name="Locations" ma:index="19" nillable="true" ma:displayName="Locations" ma:internalName="Locations">
      <xsd:complexType>
        <xsd:complexContent>
          <xsd:extension base="dms:MultiChoice">
            <xsd:sequence>
              <xsd:element name="Value" maxOccurs="unbounded" minOccurs="0" nillable="true">
                <xsd:simpleType>
                  <xsd:restriction base="dms:Choice">
                    <xsd:enumeration value="Vila Nova de Gaia"/>
                    <xsd:enumeration value="Böblingen"/>
                    <xsd:enumeration value="Hambach"/>
                    <xsd:enumeration value="London"/>
                  </xsd:restriction>
                </xsd:simpleType>
              </xsd:element>
            </xsd:sequence>
          </xsd:extension>
        </xsd:complexContent>
      </xsd:complexType>
    </xsd:element>
    <xsd:element name="MainName" ma:index="20" nillable="true" ma:displayName="MainName" ma:internalName="MainName">
      <xsd:simpleType>
        <xsd:restriction base="dms:Text">
          <xsd:maxLength value="255"/>
        </xsd:restriction>
      </xsd:simpleType>
    </xsd:element>
    <xsd:element name="Models" ma:index="21" nillable="true" ma:displayName="Models" ma:internalName="Models">
      <xsd:complexType>
        <xsd:complexContent>
          <xsd:extension base="dms:MultiChoice">
            <xsd:sequence>
              <xsd:element name="Value" maxOccurs="unbounded" minOccurs="0" nillable="true">
                <xsd:simpleType>
                  <xsd:restriction base="dms:Choice">
                    <xsd:enumeration value="Frontend"/>
                    <xsd:enumeration value="GRENADIER"/>
                    <xsd:enumeration value="Smart"/>
                  </xsd:restriction>
                </xsd:simpleType>
              </xsd:element>
            </xsd:sequence>
          </xsd:extension>
        </xsd:complexContent>
      </xsd:complexType>
    </xsd:element>
    <xsd:element name="Object" ma:index="22" nillable="true" ma:displayName="Object" ma:internalName="Object">
      <xsd:simpleType>
        <xsd:restriction base="dms:Note">
          <xsd:maxLength value="255"/>
        </xsd:restriction>
      </xsd:simpleType>
    </xsd:element>
    <xsd:element name="Owner" ma:index="23" nillable="true" ma:displayName="Owner" ma:internalName="Owner">
      <xsd:simpleType>
        <xsd:restriction base="dms:Text">
          <xsd:maxLength value="255"/>
        </xsd:restriction>
      </xsd:simpleType>
    </xsd:element>
    <xsd:element name="Prefix" ma:index="24" nillable="true" ma:displayName="Prefix" ma:format="Dropdown" ma:internalName="Prefix">
      <xsd:simpleType>
        <xsd:restriction base="dms:Choice">
          <xsd:enumeration value="PLANT"/>
          <xsd:enumeration value="CORP"/>
          <xsd:enumeration value="IN"/>
          <xsd:enumeration value="EXT"/>
        </xsd:restriction>
      </xsd:simpleType>
    </xsd:element>
    <xsd:element name="PublishDocumentAsPdf" ma:index="25" nillable="true" ma:displayName="PublishDocumentAsPdf" ma:default="0" ma:internalName="PublishDocumentAsPdf">
      <xsd:simpleType>
        <xsd:restriction base="dms:Boolean"/>
      </xsd:simpleType>
    </xsd:element>
    <xsd:element name="ReleaseProgress" ma:index="26" nillable="true" ma:displayName="ReleaseProgress" ma:internalName="ReleaseProgress">
      <xsd:simpleType>
        <xsd:restriction base="dms:Text">
          <xsd:maxLength value="255"/>
        </xsd:restriction>
      </xsd:simpleType>
    </xsd:element>
    <xsd:element name="ReleaseStatus" ma:index="27" nillable="true" ma:displayName="ReleaseStatus" ma:internalName="ReleaseStatus">
      <xsd:simpleType>
        <xsd:restriction base="dms:Text">
          <xsd:maxLength value="255"/>
        </xsd:restriction>
      </xsd:simpleType>
    </xsd:element>
    <xsd:element name="QMSRevision" ma:index="28" nillable="true" ma:displayName="QMSRevision" ma:internalName="QMSRevision">
      <xsd:simpleType>
        <xsd:restriction base="dms:Text">
          <xsd:maxLength value="255"/>
        </xsd:restriction>
      </xsd:simpleType>
    </xsd:element>
    <xsd:element name="TemplateType" ma:index="29" nillable="true" ma:displayName="TemplateType" ma:internalName="TemplateTyp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e5aba1-f0a1-4cb8-a531-1547c39045f6" elementFormDefault="qualified">
    <xsd:import namespace="http://schemas.microsoft.com/office/2006/documentManagement/types"/>
    <xsd:import namespace="http://schemas.microsoft.com/office/infopath/2007/PartnerControls"/>
    <xsd:element name="MediaServiceMetadata" ma:index="30" nillable="true" ma:displayName="MediaServiceMetadata" ma:hidden="true" ma:internalName="MediaServiceMetadata" ma:readOnly="true">
      <xsd:simpleType>
        <xsd:restriction base="dms:Note"/>
      </xsd:simpleType>
    </xsd:element>
    <xsd:element name="MediaServiceFastMetadata" ma:index="31" nillable="true" ma:displayName="MediaServiceFastMetadata" ma:hidden="true" ma:internalName="MediaServiceFastMetadata" ma:readOnly="true">
      <xsd:simpleType>
        <xsd:restriction base="dms:Note"/>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DocumentType" ma:index="36" nillable="true" ma:displayName="DocumentType" ma:format="Dropdown" ma:internalName="DocumentType">
      <xsd:simpleType>
        <xsd:restriction base="dms:Text">
          <xsd:maxLength value="255"/>
        </xsd:restriction>
      </xsd:simpleType>
    </xsd:element>
    <xsd:element name="L1_5Sub_Process" ma:index="37" nillable="true" ma:displayName="L1_5Sub_Process" ma:format="Dropdown" ma:internalName="L1_5Sub_Process">
      <xsd:simpleType>
        <xsd:restriction base="dms:Text">
          <xsd:maxLength value="255"/>
        </xsd:restriction>
      </xsd:simpleType>
    </xsd:element>
    <xsd:element name="Type" ma:index="38" nillable="true" ma:displayName="Type " ma:format="Dropdown" ma:internalName="Type">
      <xsd:simpleType>
        <xsd:restriction base="dms:Choice">
          <xsd:enumeration value="DIN"/>
          <xsd:enumeration value="ISO"/>
          <xsd:enumeration value="VDA"/>
        </xsd:restriction>
      </xsd:simpleType>
    </xsd:element>
    <xsd:element name="MediaServiceObjectDetectorVersions" ma:index="39" nillable="true" ma:displayName="MediaServiceObjectDetectorVersions" ma:hidden="true" ma:indexed="true" ma:internalName="MediaServiceObjectDetectorVersions" ma:readOnly="true">
      <xsd:simpleType>
        <xsd:restriction base="dms:Text"/>
      </xsd:simpleType>
    </xsd:element>
    <xsd:element name="NormType" ma:index="40" nillable="true" ma:displayName="NormType" ma:format="Dropdown" ma:internalName="NormType">
      <xsd:simpleType>
        <xsd:restriction base="dms:Text">
          <xsd:maxLength value="255"/>
        </xsd:restriction>
      </xsd:simpleType>
    </xsd:element>
    <xsd:element name="MediaServiceSearchProperties" ma:index="4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2bdc25-7ce9-4ee1-8b2a-b62fdb275019" elementFormDefault="qualified">
    <xsd:import namespace="http://schemas.microsoft.com/office/2006/documentManagement/types"/>
    <xsd:import namespace="http://schemas.microsoft.com/office/infopath/2007/PartnerControls"/>
    <xsd:element name="SharedWithUsers" ma:index="3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30B4E7-1153-477F-9D87-28DABB18C478}">
  <ds:schemaRefs>
    <ds:schemaRef ds:uri="http://schemas.openxmlformats.org/officeDocument/2006/bibliography"/>
  </ds:schemaRefs>
</ds:datastoreItem>
</file>

<file path=customXml/itemProps2.xml><?xml version="1.0" encoding="utf-8"?>
<ds:datastoreItem xmlns:ds="http://schemas.openxmlformats.org/officeDocument/2006/customXml" ds:itemID="{C0C27D67-6106-44BA-B8A6-3826F99DB531}">
  <ds:schemaRefs>
    <ds:schemaRef ds:uri="http://schemas.microsoft.com/sharepoint/v3/contenttype/forms"/>
  </ds:schemaRefs>
</ds:datastoreItem>
</file>

<file path=customXml/itemProps3.xml><?xml version="1.0" encoding="utf-8"?>
<ds:datastoreItem xmlns:ds="http://schemas.openxmlformats.org/officeDocument/2006/customXml" ds:itemID="{209CCECE-DADB-4042-A106-CE2DD07C41E0}">
  <ds:schemaRefs>
    <ds:schemaRef ds:uri="http://schemas.microsoft.com/office/2006/metadata/properties"/>
    <ds:schemaRef ds:uri="http://schemas.microsoft.com/office/infopath/2007/PartnerControls"/>
    <ds:schemaRef ds:uri="c445943b-87ff-4956-8b0c-58702adbfc3d"/>
  </ds:schemaRefs>
</ds:datastoreItem>
</file>

<file path=customXml/itemProps4.xml><?xml version="1.0" encoding="utf-8"?>
<ds:datastoreItem xmlns:ds="http://schemas.openxmlformats.org/officeDocument/2006/customXml" ds:itemID="{29F81ABE-CC2F-405B-BD2A-2AC37A0B3353}"/>
</file>

<file path=docProps/app.xml><?xml version="1.0" encoding="utf-8"?>
<Properties xmlns="http://schemas.openxmlformats.org/officeDocument/2006/extended-properties" xmlns:vt="http://schemas.openxmlformats.org/officeDocument/2006/docPropsVTypes">
  <Template>Normal.dotm</Template>
  <TotalTime>0</TotalTime>
  <Pages>5</Pages>
  <Words>682</Words>
  <Characters>4299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CORP-P2-ENG-0164-Fleet IDS SIEM - User Manual</dc:title>
  <dc:subject/>
  <dc:creator>Matthias Wachs</dc:creator>
  <cp:keywords/>
  <dc:description/>
  <cp:lastModifiedBy>Matthias Wachs</cp:lastModifiedBy>
  <cp:revision>109</cp:revision>
  <dcterms:created xsi:type="dcterms:W3CDTF">2025-02-14T09:41:00Z</dcterms:created>
  <dcterms:modified xsi:type="dcterms:W3CDTF">2026-07-31T11:46:00Z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0x0101003C2496A46E59FE488496D6FBDBB0BD6000DC6F7D5747A09C4DAFAA769666741225</vt:lpwstr>
  </property>
</Properties>
</file>