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t xml:space="preserve">An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t xml:space="preserve">An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lastRenderedPageBreak/>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5FD426B4"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lastRenderedPageBreak/>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0905D6D5"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w:t>
      </w:r>
      <w:r w:rsidR="002F5FAF">
        <w:rPr>
          <w:rStyle w:val="Red"/>
          <w:color w:val="auto"/>
        </w:rPr>
        <w:t>a</w:t>
      </w:r>
      <w:proofErr w:type="spellEnd"/>
      <w:r w:rsidR="009F3242">
        <w:rPr>
          <w:rStyle w:val="Red"/>
          <w:color w:val="auto"/>
        </w:rPr>
        <w:t>/</w:t>
      </w:r>
      <w:proofErr w:type="spellStart"/>
      <w:r w:rsidR="009F3242">
        <w:rPr>
          <w:rStyle w:val="Red"/>
          <w:color w:val="auto"/>
        </w:rPr>
        <w:t>ET</w:t>
      </w:r>
      <w:r w:rsidR="002F5FAF">
        <w:rPr>
          <w:rStyle w:val="Red"/>
          <w:color w:val="auto"/>
        </w:rPr>
        <w:t>o</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094AD18B"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w:t>
      </w:r>
      <w:r w:rsidR="004735C9">
        <w:rPr>
          <w:rStyle w:val="Red"/>
          <w:color w:val="auto"/>
        </w:rPr>
        <w:lastRenderedPageBreak/>
        <w:t>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4E1F4465"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lastRenderedPageBreak/>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8AD1" w14:textId="77777777" w:rsidR="00D60D02" w:rsidRDefault="00D60D02" w:rsidP="00271008">
      <w:r>
        <w:separator/>
      </w:r>
    </w:p>
  </w:endnote>
  <w:endnote w:type="continuationSeparator" w:id="0">
    <w:p w14:paraId="5D05006F" w14:textId="77777777" w:rsidR="00D60D02" w:rsidRDefault="00D60D02" w:rsidP="00271008">
      <w:r>
        <w:continuationSeparator/>
      </w:r>
    </w:p>
  </w:endnote>
  <w:endnote w:type="continuationNotice" w:id="1">
    <w:p w14:paraId="0FF5BF3C" w14:textId="77777777" w:rsidR="00D60D02" w:rsidRDefault="00D60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C709" w14:textId="77777777" w:rsidR="00D60D02" w:rsidRDefault="00D60D02" w:rsidP="00271008">
      <w:r>
        <w:separator/>
      </w:r>
    </w:p>
  </w:footnote>
  <w:footnote w:type="continuationSeparator" w:id="0">
    <w:p w14:paraId="6BDAC9C9" w14:textId="77777777" w:rsidR="00D60D02" w:rsidRDefault="00D60D02" w:rsidP="00271008">
      <w:r>
        <w:continuationSeparator/>
      </w:r>
    </w:p>
  </w:footnote>
  <w:footnote w:type="continuationNotice" w:id="1">
    <w:p w14:paraId="09C63038" w14:textId="77777777" w:rsidR="00D60D02" w:rsidRDefault="00D60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2F5FAF"/>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60D0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37397</TotalTime>
  <Pages>16</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81</cp:revision>
  <cp:lastPrinted>2020-02-13T21:33:00Z</cp:lastPrinted>
  <dcterms:created xsi:type="dcterms:W3CDTF">2012-01-09T21:00:00Z</dcterms:created>
  <dcterms:modified xsi:type="dcterms:W3CDTF">2022-04-21T14:53:00Z</dcterms:modified>
</cp:coreProperties>
</file>