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6EB1E" w14:textId="77777777" w:rsidR="0003143D" w:rsidRDefault="00000000">
      <w:pPr>
        <w:pStyle w:val="Title"/>
      </w:pPr>
      <w:r>
        <w:t>The Prevalence of Dementia and Mild Cognitive Impairment in the United States: Findings from the Health and Retirement Study (HRS) Harmonized Cognitive Assessment Protocol (HCAP) Project</w:t>
      </w:r>
    </w:p>
    <w:p w14:paraId="0866CDEC" w14:textId="77777777" w:rsidR="0003143D" w:rsidRDefault="00000000">
      <w:pPr>
        <w:pStyle w:val="Author"/>
      </w:pPr>
      <w:r>
        <w:t>Numerical contributions</w:t>
      </w:r>
    </w:p>
    <w:p w14:paraId="6AF6790D" w14:textId="77777777" w:rsidR="0003143D" w:rsidRDefault="00000000">
      <w:pPr>
        <w:pStyle w:val="Date"/>
      </w:pPr>
      <w:r>
        <w:t>June 20 2022</w:t>
      </w:r>
    </w:p>
    <w:p w14:paraId="0C8EC8E8" w14:textId="77777777" w:rsidR="0003143D" w:rsidRDefault="00000000">
      <w:pPr>
        <w:pStyle w:val="Heading3"/>
      </w:pPr>
      <w:bookmarkStart w:id="0" w:name="participants"/>
      <w:r>
        <w:t>Participants</w:t>
      </w:r>
    </w:p>
    <w:p w14:paraId="5CBE3662" w14:textId="77777777" w:rsidR="0003143D" w:rsidRDefault="00000000">
      <w:pPr>
        <w:pStyle w:val="FirstParagraph"/>
      </w:pPr>
      <w:r>
        <w:t>The sample for the HCAP study were randomly selected from HRS panel respondents who were age 65 or older, born in 1952 or earlier, and who completed their 2016 HRS core interview. If 2 eligible people were found within one household, one was randomly selected to participate in HCAP. For every participant, an informant who was one of up to three individuals nominated by the respondent. Informant relationships with the respondent included spouse/partner (41%), child (25%), friend (11%), sibling (4%), grandchild (2%), parent (1%), neighbor (1%), guardian (0.1%), or other relationship (6%). The mean number of years an informant reported knowing the respondent was 30 (SD = 21; Range = 1 – 87). The HCAP was administered either in English (95%), in Spanish (5%), or both (0.1%).</w:t>
      </w:r>
    </w:p>
    <w:p w14:paraId="08394019" w14:textId="77777777" w:rsidR="0003143D" w:rsidRDefault="00000000">
      <w:pPr>
        <w:pStyle w:val="BodyText"/>
      </w:pPr>
      <w:r>
        <w:t>Of 4,425 eligible cases, 3,496 completed the HCAP interview between June 2016 and October 2017 for a final response rate of 79%. There were 149 cases where only an informant interview was collected when the HCAP respondent was not able to conduct an interview, but an informant was nominated and enrolled. A total of 313 cases were respondent only cases where an informant was not nominated by the respondent or where a nominated informant was not enrolled. Overall, 87% of HCAP cases included both a respondent and informant interview.</w:t>
      </w:r>
    </w:p>
    <w:p w14:paraId="175CA12D" w14:textId="77777777" w:rsidR="0003143D" w:rsidRDefault="00000000">
      <w:pPr>
        <w:pStyle w:val="Heading3"/>
      </w:pPr>
      <w:bookmarkStart w:id="1" w:name="X79f4ac754a787020f4cf45af9f512f2a36de736"/>
      <w:bookmarkEnd w:id="0"/>
      <w:r>
        <w:t>Determination of dementia prevalence in HCAP involved three phases.</w:t>
      </w:r>
    </w:p>
    <w:p w14:paraId="57A007A0" w14:textId="77777777" w:rsidR="0003143D" w:rsidRDefault="00000000">
      <w:pPr>
        <w:pStyle w:val="FirstParagraph"/>
      </w:pPr>
      <w:r>
        <w:t>Our analysis begins with estimates of cognitive performance based on the HCAP battery, calibrated using latent variable models and described previously 2. Briefly, we subjected HCAP cognitive performance (N = 3,347) data to a series of factor analysis models, and derived factors and factor score estimates based on HCAP performance in five domains: memory, executive functioning, language, visuospatial, and orientation. The factor scores are described in Table 2. In this project, we normalize the estimated factor scores, standardize with respect to demographic variables, and derive a classification algorithm for mild cognitive impairment and probable dementia using informant report of cognitive or functional impairment or self-report of subjective memory worsening. The three phases summarized in this manuscript include (i) selecting the robust normative sample (N = 1,787), (ii) standardizing within the normative sample with respect to sociodemographic characteristics, and (iii) developing an algorithm for the classification of dementia status using additional informant and self-report information using all participants in the HCAP study (N = 3,496). All statistical analyses were conducted with Stata (version 16.1, Stata Corp., College Station, Texas) and R (version 4.1.1, R Foundation for Statistical Computing, Vienna, Austria). Sampling weights were used in statistical analyses, and summary statistics that reflect the use of sampling weights are highlighted in the results. Missing data for cognitive performance data or informant data were singly imputed as Bayesian plausible values using Mplus software (version 8.6, Muthén &amp; Muthén, Los Angeles, CA).</w:t>
      </w:r>
    </w:p>
    <w:p w14:paraId="31515B85" w14:textId="77777777" w:rsidR="0003143D" w:rsidRDefault="00000000">
      <w:pPr>
        <w:pStyle w:val="BlockText"/>
      </w:pPr>
      <w:r>
        <w:t>Table X. Selection of robust normative sample from HCAP Participants</w:t>
      </w:r>
    </w:p>
    <w:p w14:paraId="1930C15B" w14:textId="77777777" w:rsidR="0003143D" w:rsidRDefault="00000000">
      <w:pPr>
        <w:pStyle w:val="FirstParagraph"/>
      </w:pPr>
      <w:r>
        <w:t>Rich leaving for Ryan</w:t>
      </w:r>
    </w:p>
    <w:p w14:paraId="7E7670D5" w14:textId="77777777" w:rsidR="0003143D" w:rsidRDefault="00000000">
      <w:pPr>
        <w:pStyle w:val="BodyText"/>
      </w:pPr>
      <w:r>
        <w:t xml:space="preserve">The final robust normative sample included N = 1,787 participants in the HCAP field study. Of HCAP participants, N = 1,560 persons who participated in the HCAP cognitive assessment, and </w:t>
      </w:r>
      <w:r>
        <w:lastRenderedPageBreak/>
        <w:t>an additional N = 149 people who did not complete the cognitive testing, were excluded from the normative sample.</w:t>
      </w:r>
    </w:p>
    <w:p w14:paraId="20D3A519" w14:textId="77777777" w:rsidR="0003143D" w:rsidRDefault="00000000">
      <w:pPr>
        <w:pStyle w:val="BodyText"/>
      </w:pPr>
      <w:r>
        <w:rPr>
          <w:b/>
          <w:bCs/>
        </w:rPr>
        <w:t>Table X. Participant Characteristics</w:t>
      </w:r>
    </w:p>
    <w:tbl>
      <w:tblPr>
        <w:tblStyle w:val="Table"/>
        <w:tblW w:w="0" w:type="pct"/>
        <w:tblLook w:val="0020" w:firstRow="1" w:lastRow="0" w:firstColumn="0" w:lastColumn="0" w:noHBand="0" w:noVBand="0"/>
      </w:tblPr>
      <w:tblGrid>
        <w:gridCol w:w="3847"/>
        <w:gridCol w:w="1244"/>
        <w:gridCol w:w="2030"/>
        <w:gridCol w:w="2455"/>
      </w:tblGrid>
      <w:tr w:rsidR="0003143D" w14:paraId="10541D9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2718486" w14:textId="77777777" w:rsidR="0003143D" w:rsidRDefault="00000000">
            <w:pPr>
              <w:pStyle w:val="Compact"/>
            </w:pPr>
            <w:r>
              <w:t>Characteristic</w:t>
            </w:r>
          </w:p>
        </w:tc>
        <w:tc>
          <w:tcPr>
            <w:tcW w:w="0" w:type="auto"/>
          </w:tcPr>
          <w:p w14:paraId="07F5FDB9" w14:textId="77777777" w:rsidR="0003143D" w:rsidRDefault="00000000">
            <w:pPr>
              <w:pStyle w:val="Compact"/>
              <w:jc w:val="right"/>
            </w:pPr>
            <w:r>
              <w:t>Overall</w:t>
            </w:r>
          </w:p>
        </w:tc>
        <w:tc>
          <w:tcPr>
            <w:tcW w:w="0" w:type="auto"/>
          </w:tcPr>
          <w:p w14:paraId="03134B32" w14:textId="77777777" w:rsidR="0003143D" w:rsidRDefault="00000000">
            <w:pPr>
              <w:pStyle w:val="Compact"/>
              <w:jc w:val="right"/>
            </w:pPr>
            <w:r>
              <w:t>Robust norms sample</w:t>
            </w:r>
          </w:p>
        </w:tc>
        <w:tc>
          <w:tcPr>
            <w:tcW w:w="0" w:type="auto"/>
          </w:tcPr>
          <w:p w14:paraId="16387E5B" w14:textId="77777777" w:rsidR="0003143D" w:rsidRDefault="00000000">
            <w:pPr>
              <w:pStyle w:val="Compact"/>
              <w:jc w:val="right"/>
            </w:pPr>
            <w:r>
              <w:t>Not in robust norms sample</w:t>
            </w:r>
          </w:p>
        </w:tc>
      </w:tr>
      <w:tr w:rsidR="0003143D" w14:paraId="56C6EACF" w14:textId="77777777">
        <w:tc>
          <w:tcPr>
            <w:tcW w:w="0" w:type="auto"/>
          </w:tcPr>
          <w:p w14:paraId="05FFDAA3" w14:textId="77777777" w:rsidR="0003143D" w:rsidRDefault="00000000">
            <w:pPr>
              <w:pStyle w:val="Compact"/>
            </w:pPr>
            <w:r>
              <w:t>Total (N, %)</w:t>
            </w:r>
          </w:p>
        </w:tc>
        <w:tc>
          <w:tcPr>
            <w:tcW w:w="0" w:type="auto"/>
          </w:tcPr>
          <w:p w14:paraId="43735C35" w14:textId="77777777" w:rsidR="0003143D" w:rsidRDefault="00000000">
            <w:pPr>
              <w:pStyle w:val="Compact"/>
              <w:jc w:val="right"/>
            </w:pPr>
            <w:r>
              <w:t>3,496 (100)</w:t>
            </w:r>
          </w:p>
        </w:tc>
        <w:tc>
          <w:tcPr>
            <w:tcW w:w="0" w:type="auto"/>
          </w:tcPr>
          <w:p w14:paraId="3BA5318C" w14:textId="77777777" w:rsidR="0003143D" w:rsidRDefault="00000000">
            <w:pPr>
              <w:pStyle w:val="Compact"/>
              <w:jc w:val="right"/>
            </w:pPr>
            <w:r>
              <w:t>1,787 (100)</w:t>
            </w:r>
          </w:p>
        </w:tc>
        <w:tc>
          <w:tcPr>
            <w:tcW w:w="0" w:type="auto"/>
          </w:tcPr>
          <w:p w14:paraId="4B6AAEF6" w14:textId="77777777" w:rsidR="0003143D" w:rsidRDefault="00000000">
            <w:pPr>
              <w:pStyle w:val="Compact"/>
              <w:jc w:val="right"/>
            </w:pPr>
            <w:r>
              <w:t>1,709 (100)</w:t>
            </w:r>
          </w:p>
        </w:tc>
      </w:tr>
      <w:tr w:rsidR="0003143D" w14:paraId="6BF61E10" w14:textId="77777777">
        <w:tc>
          <w:tcPr>
            <w:tcW w:w="0" w:type="auto"/>
          </w:tcPr>
          <w:p w14:paraId="282AE011" w14:textId="77777777" w:rsidR="0003143D" w:rsidRDefault="00000000">
            <w:pPr>
              <w:pStyle w:val="Compact"/>
            </w:pPr>
            <w:r>
              <w:t>Age (years; mean, SD)</w:t>
            </w:r>
          </w:p>
        </w:tc>
        <w:tc>
          <w:tcPr>
            <w:tcW w:w="0" w:type="auto"/>
          </w:tcPr>
          <w:p w14:paraId="0FE2AFFD" w14:textId="77777777" w:rsidR="0003143D" w:rsidRDefault="00000000">
            <w:pPr>
              <w:pStyle w:val="Compact"/>
              <w:jc w:val="right"/>
            </w:pPr>
            <w:r>
              <w:t>76.4 (7.6)</w:t>
            </w:r>
          </w:p>
        </w:tc>
        <w:tc>
          <w:tcPr>
            <w:tcW w:w="0" w:type="auto"/>
          </w:tcPr>
          <w:p w14:paraId="06863F27" w14:textId="77777777" w:rsidR="0003143D" w:rsidRDefault="00000000">
            <w:pPr>
              <w:pStyle w:val="Compact"/>
              <w:jc w:val="right"/>
            </w:pPr>
            <w:r>
              <w:t>73.9 (6.3)</w:t>
            </w:r>
          </w:p>
        </w:tc>
        <w:tc>
          <w:tcPr>
            <w:tcW w:w="0" w:type="auto"/>
          </w:tcPr>
          <w:p w14:paraId="67315E28" w14:textId="77777777" w:rsidR="0003143D" w:rsidRDefault="00000000">
            <w:pPr>
              <w:pStyle w:val="Compact"/>
              <w:jc w:val="right"/>
            </w:pPr>
            <w:r>
              <w:t>79 (7.9)</w:t>
            </w:r>
          </w:p>
        </w:tc>
      </w:tr>
      <w:tr w:rsidR="0003143D" w14:paraId="1EBD1495" w14:textId="77777777">
        <w:tc>
          <w:tcPr>
            <w:tcW w:w="0" w:type="auto"/>
          </w:tcPr>
          <w:p w14:paraId="5BEC3D7A" w14:textId="77777777" w:rsidR="0003143D" w:rsidRDefault="00000000">
            <w:pPr>
              <w:pStyle w:val="Compact"/>
            </w:pPr>
            <w:r>
              <w:t>Female sex (N, %)</w:t>
            </w:r>
          </w:p>
        </w:tc>
        <w:tc>
          <w:tcPr>
            <w:tcW w:w="0" w:type="auto"/>
          </w:tcPr>
          <w:p w14:paraId="10FF604B" w14:textId="77777777" w:rsidR="0003143D" w:rsidRDefault="00000000">
            <w:pPr>
              <w:pStyle w:val="Compact"/>
              <w:jc w:val="right"/>
            </w:pPr>
            <w:r>
              <w:t>2,095 (60)</w:t>
            </w:r>
          </w:p>
        </w:tc>
        <w:tc>
          <w:tcPr>
            <w:tcW w:w="0" w:type="auto"/>
          </w:tcPr>
          <w:p w14:paraId="301DD119" w14:textId="77777777" w:rsidR="0003143D" w:rsidRDefault="00000000">
            <w:pPr>
              <w:pStyle w:val="Compact"/>
              <w:jc w:val="right"/>
            </w:pPr>
            <w:r>
              <w:t>1,074 (60)</w:t>
            </w:r>
          </w:p>
        </w:tc>
        <w:tc>
          <w:tcPr>
            <w:tcW w:w="0" w:type="auto"/>
          </w:tcPr>
          <w:p w14:paraId="02EB7A3C" w14:textId="77777777" w:rsidR="0003143D" w:rsidRDefault="00000000">
            <w:pPr>
              <w:pStyle w:val="Compact"/>
              <w:jc w:val="right"/>
            </w:pPr>
            <w:r>
              <w:t>1,021 (60)</w:t>
            </w:r>
          </w:p>
        </w:tc>
      </w:tr>
      <w:tr w:rsidR="0003143D" w14:paraId="691DF272" w14:textId="77777777">
        <w:tc>
          <w:tcPr>
            <w:tcW w:w="0" w:type="auto"/>
          </w:tcPr>
          <w:p w14:paraId="56CB683B" w14:textId="77777777" w:rsidR="0003143D" w:rsidRDefault="00000000">
            <w:pPr>
              <w:pStyle w:val="Compact"/>
            </w:pPr>
            <w:r>
              <w:t>Black or African American (N, %)</w:t>
            </w:r>
          </w:p>
        </w:tc>
        <w:tc>
          <w:tcPr>
            <w:tcW w:w="0" w:type="auto"/>
          </w:tcPr>
          <w:p w14:paraId="546A7094" w14:textId="77777777" w:rsidR="0003143D" w:rsidRDefault="00000000">
            <w:pPr>
              <w:pStyle w:val="Compact"/>
              <w:jc w:val="right"/>
            </w:pPr>
            <w:r>
              <w:t>551 (16)</w:t>
            </w:r>
          </w:p>
        </w:tc>
        <w:tc>
          <w:tcPr>
            <w:tcW w:w="0" w:type="auto"/>
          </w:tcPr>
          <w:p w14:paraId="126DD31B" w14:textId="77777777" w:rsidR="0003143D" w:rsidRDefault="00000000">
            <w:pPr>
              <w:pStyle w:val="Compact"/>
              <w:jc w:val="right"/>
            </w:pPr>
            <w:r>
              <w:t>265 (15)</w:t>
            </w:r>
          </w:p>
        </w:tc>
        <w:tc>
          <w:tcPr>
            <w:tcW w:w="0" w:type="auto"/>
          </w:tcPr>
          <w:p w14:paraId="1A487785" w14:textId="77777777" w:rsidR="0003143D" w:rsidRDefault="00000000">
            <w:pPr>
              <w:pStyle w:val="Compact"/>
              <w:jc w:val="right"/>
            </w:pPr>
            <w:r>
              <w:t>286 (17)</w:t>
            </w:r>
          </w:p>
        </w:tc>
      </w:tr>
      <w:tr w:rsidR="0003143D" w14:paraId="7491F8E6" w14:textId="77777777">
        <w:tc>
          <w:tcPr>
            <w:tcW w:w="0" w:type="auto"/>
          </w:tcPr>
          <w:p w14:paraId="3CEAE40B" w14:textId="77777777" w:rsidR="0003143D" w:rsidRDefault="00000000">
            <w:pPr>
              <w:pStyle w:val="Compact"/>
            </w:pPr>
            <w:r>
              <w:t>Hispanic ethnicity (N, %)</w:t>
            </w:r>
          </w:p>
        </w:tc>
        <w:tc>
          <w:tcPr>
            <w:tcW w:w="0" w:type="auto"/>
          </w:tcPr>
          <w:p w14:paraId="1A3B51AA" w14:textId="77777777" w:rsidR="0003143D" w:rsidRDefault="00000000">
            <w:pPr>
              <w:pStyle w:val="Compact"/>
              <w:jc w:val="right"/>
            </w:pPr>
            <w:r>
              <w:t>382 (11)</w:t>
            </w:r>
          </w:p>
        </w:tc>
        <w:tc>
          <w:tcPr>
            <w:tcW w:w="0" w:type="auto"/>
          </w:tcPr>
          <w:p w14:paraId="70B8AE29" w14:textId="77777777" w:rsidR="0003143D" w:rsidRDefault="00000000">
            <w:pPr>
              <w:pStyle w:val="Compact"/>
              <w:jc w:val="right"/>
            </w:pPr>
            <w:r>
              <w:t>178 (10)</w:t>
            </w:r>
          </w:p>
        </w:tc>
        <w:tc>
          <w:tcPr>
            <w:tcW w:w="0" w:type="auto"/>
          </w:tcPr>
          <w:p w14:paraId="77FE5F11" w14:textId="77777777" w:rsidR="0003143D" w:rsidRDefault="00000000">
            <w:pPr>
              <w:pStyle w:val="Compact"/>
              <w:jc w:val="right"/>
            </w:pPr>
            <w:r>
              <w:t>204 (12)</w:t>
            </w:r>
          </w:p>
        </w:tc>
      </w:tr>
      <w:tr w:rsidR="0003143D" w14:paraId="52E42D72" w14:textId="77777777">
        <w:tc>
          <w:tcPr>
            <w:tcW w:w="0" w:type="auto"/>
          </w:tcPr>
          <w:p w14:paraId="1F0674C9" w14:textId="77777777" w:rsidR="0003143D" w:rsidRDefault="00000000">
            <w:pPr>
              <w:pStyle w:val="Compact"/>
            </w:pPr>
            <w:r>
              <w:t>Years of education (years; mean SD)</w:t>
            </w:r>
          </w:p>
        </w:tc>
        <w:tc>
          <w:tcPr>
            <w:tcW w:w="0" w:type="auto"/>
          </w:tcPr>
          <w:p w14:paraId="55BB05C8" w14:textId="77777777" w:rsidR="0003143D" w:rsidRDefault="00000000">
            <w:pPr>
              <w:pStyle w:val="Compact"/>
              <w:jc w:val="right"/>
            </w:pPr>
            <w:r>
              <w:t>12.7 (3.2)</w:t>
            </w:r>
          </w:p>
        </w:tc>
        <w:tc>
          <w:tcPr>
            <w:tcW w:w="0" w:type="auto"/>
          </w:tcPr>
          <w:p w14:paraId="02D99D6E" w14:textId="77777777" w:rsidR="0003143D" w:rsidRDefault="00000000">
            <w:pPr>
              <w:pStyle w:val="Compact"/>
              <w:jc w:val="right"/>
            </w:pPr>
            <w:r>
              <w:t>13.3 (2.8)</w:t>
            </w:r>
          </w:p>
        </w:tc>
        <w:tc>
          <w:tcPr>
            <w:tcW w:w="0" w:type="auto"/>
          </w:tcPr>
          <w:p w14:paraId="71793B48" w14:textId="77777777" w:rsidR="0003143D" w:rsidRDefault="00000000">
            <w:pPr>
              <w:pStyle w:val="Compact"/>
              <w:jc w:val="right"/>
            </w:pPr>
            <w:r>
              <w:t>12 (3.4)</w:t>
            </w:r>
          </w:p>
        </w:tc>
      </w:tr>
      <w:tr w:rsidR="0003143D" w14:paraId="0F4C2EB5" w14:textId="77777777">
        <w:tc>
          <w:tcPr>
            <w:tcW w:w="0" w:type="auto"/>
          </w:tcPr>
          <w:p w14:paraId="16B05BBD" w14:textId="77777777" w:rsidR="0003143D" w:rsidRDefault="00000000">
            <w:pPr>
              <w:pStyle w:val="Compact"/>
            </w:pPr>
            <w:r>
              <w:t>MMSE score (0-30, higher better; mean SD)</w:t>
            </w:r>
          </w:p>
        </w:tc>
        <w:tc>
          <w:tcPr>
            <w:tcW w:w="0" w:type="auto"/>
          </w:tcPr>
          <w:p w14:paraId="06BC15AA" w14:textId="77777777" w:rsidR="0003143D" w:rsidRDefault="00000000">
            <w:pPr>
              <w:pStyle w:val="Compact"/>
              <w:jc w:val="right"/>
            </w:pPr>
            <w:r>
              <w:t>26.6 (3.9)</w:t>
            </w:r>
          </w:p>
        </w:tc>
        <w:tc>
          <w:tcPr>
            <w:tcW w:w="0" w:type="auto"/>
          </w:tcPr>
          <w:p w14:paraId="7897D07A" w14:textId="77777777" w:rsidR="0003143D" w:rsidRDefault="00000000">
            <w:pPr>
              <w:pStyle w:val="Compact"/>
              <w:jc w:val="right"/>
            </w:pPr>
            <w:r>
              <w:t>27.9 (2.1)</w:t>
            </w:r>
          </w:p>
        </w:tc>
        <w:tc>
          <w:tcPr>
            <w:tcW w:w="0" w:type="auto"/>
          </w:tcPr>
          <w:p w14:paraId="7325E196" w14:textId="77777777" w:rsidR="0003143D" w:rsidRDefault="00000000">
            <w:pPr>
              <w:pStyle w:val="Compact"/>
              <w:jc w:val="right"/>
            </w:pPr>
            <w:r>
              <w:t>25.1 (4.8)</w:t>
            </w:r>
          </w:p>
        </w:tc>
      </w:tr>
    </w:tbl>
    <w:p w14:paraId="78A888ED" w14:textId="77777777" w:rsidR="0003143D" w:rsidRDefault="00000000">
      <w:pPr>
        <w:pStyle w:val="BodyText"/>
      </w:pPr>
      <w:r>
        <w:t>Notes: MMSE, Mini-Mental State Examination; SD, standard deviation;</w:t>
      </w:r>
    </w:p>
    <w:p w14:paraId="7499EE9F" w14:textId="77777777" w:rsidR="0003143D" w:rsidRDefault="00000000">
      <w:pPr>
        <w:pStyle w:val="BodyText"/>
      </w:pPr>
      <w:r>
        <w:t>The results of the classification algorithm are displayed in Figure X and the criteria are described in more detail in Table X. A total of 381 individuals [mean (SD) age, 81.8 (7.7); 235 women (62%) and 146 men (38%)] were classified as having dementia, and 846 individuals were classified as having MCI [mean (SD) age, 77.1 ( 8) years, 235 women (62%) and 146 men (38%)]. Numbers and weighted estimates are presented for the classification of dementia (Table X) and MCI (Table Y) among all persons recruited to HCAP. People with dementia were more likely to be older (weighted odds ratio (OR) 3.5 per 10-year age difference, (95% confidence interval (CI): 2.89 – 4.24)), had fewer years of school (weighted and age-adjusted OR 0.91 per year of school, 95% CI 0.86 – 0.95), and were more likely to be Black (weighted and age-adjusted OR 1.73 for Black or African-American vs white, 95% CI 1.65 – 1.82) or Hispanic (weighted and age-adjusted OR 1.51 for Hispanic vs white, 95% CI 1.43 – 1.58) than White. MCI was more frequent in people who were older (weighted OR 1.54 per 10-year age difference, 95% CI 1.35 – 1.76)), had fewer years of school (weighted and age-adjusted OR 0.95 per year of school, 95% CI 0.92 – 0.98), and Black (weighted and age-adjusted OR 1.3 for Black or African-American vs white, 95% CI 1.26 – 1.35) or Hispanic (weighted and age-adjusted OR 1.6 for Hispanic vs white, 95% CI 1.55 – 1.66).</w:t>
      </w:r>
    </w:p>
    <w:p w14:paraId="7F54A531" w14:textId="77777777" w:rsidR="0011555C" w:rsidRDefault="0011555C">
      <w:pPr>
        <w:spacing w:after="200"/>
        <w:rPr>
          <w:b/>
          <w:bCs/>
        </w:rPr>
      </w:pPr>
      <w:r>
        <w:rPr>
          <w:b/>
          <w:bCs/>
        </w:rPr>
        <w:br w:type="page"/>
      </w:r>
    </w:p>
    <w:p w14:paraId="506433C9" w14:textId="4C875855" w:rsidR="0003143D" w:rsidRDefault="00000000">
      <w:pPr>
        <w:pStyle w:val="BodyText"/>
      </w:pPr>
      <w:r>
        <w:rPr>
          <w:b/>
          <w:bCs/>
        </w:rPr>
        <w:lastRenderedPageBreak/>
        <w:t>Table 2. Details for HCAP dementia and MCI classification algorithm (N=3,496)</w:t>
      </w:r>
    </w:p>
    <w:tbl>
      <w:tblPr>
        <w:tblStyle w:val="Table"/>
        <w:tblW w:w="5000" w:type="pct"/>
        <w:tblLook w:val="0020" w:firstRow="1" w:lastRow="0" w:firstColumn="0" w:lastColumn="0" w:noHBand="0" w:noVBand="0"/>
      </w:tblPr>
      <w:tblGrid>
        <w:gridCol w:w="1678"/>
        <w:gridCol w:w="5635"/>
        <w:gridCol w:w="739"/>
        <w:gridCol w:w="1524"/>
      </w:tblGrid>
      <w:tr w:rsidR="0003143D" w14:paraId="3DCB5B5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F2380C2" w14:textId="77777777" w:rsidR="0003143D" w:rsidRDefault="00000000">
            <w:pPr>
              <w:pStyle w:val="Compact"/>
            </w:pPr>
            <w:r>
              <w:t>Category</w:t>
            </w:r>
          </w:p>
        </w:tc>
        <w:tc>
          <w:tcPr>
            <w:tcW w:w="0" w:type="auto"/>
          </w:tcPr>
          <w:p w14:paraId="000F6B0C" w14:textId="77777777" w:rsidR="0003143D" w:rsidRDefault="00000000">
            <w:pPr>
              <w:pStyle w:val="Compact"/>
            </w:pPr>
            <w:r>
              <w:t>Criteria</w:t>
            </w:r>
          </w:p>
        </w:tc>
        <w:tc>
          <w:tcPr>
            <w:tcW w:w="0" w:type="auto"/>
          </w:tcPr>
          <w:p w14:paraId="6A8A534B" w14:textId="77777777" w:rsidR="0003143D" w:rsidRDefault="00000000">
            <w:pPr>
              <w:pStyle w:val="Compact"/>
              <w:jc w:val="right"/>
            </w:pPr>
            <w:r>
              <w:t>Total N</w:t>
            </w:r>
          </w:p>
        </w:tc>
        <w:tc>
          <w:tcPr>
            <w:tcW w:w="0" w:type="auto"/>
          </w:tcPr>
          <w:p w14:paraId="57AA5D55" w14:textId="77777777" w:rsidR="0003143D" w:rsidRDefault="00000000">
            <w:pPr>
              <w:pStyle w:val="Compact"/>
              <w:jc w:val="right"/>
            </w:pPr>
            <w:r>
              <w:t>Weighted Prevalence (%)</w:t>
            </w:r>
          </w:p>
        </w:tc>
      </w:tr>
      <w:tr w:rsidR="0003143D" w14:paraId="4CD389C6" w14:textId="77777777">
        <w:tc>
          <w:tcPr>
            <w:tcW w:w="0" w:type="auto"/>
          </w:tcPr>
          <w:p w14:paraId="3D7D2F04" w14:textId="77777777" w:rsidR="0003143D" w:rsidRDefault="00000000">
            <w:pPr>
              <w:pStyle w:val="Compact"/>
            </w:pPr>
            <w:r>
              <w:rPr>
                <w:b/>
                <w:bCs/>
              </w:rPr>
              <w:t>Dementia</w:t>
            </w:r>
          </w:p>
        </w:tc>
        <w:tc>
          <w:tcPr>
            <w:tcW w:w="0" w:type="auto"/>
          </w:tcPr>
          <w:p w14:paraId="06818EB0" w14:textId="77777777" w:rsidR="0003143D" w:rsidRDefault="00000000">
            <w:pPr>
              <w:pStyle w:val="Compact"/>
            </w:pPr>
            <w:r>
              <w:rPr>
                <w:b/>
                <w:bCs/>
              </w:rPr>
              <w:t>A.</w:t>
            </w:r>
            <w:r>
              <w:t xml:space="preserve"> Performance in the impaired range (a score of 35 or less on standardized and normalized cognitive domains) in 2 or more domains, and </w:t>
            </w:r>
            <w:r>
              <w:rPr>
                <w:b/>
                <w:bCs/>
              </w:rPr>
              <w:t>B.</w:t>
            </w:r>
            <w:r>
              <w:t xml:space="preserve"> Informant-rated functional impairment (IQCODE score ≥ 3.4 or Blessed Part I score ≥ 2)</w:t>
            </w:r>
          </w:p>
        </w:tc>
        <w:tc>
          <w:tcPr>
            <w:tcW w:w="0" w:type="auto"/>
          </w:tcPr>
          <w:p w14:paraId="334BAE6F" w14:textId="77777777" w:rsidR="0003143D" w:rsidRDefault="00000000">
            <w:pPr>
              <w:pStyle w:val="Compact"/>
              <w:jc w:val="right"/>
            </w:pPr>
            <w:r>
              <w:t>381</w:t>
            </w:r>
          </w:p>
        </w:tc>
        <w:tc>
          <w:tcPr>
            <w:tcW w:w="0" w:type="auto"/>
          </w:tcPr>
          <w:p w14:paraId="796FB083" w14:textId="77777777" w:rsidR="0003143D" w:rsidRDefault="00000000">
            <w:pPr>
              <w:pStyle w:val="Compact"/>
              <w:jc w:val="right"/>
            </w:pPr>
            <w:r>
              <w:t>9.7</w:t>
            </w:r>
          </w:p>
        </w:tc>
      </w:tr>
      <w:tr w:rsidR="0003143D" w14:paraId="3C87167D" w14:textId="77777777">
        <w:tc>
          <w:tcPr>
            <w:tcW w:w="0" w:type="auto"/>
          </w:tcPr>
          <w:p w14:paraId="6A595841" w14:textId="77777777" w:rsidR="0003143D" w:rsidRDefault="00000000">
            <w:pPr>
              <w:pStyle w:val="Compact"/>
            </w:pPr>
            <w:r>
              <w:rPr>
                <w:b/>
                <w:bCs/>
              </w:rPr>
              <w:t>Mild cognitive impairment (1)</w:t>
            </w:r>
          </w:p>
        </w:tc>
        <w:tc>
          <w:tcPr>
            <w:tcW w:w="0" w:type="auto"/>
          </w:tcPr>
          <w:p w14:paraId="009BA1F7" w14:textId="77777777" w:rsidR="0003143D" w:rsidRDefault="00000000">
            <w:pPr>
              <w:pStyle w:val="Compact"/>
            </w:pPr>
            <w:r>
              <w:rPr>
                <w:b/>
                <w:bCs/>
              </w:rPr>
              <w:t>A.</w:t>
            </w:r>
            <w:r>
              <w:t xml:space="preserve"> Performance in the impaired range (35 or less) on 2 or more of 5 cognitive domains, and</w:t>
            </w:r>
            <w:r>
              <w:rPr>
                <w:b/>
                <w:bCs/>
              </w:rPr>
              <w:t>B.</w:t>
            </w:r>
            <w:r>
              <w:t xml:space="preserve"> No informant-rated functional impairment (IQCODE score &lt; 3.4 and Blessed Part 1 score &lt;2)</w:t>
            </w:r>
          </w:p>
        </w:tc>
        <w:tc>
          <w:tcPr>
            <w:tcW w:w="0" w:type="auto"/>
          </w:tcPr>
          <w:p w14:paraId="6DA126DE" w14:textId="77777777" w:rsidR="0003143D" w:rsidRDefault="00000000">
            <w:pPr>
              <w:pStyle w:val="Compact"/>
              <w:jc w:val="right"/>
            </w:pPr>
            <w:r>
              <w:t>216</w:t>
            </w:r>
          </w:p>
        </w:tc>
        <w:tc>
          <w:tcPr>
            <w:tcW w:w="0" w:type="auto"/>
          </w:tcPr>
          <w:p w14:paraId="5A5CFDF2" w14:textId="77777777" w:rsidR="0003143D" w:rsidRDefault="00000000">
            <w:pPr>
              <w:pStyle w:val="Compact"/>
              <w:jc w:val="right"/>
            </w:pPr>
            <w:r>
              <w:t>5.7</w:t>
            </w:r>
          </w:p>
        </w:tc>
      </w:tr>
      <w:tr w:rsidR="0003143D" w14:paraId="0B63D409" w14:textId="77777777">
        <w:tc>
          <w:tcPr>
            <w:tcW w:w="0" w:type="auto"/>
          </w:tcPr>
          <w:p w14:paraId="257690A1" w14:textId="77777777" w:rsidR="0003143D" w:rsidRDefault="00000000">
            <w:pPr>
              <w:pStyle w:val="Compact"/>
            </w:pPr>
            <w:r>
              <w:rPr>
                <w:b/>
                <w:bCs/>
              </w:rPr>
              <w:t>Mild cognitive impairment (2)</w:t>
            </w:r>
          </w:p>
        </w:tc>
        <w:tc>
          <w:tcPr>
            <w:tcW w:w="0" w:type="auto"/>
          </w:tcPr>
          <w:p w14:paraId="50973473" w14:textId="77777777" w:rsidR="0003143D" w:rsidRDefault="00000000">
            <w:pPr>
              <w:pStyle w:val="Compact"/>
            </w:pPr>
            <w:r>
              <w:rPr>
                <w:b/>
                <w:bCs/>
              </w:rPr>
              <w:t>A.</w:t>
            </w:r>
            <w:r>
              <w:t xml:space="preserve"> Performance in the impaired range (35 or less) on 1 of 5 cognitive domains, and one of the following:</w:t>
            </w:r>
            <w:r>
              <w:rPr>
                <w:b/>
                <w:bCs/>
              </w:rPr>
              <w:t>B1.</w:t>
            </w:r>
            <w:r>
              <w:t xml:space="preserve"> Informant-rated cognitive concerns (IQCODE score &gt; 3, or Blessed Dementia Rating Scale (Part I) &gt; 0), or</w:t>
            </w:r>
            <w:r>
              <w:rPr>
                <w:b/>
                <w:bCs/>
              </w:rPr>
              <w:t>B2.</w:t>
            </w:r>
            <w:r>
              <w:t xml:space="preserve"> Self-reported worsening memory over the previous 2 years [HRS Core PD102 = 3]</w:t>
            </w:r>
          </w:p>
        </w:tc>
        <w:tc>
          <w:tcPr>
            <w:tcW w:w="0" w:type="auto"/>
          </w:tcPr>
          <w:p w14:paraId="53C3EFF3" w14:textId="77777777" w:rsidR="0003143D" w:rsidRDefault="00000000">
            <w:pPr>
              <w:pStyle w:val="Compact"/>
              <w:jc w:val="right"/>
            </w:pPr>
            <w:r>
              <w:t>630</w:t>
            </w:r>
          </w:p>
        </w:tc>
        <w:tc>
          <w:tcPr>
            <w:tcW w:w="0" w:type="auto"/>
          </w:tcPr>
          <w:p w14:paraId="1ED924C1" w14:textId="77777777" w:rsidR="0003143D" w:rsidRDefault="00000000">
            <w:pPr>
              <w:pStyle w:val="Compact"/>
              <w:jc w:val="right"/>
            </w:pPr>
            <w:r>
              <w:t>16.9</w:t>
            </w:r>
          </w:p>
        </w:tc>
      </w:tr>
      <w:tr w:rsidR="0003143D" w14:paraId="7D254648" w14:textId="77777777">
        <w:tc>
          <w:tcPr>
            <w:tcW w:w="0" w:type="auto"/>
          </w:tcPr>
          <w:p w14:paraId="0FCA2188" w14:textId="77777777" w:rsidR="0003143D" w:rsidRDefault="00000000">
            <w:pPr>
              <w:pStyle w:val="Compact"/>
            </w:pPr>
            <w:r>
              <w:rPr>
                <w:b/>
                <w:bCs/>
              </w:rPr>
              <w:t>Normal (1)</w:t>
            </w:r>
          </w:p>
        </w:tc>
        <w:tc>
          <w:tcPr>
            <w:tcW w:w="0" w:type="auto"/>
          </w:tcPr>
          <w:p w14:paraId="58752417" w14:textId="77777777" w:rsidR="0003143D" w:rsidRDefault="00000000">
            <w:pPr>
              <w:pStyle w:val="Compact"/>
            </w:pPr>
            <w:r>
              <w:rPr>
                <w:b/>
                <w:bCs/>
              </w:rPr>
              <w:t>A.</w:t>
            </w:r>
            <w:r>
              <w:t xml:space="preserve"> Performance in the impaired range (35 or less) on 1 of 5 cognitive domains, and</w:t>
            </w:r>
            <w:r>
              <w:rPr>
                <w:b/>
                <w:bCs/>
              </w:rPr>
              <w:t>B1.</w:t>
            </w:r>
            <w:r>
              <w:t xml:space="preserve"> No informant-rated cognitive concerns (IQCODE score ≤ 3, and Blessed Dementia Rating Scale (Part I) = 0), and </w:t>
            </w:r>
            <w:r>
              <w:rPr>
                <w:b/>
                <w:bCs/>
              </w:rPr>
              <w:t>B2.</w:t>
            </w:r>
            <w:r>
              <w:t xml:space="preserve"> No self-reported worsening memory over the previous 2 years [HRS Core PD102 ≠ 3]</w:t>
            </w:r>
          </w:p>
        </w:tc>
        <w:tc>
          <w:tcPr>
            <w:tcW w:w="0" w:type="auto"/>
          </w:tcPr>
          <w:p w14:paraId="20F65D59" w14:textId="77777777" w:rsidR="0003143D" w:rsidRDefault="00000000">
            <w:pPr>
              <w:pStyle w:val="Compact"/>
              <w:jc w:val="right"/>
            </w:pPr>
            <w:r>
              <w:t>156</w:t>
            </w:r>
          </w:p>
        </w:tc>
        <w:tc>
          <w:tcPr>
            <w:tcW w:w="0" w:type="auto"/>
          </w:tcPr>
          <w:p w14:paraId="2667F4C1" w14:textId="77777777" w:rsidR="0003143D" w:rsidRDefault="00000000">
            <w:pPr>
              <w:pStyle w:val="Compact"/>
              <w:jc w:val="right"/>
            </w:pPr>
            <w:r>
              <w:t>4.2</w:t>
            </w:r>
          </w:p>
        </w:tc>
      </w:tr>
      <w:tr w:rsidR="0003143D" w14:paraId="13203494" w14:textId="77777777">
        <w:tc>
          <w:tcPr>
            <w:tcW w:w="0" w:type="auto"/>
          </w:tcPr>
          <w:p w14:paraId="1A0644E0" w14:textId="77777777" w:rsidR="0003143D" w:rsidRDefault="00000000">
            <w:pPr>
              <w:pStyle w:val="Compact"/>
            </w:pPr>
            <w:r>
              <w:rPr>
                <w:b/>
                <w:bCs/>
              </w:rPr>
              <w:t>Normal (2)</w:t>
            </w:r>
          </w:p>
        </w:tc>
        <w:tc>
          <w:tcPr>
            <w:tcW w:w="0" w:type="auto"/>
          </w:tcPr>
          <w:p w14:paraId="7D8CFDA5" w14:textId="77777777" w:rsidR="0003143D" w:rsidRDefault="00000000">
            <w:pPr>
              <w:pStyle w:val="Compact"/>
            </w:pPr>
            <w:r>
              <w:rPr>
                <w:b/>
                <w:bCs/>
              </w:rPr>
              <w:t>A.</w:t>
            </w:r>
            <w:r>
              <w:t xml:space="preserve"> Performance in the impaired range (35 or less) on 0 of 5 cognitive domains</w:t>
            </w:r>
          </w:p>
        </w:tc>
        <w:tc>
          <w:tcPr>
            <w:tcW w:w="0" w:type="auto"/>
          </w:tcPr>
          <w:p w14:paraId="24EB8C98" w14:textId="77777777" w:rsidR="0003143D" w:rsidRDefault="00000000">
            <w:pPr>
              <w:pStyle w:val="Compact"/>
              <w:jc w:val="right"/>
            </w:pPr>
            <w:r>
              <w:t>2113</w:t>
            </w:r>
          </w:p>
        </w:tc>
        <w:tc>
          <w:tcPr>
            <w:tcW w:w="0" w:type="auto"/>
          </w:tcPr>
          <w:p w14:paraId="7B7D5B30" w14:textId="77777777" w:rsidR="0003143D" w:rsidRDefault="00000000">
            <w:pPr>
              <w:pStyle w:val="Compact"/>
              <w:jc w:val="right"/>
            </w:pPr>
            <w:r>
              <w:t>63.5</w:t>
            </w:r>
          </w:p>
        </w:tc>
      </w:tr>
    </w:tbl>
    <w:p w14:paraId="558DDA38" w14:textId="77777777" w:rsidR="0003143D" w:rsidRDefault="00000000">
      <w:pPr>
        <w:pStyle w:val="BodyText"/>
      </w:pPr>
      <w:r>
        <w:t>Notes: 4 of 5 cognitive domains are standardized to a T score distribution, scores of 35 or less represent performance 1.5 standard deviation units, or worse, from the mean expected in a sample people assumed to be free from dementia and with the same age, sex, race/ethnicity and educational background as the tested person. The orientation domain, which is measured by 10 items from the Mini-Mental State Examination, is not standardized or adjusted for demographics. Two or more errors on these 10 orientation questions is the definition of impairment. Abbreviations: IQCODE, Informant Questionnaire on Cognitive Decline in the Elderly 6; Blessed Dementia Rating Scale (Part I) 7; PD102 is a single question assessed in the HRS 2016 Core Interview: Compared to two years ago, would you say your memory is better now, about the same, or worse now than it was then? Responses of 3 code for worse.</w:t>
      </w:r>
    </w:p>
    <w:p w14:paraId="3D7F4D94" w14:textId="77777777" w:rsidR="0011555C" w:rsidRDefault="0011555C">
      <w:pPr>
        <w:spacing w:after="200"/>
        <w:rPr>
          <w:b/>
          <w:bCs/>
        </w:rPr>
      </w:pPr>
      <w:r>
        <w:rPr>
          <w:b/>
          <w:bCs/>
        </w:rPr>
        <w:br w:type="page"/>
      </w:r>
    </w:p>
    <w:p w14:paraId="3DF988FC" w14:textId="050575A7" w:rsidR="0003143D" w:rsidRDefault="00000000">
      <w:pPr>
        <w:pStyle w:val="BodyText"/>
      </w:pPr>
      <w:r>
        <w:rPr>
          <w:b/>
          <w:bCs/>
        </w:rPr>
        <w:lastRenderedPageBreak/>
        <w:t>Table X. Group differences in prevalence of dementia among HCAP participants (N=3,496)</w:t>
      </w:r>
    </w:p>
    <w:tbl>
      <w:tblPr>
        <w:tblStyle w:val="Table"/>
        <w:tblW w:w="5000" w:type="pct"/>
        <w:tblLook w:val="0020" w:firstRow="1" w:lastRow="0" w:firstColumn="0" w:lastColumn="0" w:noHBand="0" w:noVBand="0"/>
      </w:tblPr>
      <w:tblGrid>
        <w:gridCol w:w="2315"/>
        <w:gridCol w:w="706"/>
        <w:gridCol w:w="584"/>
        <w:gridCol w:w="461"/>
        <w:gridCol w:w="885"/>
        <w:gridCol w:w="1431"/>
        <w:gridCol w:w="584"/>
        <w:gridCol w:w="461"/>
        <w:gridCol w:w="885"/>
        <w:gridCol w:w="1264"/>
      </w:tblGrid>
      <w:tr w:rsidR="0003143D" w14:paraId="2E017B2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90901F1" w14:textId="77777777" w:rsidR="0003143D" w:rsidRDefault="00000000">
            <w:pPr>
              <w:pStyle w:val="Compact"/>
            </w:pPr>
            <w:r>
              <w:t>Variable</w:t>
            </w:r>
          </w:p>
        </w:tc>
        <w:tc>
          <w:tcPr>
            <w:tcW w:w="0" w:type="auto"/>
          </w:tcPr>
          <w:p w14:paraId="599C3E96" w14:textId="77777777" w:rsidR="0003143D" w:rsidRDefault="00000000">
            <w:pPr>
              <w:pStyle w:val="Compact"/>
              <w:jc w:val="right"/>
            </w:pPr>
            <w:r>
              <w:t>Total</w:t>
            </w:r>
          </w:p>
        </w:tc>
        <w:tc>
          <w:tcPr>
            <w:tcW w:w="0" w:type="auto"/>
          </w:tcPr>
          <w:p w14:paraId="5A19D7A2" w14:textId="77777777" w:rsidR="0003143D" w:rsidRDefault="00000000">
            <w:pPr>
              <w:pStyle w:val="Compact"/>
              <w:jc w:val="right"/>
            </w:pPr>
            <w:r>
              <w:t>N</w:t>
            </w:r>
          </w:p>
        </w:tc>
        <w:tc>
          <w:tcPr>
            <w:tcW w:w="0" w:type="auto"/>
          </w:tcPr>
          <w:p w14:paraId="2C724535" w14:textId="77777777" w:rsidR="0003143D" w:rsidRDefault="00000000">
            <w:pPr>
              <w:pStyle w:val="Compact"/>
              <w:jc w:val="right"/>
            </w:pPr>
            <w:r>
              <w:t>%</w:t>
            </w:r>
          </w:p>
        </w:tc>
        <w:tc>
          <w:tcPr>
            <w:tcW w:w="0" w:type="auto"/>
          </w:tcPr>
          <w:p w14:paraId="36D5D68D" w14:textId="77777777" w:rsidR="0003143D" w:rsidRDefault="00000000">
            <w:pPr>
              <w:pStyle w:val="Compact"/>
              <w:jc w:val="right"/>
            </w:pPr>
            <w:r>
              <w:t>95% CI</w:t>
            </w:r>
          </w:p>
        </w:tc>
        <w:tc>
          <w:tcPr>
            <w:tcW w:w="0" w:type="auto"/>
          </w:tcPr>
          <w:p w14:paraId="44949FF6" w14:textId="77777777" w:rsidR="0003143D" w:rsidRDefault="00000000">
            <w:pPr>
              <w:pStyle w:val="Compact"/>
              <w:jc w:val="right"/>
            </w:pPr>
            <w:r>
              <w:t>OR (95% CI)</w:t>
            </w:r>
          </w:p>
        </w:tc>
        <w:tc>
          <w:tcPr>
            <w:tcW w:w="0" w:type="auto"/>
          </w:tcPr>
          <w:p w14:paraId="14C977D0" w14:textId="77777777" w:rsidR="0003143D" w:rsidRDefault="00000000">
            <w:pPr>
              <w:pStyle w:val="Compact"/>
              <w:jc w:val="right"/>
            </w:pPr>
            <w:r>
              <w:t>N</w:t>
            </w:r>
          </w:p>
        </w:tc>
        <w:tc>
          <w:tcPr>
            <w:tcW w:w="0" w:type="auto"/>
          </w:tcPr>
          <w:p w14:paraId="10061911" w14:textId="77777777" w:rsidR="0003143D" w:rsidRDefault="00000000">
            <w:pPr>
              <w:pStyle w:val="Compact"/>
              <w:jc w:val="right"/>
            </w:pPr>
            <w:r>
              <w:t>%</w:t>
            </w:r>
          </w:p>
        </w:tc>
        <w:tc>
          <w:tcPr>
            <w:tcW w:w="0" w:type="auto"/>
          </w:tcPr>
          <w:p w14:paraId="54FC64FC" w14:textId="77777777" w:rsidR="0003143D" w:rsidRDefault="00000000">
            <w:pPr>
              <w:pStyle w:val="Compact"/>
              <w:jc w:val="right"/>
            </w:pPr>
            <w:r>
              <w:t>95% CI</w:t>
            </w:r>
          </w:p>
        </w:tc>
        <w:tc>
          <w:tcPr>
            <w:tcW w:w="0" w:type="auto"/>
          </w:tcPr>
          <w:p w14:paraId="71BB0025" w14:textId="77777777" w:rsidR="0003143D" w:rsidRDefault="00000000">
            <w:pPr>
              <w:pStyle w:val="Compact"/>
              <w:jc w:val="right"/>
            </w:pPr>
            <w:r>
              <w:t>OR (95% CI)</w:t>
            </w:r>
          </w:p>
        </w:tc>
      </w:tr>
      <w:tr w:rsidR="0003143D" w14:paraId="5D27B89B" w14:textId="77777777">
        <w:tc>
          <w:tcPr>
            <w:tcW w:w="0" w:type="auto"/>
          </w:tcPr>
          <w:p w14:paraId="09DEA725" w14:textId="77777777" w:rsidR="0003143D" w:rsidRDefault="00000000">
            <w:pPr>
              <w:pStyle w:val="Compact"/>
            </w:pPr>
            <w:r>
              <w:rPr>
                <w:b/>
                <w:bCs/>
              </w:rPr>
              <w:t>Age group (years)</w:t>
            </w:r>
          </w:p>
        </w:tc>
        <w:tc>
          <w:tcPr>
            <w:tcW w:w="0" w:type="auto"/>
          </w:tcPr>
          <w:p w14:paraId="3DBEE25A" w14:textId="77777777" w:rsidR="0003143D" w:rsidRDefault="0003143D"/>
        </w:tc>
        <w:tc>
          <w:tcPr>
            <w:tcW w:w="0" w:type="auto"/>
          </w:tcPr>
          <w:p w14:paraId="5EFE5B1A" w14:textId="77777777" w:rsidR="0003143D" w:rsidRDefault="0003143D"/>
        </w:tc>
        <w:tc>
          <w:tcPr>
            <w:tcW w:w="0" w:type="auto"/>
          </w:tcPr>
          <w:p w14:paraId="5EF9EE6D" w14:textId="77777777" w:rsidR="0003143D" w:rsidRDefault="0003143D"/>
        </w:tc>
        <w:tc>
          <w:tcPr>
            <w:tcW w:w="0" w:type="auto"/>
          </w:tcPr>
          <w:p w14:paraId="353CC0B6" w14:textId="77777777" w:rsidR="0003143D" w:rsidRDefault="0003143D"/>
        </w:tc>
        <w:tc>
          <w:tcPr>
            <w:tcW w:w="0" w:type="auto"/>
          </w:tcPr>
          <w:p w14:paraId="76B9DC48" w14:textId="77777777" w:rsidR="0003143D" w:rsidRDefault="0003143D"/>
        </w:tc>
        <w:tc>
          <w:tcPr>
            <w:tcW w:w="0" w:type="auto"/>
          </w:tcPr>
          <w:p w14:paraId="5344B203" w14:textId="77777777" w:rsidR="0003143D" w:rsidRDefault="0003143D"/>
        </w:tc>
        <w:tc>
          <w:tcPr>
            <w:tcW w:w="0" w:type="auto"/>
          </w:tcPr>
          <w:p w14:paraId="0D6E00AC" w14:textId="77777777" w:rsidR="0003143D" w:rsidRDefault="0003143D"/>
        </w:tc>
        <w:tc>
          <w:tcPr>
            <w:tcW w:w="0" w:type="auto"/>
          </w:tcPr>
          <w:p w14:paraId="501C8952" w14:textId="77777777" w:rsidR="0003143D" w:rsidRDefault="0003143D"/>
        </w:tc>
        <w:tc>
          <w:tcPr>
            <w:tcW w:w="0" w:type="auto"/>
          </w:tcPr>
          <w:p w14:paraId="71CCE986" w14:textId="77777777" w:rsidR="0003143D" w:rsidRDefault="0003143D"/>
        </w:tc>
      </w:tr>
      <w:tr w:rsidR="0003143D" w14:paraId="5C3D4281" w14:textId="77777777">
        <w:tc>
          <w:tcPr>
            <w:tcW w:w="0" w:type="auto"/>
          </w:tcPr>
          <w:p w14:paraId="57E2071F" w14:textId="77777777" w:rsidR="0003143D" w:rsidRDefault="00000000">
            <w:pPr>
              <w:pStyle w:val="Compact"/>
            </w:pPr>
            <w:r>
              <w:t>65 - 74</w:t>
            </w:r>
          </w:p>
        </w:tc>
        <w:tc>
          <w:tcPr>
            <w:tcW w:w="0" w:type="auto"/>
          </w:tcPr>
          <w:p w14:paraId="153810EC" w14:textId="77777777" w:rsidR="0003143D" w:rsidRDefault="00000000">
            <w:pPr>
              <w:pStyle w:val="Compact"/>
              <w:jc w:val="right"/>
            </w:pPr>
            <w:r>
              <w:t>1488</w:t>
            </w:r>
          </w:p>
        </w:tc>
        <w:tc>
          <w:tcPr>
            <w:tcW w:w="0" w:type="auto"/>
          </w:tcPr>
          <w:p w14:paraId="22EDED5A" w14:textId="77777777" w:rsidR="0003143D" w:rsidRDefault="00000000">
            <w:pPr>
              <w:pStyle w:val="Compact"/>
              <w:jc w:val="right"/>
            </w:pPr>
            <w:r>
              <w:t>64</w:t>
            </w:r>
          </w:p>
        </w:tc>
        <w:tc>
          <w:tcPr>
            <w:tcW w:w="0" w:type="auto"/>
          </w:tcPr>
          <w:p w14:paraId="1CB75157" w14:textId="77777777" w:rsidR="0003143D" w:rsidRDefault="00000000">
            <w:pPr>
              <w:pStyle w:val="Compact"/>
              <w:jc w:val="right"/>
            </w:pPr>
            <w:r>
              <w:t>5</w:t>
            </w:r>
          </w:p>
        </w:tc>
        <w:tc>
          <w:tcPr>
            <w:tcW w:w="0" w:type="auto"/>
          </w:tcPr>
          <w:p w14:paraId="3FB8408F" w14:textId="77777777" w:rsidR="0003143D" w:rsidRDefault="00000000">
            <w:pPr>
              <w:pStyle w:val="Compact"/>
              <w:jc w:val="right"/>
            </w:pPr>
            <w:r>
              <w:t>(4, 6)</w:t>
            </w:r>
          </w:p>
        </w:tc>
        <w:tc>
          <w:tcPr>
            <w:tcW w:w="0" w:type="auto"/>
          </w:tcPr>
          <w:p w14:paraId="1A919281" w14:textId="77777777" w:rsidR="0003143D" w:rsidRDefault="00000000">
            <w:pPr>
              <w:pStyle w:val="Compact"/>
              <w:jc w:val="right"/>
            </w:pPr>
            <w:r>
              <w:t>ref</w:t>
            </w:r>
          </w:p>
        </w:tc>
        <w:tc>
          <w:tcPr>
            <w:tcW w:w="0" w:type="auto"/>
          </w:tcPr>
          <w:p w14:paraId="5DAE2F8F" w14:textId="77777777" w:rsidR="0003143D" w:rsidRDefault="00000000">
            <w:pPr>
              <w:pStyle w:val="Compact"/>
              <w:jc w:val="right"/>
            </w:pPr>
            <w:r>
              <w:t>340</w:t>
            </w:r>
          </w:p>
        </w:tc>
        <w:tc>
          <w:tcPr>
            <w:tcW w:w="0" w:type="auto"/>
          </w:tcPr>
          <w:p w14:paraId="7E6372D6" w14:textId="77777777" w:rsidR="0003143D" w:rsidRDefault="00000000">
            <w:pPr>
              <w:pStyle w:val="Compact"/>
              <w:jc w:val="right"/>
            </w:pPr>
            <w:r>
              <w:t>22</w:t>
            </w:r>
          </w:p>
        </w:tc>
        <w:tc>
          <w:tcPr>
            <w:tcW w:w="0" w:type="auto"/>
          </w:tcPr>
          <w:p w14:paraId="48397F8A" w14:textId="77777777" w:rsidR="0003143D" w:rsidRDefault="00000000">
            <w:pPr>
              <w:pStyle w:val="Compact"/>
              <w:jc w:val="right"/>
            </w:pPr>
            <w:r>
              <w:t>(19, 24)</w:t>
            </w:r>
          </w:p>
        </w:tc>
        <w:tc>
          <w:tcPr>
            <w:tcW w:w="0" w:type="auto"/>
          </w:tcPr>
          <w:p w14:paraId="60DEBE74" w14:textId="77777777" w:rsidR="0003143D" w:rsidRDefault="00000000">
            <w:pPr>
              <w:pStyle w:val="Compact"/>
              <w:jc w:val="right"/>
            </w:pPr>
            <w:r>
              <w:t>ref</w:t>
            </w:r>
          </w:p>
        </w:tc>
      </w:tr>
      <w:tr w:rsidR="0003143D" w14:paraId="78B046D9" w14:textId="77777777">
        <w:tc>
          <w:tcPr>
            <w:tcW w:w="0" w:type="auto"/>
          </w:tcPr>
          <w:p w14:paraId="352D2AF3" w14:textId="77777777" w:rsidR="0003143D" w:rsidRDefault="00000000">
            <w:pPr>
              <w:pStyle w:val="Compact"/>
            </w:pPr>
            <w:r>
              <w:t>75 - 84</w:t>
            </w:r>
          </w:p>
        </w:tc>
        <w:tc>
          <w:tcPr>
            <w:tcW w:w="0" w:type="auto"/>
          </w:tcPr>
          <w:p w14:paraId="20D58F2F" w14:textId="77777777" w:rsidR="0003143D" w:rsidRDefault="00000000">
            <w:pPr>
              <w:pStyle w:val="Compact"/>
              <w:jc w:val="right"/>
            </w:pPr>
            <w:r>
              <w:t>1455</w:t>
            </w:r>
          </w:p>
        </w:tc>
        <w:tc>
          <w:tcPr>
            <w:tcW w:w="0" w:type="auto"/>
          </w:tcPr>
          <w:p w14:paraId="3BE2CEEC" w14:textId="77777777" w:rsidR="0003143D" w:rsidRDefault="00000000">
            <w:pPr>
              <w:pStyle w:val="Compact"/>
              <w:jc w:val="right"/>
            </w:pPr>
            <w:r>
              <w:t>174</w:t>
            </w:r>
          </w:p>
        </w:tc>
        <w:tc>
          <w:tcPr>
            <w:tcW w:w="0" w:type="auto"/>
          </w:tcPr>
          <w:p w14:paraId="07290D34" w14:textId="77777777" w:rsidR="0003143D" w:rsidRDefault="00000000">
            <w:pPr>
              <w:pStyle w:val="Compact"/>
              <w:jc w:val="right"/>
            </w:pPr>
            <w:r>
              <w:t>16</w:t>
            </w:r>
          </w:p>
        </w:tc>
        <w:tc>
          <w:tcPr>
            <w:tcW w:w="0" w:type="auto"/>
          </w:tcPr>
          <w:p w14:paraId="4CEC32B8" w14:textId="77777777" w:rsidR="0003143D" w:rsidRDefault="00000000">
            <w:pPr>
              <w:pStyle w:val="Compact"/>
              <w:jc w:val="right"/>
            </w:pPr>
            <w:r>
              <w:t>(13, 19)</w:t>
            </w:r>
          </w:p>
        </w:tc>
        <w:tc>
          <w:tcPr>
            <w:tcW w:w="0" w:type="auto"/>
          </w:tcPr>
          <w:p w14:paraId="1C62AAD7" w14:textId="77777777" w:rsidR="0003143D" w:rsidRDefault="00000000">
            <w:pPr>
              <w:pStyle w:val="Compact"/>
              <w:jc w:val="right"/>
            </w:pPr>
            <w:r>
              <w:t>3.7 (2.6, 5.3)</w:t>
            </w:r>
          </w:p>
        </w:tc>
        <w:tc>
          <w:tcPr>
            <w:tcW w:w="0" w:type="auto"/>
          </w:tcPr>
          <w:p w14:paraId="1040C676" w14:textId="77777777" w:rsidR="0003143D" w:rsidRDefault="00000000">
            <w:pPr>
              <w:pStyle w:val="Compact"/>
              <w:jc w:val="right"/>
            </w:pPr>
            <w:r>
              <w:t>344</w:t>
            </w:r>
          </w:p>
        </w:tc>
        <w:tc>
          <w:tcPr>
            <w:tcW w:w="0" w:type="auto"/>
          </w:tcPr>
          <w:p w14:paraId="200A53DE" w14:textId="77777777" w:rsidR="0003143D" w:rsidRDefault="00000000">
            <w:pPr>
              <w:pStyle w:val="Compact"/>
              <w:jc w:val="right"/>
            </w:pPr>
            <w:r>
              <w:t>25</w:t>
            </w:r>
          </w:p>
        </w:tc>
        <w:tc>
          <w:tcPr>
            <w:tcW w:w="0" w:type="auto"/>
          </w:tcPr>
          <w:p w14:paraId="47402B90" w14:textId="77777777" w:rsidR="0003143D" w:rsidRDefault="00000000">
            <w:pPr>
              <w:pStyle w:val="Compact"/>
              <w:jc w:val="right"/>
            </w:pPr>
            <w:r>
              <w:t>(23, 28)</w:t>
            </w:r>
          </w:p>
        </w:tc>
        <w:tc>
          <w:tcPr>
            <w:tcW w:w="0" w:type="auto"/>
          </w:tcPr>
          <w:p w14:paraId="03D40AD5" w14:textId="77777777" w:rsidR="0003143D" w:rsidRDefault="00000000">
            <w:pPr>
              <w:pStyle w:val="Compact"/>
              <w:jc w:val="right"/>
            </w:pPr>
            <w:r>
              <w:t>1.2 (1.0, 1.5)</w:t>
            </w:r>
          </w:p>
        </w:tc>
      </w:tr>
      <w:tr w:rsidR="0003143D" w14:paraId="28F1C656" w14:textId="77777777">
        <w:tc>
          <w:tcPr>
            <w:tcW w:w="0" w:type="auto"/>
          </w:tcPr>
          <w:p w14:paraId="1D9AD8E3" w14:textId="77777777" w:rsidR="0003143D" w:rsidRDefault="00000000">
            <w:pPr>
              <w:pStyle w:val="Compact"/>
            </w:pPr>
            <w:r>
              <w:t>85+</w:t>
            </w:r>
          </w:p>
        </w:tc>
        <w:tc>
          <w:tcPr>
            <w:tcW w:w="0" w:type="auto"/>
          </w:tcPr>
          <w:p w14:paraId="587F3F3A" w14:textId="77777777" w:rsidR="0003143D" w:rsidRDefault="00000000">
            <w:pPr>
              <w:pStyle w:val="Compact"/>
              <w:jc w:val="right"/>
            </w:pPr>
            <w:r>
              <w:t>553</w:t>
            </w:r>
          </w:p>
        </w:tc>
        <w:tc>
          <w:tcPr>
            <w:tcW w:w="0" w:type="auto"/>
          </w:tcPr>
          <w:p w14:paraId="24A967D8" w14:textId="77777777" w:rsidR="0003143D" w:rsidRDefault="00000000">
            <w:pPr>
              <w:pStyle w:val="Compact"/>
              <w:jc w:val="right"/>
            </w:pPr>
            <w:r>
              <w:t>143</w:t>
            </w:r>
          </w:p>
        </w:tc>
        <w:tc>
          <w:tcPr>
            <w:tcW w:w="0" w:type="auto"/>
          </w:tcPr>
          <w:p w14:paraId="12017FCB" w14:textId="77777777" w:rsidR="0003143D" w:rsidRDefault="00000000">
            <w:pPr>
              <w:pStyle w:val="Compact"/>
              <w:jc w:val="right"/>
            </w:pPr>
            <w:r>
              <w:t>40</w:t>
            </w:r>
          </w:p>
        </w:tc>
        <w:tc>
          <w:tcPr>
            <w:tcW w:w="0" w:type="auto"/>
          </w:tcPr>
          <w:p w14:paraId="5E905CAC" w14:textId="77777777" w:rsidR="0003143D" w:rsidRDefault="00000000">
            <w:pPr>
              <w:pStyle w:val="Compact"/>
              <w:jc w:val="right"/>
            </w:pPr>
            <w:r>
              <w:t>(34, 46)</w:t>
            </w:r>
          </w:p>
        </w:tc>
        <w:tc>
          <w:tcPr>
            <w:tcW w:w="0" w:type="auto"/>
          </w:tcPr>
          <w:p w14:paraId="634008BA" w14:textId="77777777" w:rsidR="0003143D" w:rsidRDefault="00000000">
            <w:pPr>
              <w:pStyle w:val="Compact"/>
              <w:jc w:val="right"/>
            </w:pPr>
            <w:r>
              <w:t>12.8 (8.7, 18.9)</w:t>
            </w:r>
          </w:p>
        </w:tc>
        <w:tc>
          <w:tcPr>
            <w:tcW w:w="0" w:type="auto"/>
          </w:tcPr>
          <w:p w14:paraId="2A9BA409" w14:textId="77777777" w:rsidR="0003143D" w:rsidRDefault="00000000">
            <w:pPr>
              <w:pStyle w:val="Compact"/>
              <w:jc w:val="right"/>
            </w:pPr>
            <w:r>
              <w:t>162</w:t>
            </w:r>
          </w:p>
        </w:tc>
        <w:tc>
          <w:tcPr>
            <w:tcW w:w="0" w:type="auto"/>
          </w:tcPr>
          <w:p w14:paraId="2FF0A64B" w14:textId="77777777" w:rsidR="0003143D" w:rsidRDefault="00000000">
            <w:pPr>
              <w:pStyle w:val="Compact"/>
              <w:jc w:val="right"/>
            </w:pPr>
            <w:r>
              <w:t>42</w:t>
            </w:r>
          </w:p>
        </w:tc>
        <w:tc>
          <w:tcPr>
            <w:tcW w:w="0" w:type="auto"/>
          </w:tcPr>
          <w:p w14:paraId="3E28477D" w14:textId="77777777" w:rsidR="0003143D" w:rsidRDefault="00000000">
            <w:pPr>
              <w:pStyle w:val="Compact"/>
              <w:jc w:val="right"/>
            </w:pPr>
            <w:r>
              <w:t>(36, 48)</w:t>
            </w:r>
          </w:p>
        </w:tc>
        <w:tc>
          <w:tcPr>
            <w:tcW w:w="0" w:type="auto"/>
          </w:tcPr>
          <w:p w14:paraId="2A4B61C0" w14:textId="77777777" w:rsidR="0003143D" w:rsidRDefault="00000000">
            <w:pPr>
              <w:pStyle w:val="Compact"/>
              <w:jc w:val="right"/>
            </w:pPr>
            <w:r>
              <w:t>2.6 (2.0, 3.4)</w:t>
            </w:r>
          </w:p>
        </w:tc>
      </w:tr>
      <w:tr w:rsidR="0003143D" w14:paraId="0DF8C2D2" w14:textId="77777777">
        <w:tc>
          <w:tcPr>
            <w:tcW w:w="0" w:type="auto"/>
          </w:tcPr>
          <w:p w14:paraId="5E52A4F0" w14:textId="77777777" w:rsidR="0003143D" w:rsidRDefault="00000000">
            <w:pPr>
              <w:pStyle w:val="Compact"/>
            </w:pPr>
            <w:r>
              <w:rPr>
                <w:b/>
                <w:bCs/>
              </w:rPr>
              <w:t>Sex</w:t>
            </w:r>
          </w:p>
        </w:tc>
        <w:tc>
          <w:tcPr>
            <w:tcW w:w="0" w:type="auto"/>
          </w:tcPr>
          <w:p w14:paraId="238E60E8" w14:textId="77777777" w:rsidR="0003143D" w:rsidRDefault="0003143D"/>
        </w:tc>
        <w:tc>
          <w:tcPr>
            <w:tcW w:w="0" w:type="auto"/>
          </w:tcPr>
          <w:p w14:paraId="28287654" w14:textId="77777777" w:rsidR="0003143D" w:rsidRDefault="0003143D"/>
        </w:tc>
        <w:tc>
          <w:tcPr>
            <w:tcW w:w="0" w:type="auto"/>
          </w:tcPr>
          <w:p w14:paraId="33504A62" w14:textId="77777777" w:rsidR="0003143D" w:rsidRDefault="0003143D"/>
        </w:tc>
        <w:tc>
          <w:tcPr>
            <w:tcW w:w="0" w:type="auto"/>
          </w:tcPr>
          <w:p w14:paraId="2A427196" w14:textId="77777777" w:rsidR="0003143D" w:rsidRDefault="0003143D"/>
        </w:tc>
        <w:tc>
          <w:tcPr>
            <w:tcW w:w="0" w:type="auto"/>
          </w:tcPr>
          <w:p w14:paraId="520C551E" w14:textId="77777777" w:rsidR="0003143D" w:rsidRDefault="0003143D"/>
        </w:tc>
        <w:tc>
          <w:tcPr>
            <w:tcW w:w="0" w:type="auto"/>
          </w:tcPr>
          <w:p w14:paraId="3E2A40A2" w14:textId="77777777" w:rsidR="0003143D" w:rsidRDefault="0003143D"/>
        </w:tc>
        <w:tc>
          <w:tcPr>
            <w:tcW w:w="0" w:type="auto"/>
          </w:tcPr>
          <w:p w14:paraId="75FE4D6E" w14:textId="77777777" w:rsidR="0003143D" w:rsidRDefault="0003143D"/>
        </w:tc>
        <w:tc>
          <w:tcPr>
            <w:tcW w:w="0" w:type="auto"/>
          </w:tcPr>
          <w:p w14:paraId="37ED7936" w14:textId="77777777" w:rsidR="0003143D" w:rsidRDefault="0003143D"/>
        </w:tc>
        <w:tc>
          <w:tcPr>
            <w:tcW w:w="0" w:type="auto"/>
          </w:tcPr>
          <w:p w14:paraId="2C4FD706" w14:textId="77777777" w:rsidR="0003143D" w:rsidRDefault="0003143D"/>
        </w:tc>
      </w:tr>
      <w:tr w:rsidR="0003143D" w14:paraId="0AEF3099" w14:textId="77777777">
        <w:tc>
          <w:tcPr>
            <w:tcW w:w="0" w:type="auto"/>
          </w:tcPr>
          <w:p w14:paraId="1B56AA43" w14:textId="77777777" w:rsidR="0003143D" w:rsidRDefault="00000000">
            <w:pPr>
              <w:pStyle w:val="Compact"/>
            </w:pPr>
            <w:r>
              <w:t>Men</w:t>
            </w:r>
          </w:p>
        </w:tc>
        <w:tc>
          <w:tcPr>
            <w:tcW w:w="0" w:type="auto"/>
          </w:tcPr>
          <w:p w14:paraId="66CE9A1D" w14:textId="77777777" w:rsidR="0003143D" w:rsidRDefault="00000000">
            <w:pPr>
              <w:pStyle w:val="Compact"/>
              <w:jc w:val="right"/>
            </w:pPr>
            <w:r>
              <w:t>1401</w:t>
            </w:r>
          </w:p>
        </w:tc>
        <w:tc>
          <w:tcPr>
            <w:tcW w:w="0" w:type="auto"/>
          </w:tcPr>
          <w:p w14:paraId="1EFB3935" w14:textId="77777777" w:rsidR="0003143D" w:rsidRDefault="00000000">
            <w:pPr>
              <w:pStyle w:val="Compact"/>
              <w:jc w:val="right"/>
            </w:pPr>
            <w:r>
              <w:t>146</w:t>
            </w:r>
          </w:p>
        </w:tc>
        <w:tc>
          <w:tcPr>
            <w:tcW w:w="0" w:type="auto"/>
          </w:tcPr>
          <w:p w14:paraId="26CE6499" w14:textId="77777777" w:rsidR="0003143D" w:rsidRDefault="00000000">
            <w:pPr>
              <w:pStyle w:val="Compact"/>
              <w:jc w:val="right"/>
            </w:pPr>
            <w:r>
              <w:t>12</w:t>
            </w:r>
          </w:p>
        </w:tc>
        <w:tc>
          <w:tcPr>
            <w:tcW w:w="0" w:type="auto"/>
          </w:tcPr>
          <w:p w14:paraId="56F5F9DA" w14:textId="77777777" w:rsidR="0003143D" w:rsidRDefault="00000000">
            <w:pPr>
              <w:pStyle w:val="Compact"/>
              <w:jc w:val="right"/>
            </w:pPr>
            <w:r>
              <w:t>(10, 15)</w:t>
            </w:r>
          </w:p>
        </w:tc>
        <w:tc>
          <w:tcPr>
            <w:tcW w:w="0" w:type="auto"/>
          </w:tcPr>
          <w:p w14:paraId="357F09D8" w14:textId="77777777" w:rsidR="0003143D" w:rsidRDefault="00000000">
            <w:pPr>
              <w:pStyle w:val="Compact"/>
              <w:jc w:val="right"/>
            </w:pPr>
            <w:r>
              <w:t>ref</w:t>
            </w:r>
          </w:p>
        </w:tc>
        <w:tc>
          <w:tcPr>
            <w:tcW w:w="0" w:type="auto"/>
          </w:tcPr>
          <w:p w14:paraId="65A981A7" w14:textId="77777777" w:rsidR="0003143D" w:rsidRDefault="00000000">
            <w:pPr>
              <w:pStyle w:val="Compact"/>
              <w:jc w:val="right"/>
            </w:pPr>
            <w:r>
              <w:t>353</w:t>
            </w:r>
          </w:p>
        </w:tc>
        <w:tc>
          <w:tcPr>
            <w:tcW w:w="0" w:type="auto"/>
          </w:tcPr>
          <w:p w14:paraId="32DFC9DF" w14:textId="77777777" w:rsidR="0003143D" w:rsidRDefault="00000000">
            <w:pPr>
              <w:pStyle w:val="Compact"/>
              <w:jc w:val="right"/>
            </w:pPr>
            <w:r>
              <w:t>27</w:t>
            </w:r>
          </w:p>
        </w:tc>
        <w:tc>
          <w:tcPr>
            <w:tcW w:w="0" w:type="auto"/>
          </w:tcPr>
          <w:p w14:paraId="4E50408F" w14:textId="77777777" w:rsidR="0003143D" w:rsidRDefault="00000000">
            <w:pPr>
              <w:pStyle w:val="Compact"/>
              <w:jc w:val="right"/>
            </w:pPr>
            <w:r>
              <w:t>(24, 30)</w:t>
            </w:r>
          </w:p>
        </w:tc>
        <w:tc>
          <w:tcPr>
            <w:tcW w:w="0" w:type="auto"/>
          </w:tcPr>
          <w:p w14:paraId="77C991E7" w14:textId="77777777" w:rsidR="0003143D" w:rsidRDefault="00000000">
            <w:pPr>
              <w:pStyle w:val="Compact"/>
              <w:jc w:val="right"/>
            </w:pPr>
            <w:r>
              <w:t>ref</w:t>
            </w:r>
          </w:p>
        </w:tc>
      </w:tr>
      <w:tr w:rsidR="0003143D" w14:paraId="379CC2BA" w14:textId="77777777">
        <w:tc>
          <w:tcPr>
            <w:tcW w:w="0" w:type="auto"/>
          </w:tcPr>
          <w:p w14:paraId="152823CB" w14:textId="77777777" w:rsidR="0003143D" w:rsidRDefault="00000000">
            <w:pPr>
              <w:pStyle w:val="Compact"/>
            </w:pPr>
            <w:r>
              <w:t>Women</w:t>
            </w:r>
          </w:p>
        </w:tc>
        <w:tc>
          <w:tcPr>
            <w:tcW w:w="0" w:type="auto"/>
          </w:tcPr>
          <w:p w14:paraId="3FF1DDCA" w14:textId="77777777" w:rsidR="0003143D" w:rsidRDefault="00000000">
            <w:pPr>
              <w:pStyle w:val="Compact"/>
              <w:jc w:val="right"/>
            </w:pPr>
            <w:r>
              <w:t>2095</w:t>
            </w:r>
          </w:p>
        </w:tc>
        <w:tc>
          <w:tcPr>
            <w:tcW w:w="0" w:type="auto"/>
          </w:tcPr>
          <w:p w14:paraId="3CD66D51" w14:textId="77777777" w:rsidR="0003143D" w:rsidRDefault="00000000">
            <w:pPr>
              <w:pStyle w:val="Compact"/>
              <w:jc w:val="right"/>
            </w:pPr>
            <w:r>
              <w:t>235</w:t>
            </w:r>
          </w:p>
        </w:tc>
        <w:tc>
          <w:tcPr>
            <w:tcW w:w="0" w:type="auto"/>
          </w:tcPr>
          <w:p w14:paraId="092C9B97" w14:textId="77777777" w:rsidR="0003143D" w:rsidRDefault="00000000">
            <w:pPr>
              <w:pStyle w:val="Compact"/>
              <w:jc w:val="right"/>
            </w:pPr>
            <w:r>
              <w:t>13</w:t>
            </w:r>
          </w:p>
        </w:tc>
        <w:tc>
          <w:tcPr>
            <w:tcW w:w="0" w:type="auto"/>
          </w:tcPr>
          <w:p w14:paraId="0F599732" w14:textId="77777777" w:rsidR="0003143D" w:rsidRDefault="00000000">
            <w:pPr>
              <w:pStyle w:val="Compact"/>
              <w:jc w:val="right"/>
            </w:pPr>
            <w:r>
              <w:t>(11, 14)</w:t>
            </w:r>
          </w:p>
        </w:tc>
        <w:tc>
          <w:tcPr>
            <w:tcW w:w="0" w:type="auto"/>
          </w:tcPr>
          <w:p w14:paraId="7B0A1A80" w14:textId="77777777" w:rsidR="0003143D" w:rsidRDefault="00000000">
            <w:pPr>
              <w:pStyle w:val="Compact"/>
              <w:jc w:val="right"/>
            </w:pPr>
            <w:r>
              <w:t>1.0 (.8, 1.4)</w:t>
            </w:r>
          </w:p>
        </w:tc>
        <w:tc>
          <w:tcPr>
            <w:tcW w:w="0" w:type="auto"/>
          </w:tcPr>
          <w:p w14:paraId="4DA78953" w14:textId="77777777" w:rsidR="0003143D" w:rsidRDefault="00000000">
            <w:pPr>
              <w:pStyle w:val="Compact"/>
              <w:jc w:val="right"/>
            </w:pPr>
            <w:r>
              <w:t>493</w:t>
            </w:r>
          </w:p>
        </w:tc>
        <w:tc>
          <w:tcPr>
            <w:tcW w:w="0" w:type="auto"/>
          </w:tcPr>
          <w:p w14:paraId="2F4C137D" w14:textId="77777777" w:rsidR="0003143D" w:rsidRDefault="00000000">
            <w:pPr>
              <w:pStyle w:val="Compact"/>
              <w:jc w:val="right"/>
            </w:pPr>
            <w:r>
              <w:t>24</w:t>
            </w:r>
          </w:p>
        </w:tc>
        <w:tc>
          <w:tcPr>
            <w:tcW w:w="0" w:type="auto"/>
          </w:tcPr>
          <w:p w14:paraId="14947030" w14:textId="77777777" w:rsidR="0003143D" w:rsidRDefault="00000000">
            <w:pPr>
              <w:pStyle w:val="Compact"/>
              <w:jc w:val="right"/>
            </w:pPr>
            <w:r>
              <w:t>(21, 26)</w:t>
            </w:r>
          </w:p>
        </w:tc>
        <w:tc>
          <w:tcPr>
            <w:tcW w:w="0" w:type="auto"/>
          </w:tcPr>
          <w:p w14:paraId="1DA0A9BF" w14:textId="77777777" w:rsidR="0003143D" w:rsidRDefault="00000000">
            <w:pPr>
              <w:pStyle w:val="Compact"/>
              <w:jc w:val="right"/>
            </w:pPr>
            <w:r>
              <w:t>.9 (.7, 1.0)</w:t>
            </w:r>
          </w:p>
        </w:tc>
      </w:tr>
      <w:tr w:rsidR="0003143D" w14:paraId="26D88F34" w14:textId="77777777">
        <w:tc>
          <w:tcPr>
            <w:tcW w:w="0" w:type="auto"/>
          </w:tcPr>
          <w:p w14:paraId="13E73835" w14:textId="77777777" w:rsidR="0003143D" w:rsidRDefault="00000000">
            <w:pPr>
              <w:pStyle w:val="Compact"/>
            </w:pPr>
            <w:r>
              <w:rPr>
                <w:b/>
                <w:bCs/>
              </w:rPr>
              <w:t>Race and Ethnicity</w:t>
            </w:r>
          </w:p>
        </w:tc>
        <w:tc>
          <w:tcPr>
            <w:tcW w:w="0" w:type="auto"/>
          </w:tcPr>
          <w:p w14:paraId="28640C8B" w14:textId="77777777" w:rsidR="0003143D" w:rsidRDefault="0003143D"/>
        </w:tc>
        <w:tc>
          <w:tcPr>
            <w:tcW w:w="0" w:type="auto"/>
          </w:tcPr>
          <w:p w14:paraId="2141E852" w14:textId="77777777" w:rsidR="0003143D" w:rsidRDefault="0003143D"/>
        </w:tc>
        <w:tc>
          <w:tcPr>
            <w:tcW w:w="0" w:type="auto"/>
          </w:tcPr>
          <w:p w14:paraId="787A51A0" w14:textId="77777777" w:rsidR="0003143D" w:rsidRDefault="0003143D"/>
        </w:tc>
        <w:tc>
          <w:tcPr>
            <w:tcW w:w="0" w:type="auto"/>
          </w:tcPr>
          <w:p w14:paraId="079A5E0A" w14:textId="77777777" w:rsidR="0003143D" w:rsidRDefault="0003143D"/>
        </w:tc>
        <w:tc>
          <w:tcPr>
            <w:tcW w:w="0" w:type="auto"/>
          </w:tcPr>
          <w:p w14:paraId="4816634C" w14:textId="77777777" w:rsidR="0003143D" w:rsidRDefault="0003143D"/>
        </w:tc>
        <w:tc>
          <w:tcPr>
            <w:tcW w:w="0" w:type="auto"/>
          </w:tcPr>
          <w:p w14:paraId="1DEC4742" w14:textId="77777777" w:rsidR="0003143D" w:rsidRDefault="0003143D"/>
        </w:tc>
        <w:tc>
          <w:tcPr>
            <w:tcW w:w="0" w:type="auto"/>
          </w:tcPr>
          <w:p w14:paraId="0C7670FE" w14:textId="77777777" w:rsidR="0003143D" w:rsidRDefault="0003143D"/>
        </w:tc>
        <w:tc>
          <w:tcPr>
            <w:tcW w:w="0" w:type="auto"/>
          </w:tcPr>
          <w:p w14:paraId="36D974B9" w14:textId="77777777" w:rsidR="0003143D" w:rsidRDefault="0003143D"/>
        </w:tc>
        <w:tc>
          <w:tcPr>
            <w:tcW w:w="0" w:type="auto"/>
          </w:tcPr>
          <w:p w14:paraId="4F5FBCBD" w14:textId="77777777" w:rsidR="0003143D" w:rsidRDefault="0003143D"/>
        </w:tc>
      </w:tr>
      <w:tr w:rsidR="0003143D" w14:paraId="4F963D4B" w14:textId="77777777">
        <w:tc>
          <w:tcPr>
            <w:tcW w:w="0" w:type="auto"/>
          </w:tcPr>
          <w:p w14:paraId="5CFA90FC" w14:textId="77777777" w:rsidR="0003143D" w:rsidRDefault="00000000">
            <w:pPr>
              <w:pStyle w:val="Compact"/>
            </w:pPr>
            <w:r>
              <w:t>Black/African American</w:t>
            </w:r>
          </w:p>
        </w:tc>
        <w:tc>
          <w:tcPr>
            <w:tcW w:w="0" w:type="auto"/>
          </w:tcPr>
          <w:p w14:paraId="1398FE3F" w14:textId="77777777" w:rsidR="0003143D" w:rsidRDefault="00000000">
            <w:pPr>
              <w:pStyle w:val="Compact"/>
              <w:jc w:val="right"/>
            </w:pPr>
            <w:r>
              <w:t>551</w:t>
            </w:r>
          </w:p>
        </w:tc>
        <w:tc>
          <w:tcPr>
            <w:tcW w:w="0" w:type="auto"/>
          </w:tcPr>
          <w:p w14:paraId="6F5E8389" w14:textId="77777777" w:rsidR="0003143D" w:rsidRDefault="00000000">
            <w:pPr>
              <w:pStyle w:val="Compact"/>
              <w:jc w:val="right"/>
            </w:pPr>
            <w:r>
              <w:t>60</w:t>
            </w:r>
          </w:p>
        </w:tc>
        <w:tc>
          <w:tcPr>
            <w:tcW w:w="0" w:type="auto"/>
          </w:tcPr>
          <w:p w14:paraId="17E91802" w14:textId="77777777" w:rsidR="0003143D" w:rsidRDefault="00000000">
            <w:pPr>
              <w:pStyle w:val="Compact"/>
              <w:jc w:val="right"/>
            </w:pPr>
            <w:r>
              <w:t>18</w:t>
            </w:r>
          </w:p>
        </w:tc>
        <w:tc>
          <w:tcPr>
            <w:tcW w:w="0" w:type="auto"/>
          </w:tcPr>
          <w:p w14:paraId="644AB44E" w14:textId="77777777" w:rsidR="0003143D" w:rsidRDefault="00000000">
            <w:pPr>
              <w:pStyle w:val="Compact"/>
              <w:jc w:val="right"/>
            </w:pPr>
            <w:r>
              <w:t>(12, 23)</w:t>
            </w:r>
          </w:p>
        </w:tc>
        <w:tc>
          <w:tcPr>
            <w:tcW w:w="0" w:type="auto"/>
          </w:tcPr>
          <w:p w14:paraId="20F3FB4A" w14:textId="77777777" w:rsidR="0003143D" w:rsidRDefault="00000000">
            <w:pPr>
              <w:pStyle w:val="Compact"/>
              <w:jc w:val="right"/>
            </w:pPr>
            <w:r>
              <w:t>1.7 (1.1, 2.7)</w:t>
            </w:r>
          </w:p>
        </w:tc>
        <w:tc>
          <w:tcPr>
            <w:tcW w:w="0" w:type="auto"/>
          </w:tcPr>
          <w:p w14:paraId="4AFC0F63" w14:textId="77777777" w:rsidR="0003143D" w:rsidRDefault="00000000">
            <w:pPr>
              <w:pStyle w:val="Compact"/>
              <w:jc w:val="right"/>
            </w:pPr>
            <w:r>
              <w:t>143</w:t>
            </w:r>
          </w:p>
        </w:tc>
        <w:tc>
          <w:tcPr>
            <w:tcW w:w="0" w:type="auto"/>
          </w:tcPr>
          <w:p w14:paraId="42E72A12" w14:textId="77777777" w:rsidR="0003143D" w:rsidRDefault="00000000">
            <w:pPr>
              <w:pStyle w:val="Compact"/>
              <w:jc w:val="right"/>
            </w:pPr>
            <w:r>
              <w:t>29</w:t>
            </w:r>
          </w:p>
        </w:tc>
        <w:tc>
          <w:tcPr>
            <w:tcW w:w="0" w:type="auto"/>
          </w:tcPr>
          <w:p w14:paraId="3945DDF7" w14:textId="77777777" w:rsidR="0003143D" w:rsidRDefault="00000000">
            <w:pPr>
              <w:pStyle w:val="Compact"/>
              <w:jc w:val="right"/>
            </w:pPr>
            <w:r>
              <w:t>(23, 34)</w:t>
            </w:r>
          </w:p>
        </w:tc>
        <w:tc>
          <w:tcPr>
            <w:tcW w:w="0" w:type="auto"/>
          </w:tcPr>
          <w:p w14:paraId="48611603" w14:textId="77777777" w:rsidR="0003143D" w:rsidRDefault="00000000">
            <w:pPr>
              <w:pStyle w:val="Compact"/>
              <w:jc w:val="right"/>
            </w:pPr>
            <w:r>
              <w:t>1.3 (1.0, 1.8)</w:t>
            </w:r>
          </w:p>
        </w:tc>
      </w:tr>
      <w:tr w:rsidR="0003143D" w14:paraId="3C4F4FBA" w14:textId="77777777">
        <w:tc>
          <w:tcPr>
            <w:tcW w:w="0" w:type="auto"/>
          </w:tcPr>
          <w:p w14:paraId="51BA35AB" w14:textId="77777777" w:rsidR="0003143D" w:rsidRDefault="00000000">
            <w:pPr>
              <w:pStyle w:val="Compact"/>
            </w:pPr>
            <w:r>
              <w:t>Hispanic or Latino</w:t>
            </w:r>
          </w:p>
        </w:tc>
        <w:tc>
          <w:tcPr>
            <w:tcW w:w="0" w:type="auto"/>
          </w:tcPr>
          <w:p w14:paraId="6FA9CFA3" w14:textId="77777777" w:rsidR="0003143D" w:rsidRDefault="00000000">
            <w:pPr>
              <w:pStyle w:val="Compact"/>
              <w:jc w:val="right"/>
            </w:pPr>
            <w:r>
              <w:t>382</w:t>
            </w:r>
          </w:p>
        </w:tc>
        <w:tc>
          <w:tcPr>
            <w:tcW w:w="0" w:type="auto"/>
          </w:tcPr>
          <w:p w14:paraId="608F9D58" w14:textId="77777777" w:rsidR="0003143D" w:rsidRDefault="00000000">
            <w:pPr>
              <w:pStyle w:val="Compact"/>
              <w:jc w:val="right"/>
            </w:pPr>
            <w:r>
              <w:t>45</w:t>
            </w:r>
          </w:p>
        </w:tc>
        <w:tc>
          <w:tcPr>
            <w:tcW w:w="0" w:type="auto"/>
          </w:tcPr>
          <w:p w14:paraId="00942000" w14:textId="77777777" w:rsidR="0003143D" w:rsidRDefault="00000000">
            <w:pPr>
              <w:pStyle w:val="Compact"/>
              <w:jc w:val="right"/>
            </w:pPr>
            <w:r>
              <w:t>16</w:t>
            </w:r>
          </w:p>
        </w:tc>
        <w:tc>
          <w:tcPr>
            <w:tcW w:w="0" w:type="auto"/>
          </w:tcPr>
          <w:p w14:paraId="4D9C4A1C" w14:textId="77777777" w:rsidR="0003143D" w:rsidRDefault="00000000">
            <w:pPr>
              <w:pStyle w:val="Compact"/>
              <w:jc w:val="right"/>
            </w:pPr>
            <w:r>
              <w:t>(11, 21)</w:t>
            </w:r>
          </w:p>
        </w:tc>
        <w:tc>
          <w:tcPr>
            <w:tcW w:w="0" w:type="auto"/>
          </w:tcPr>
          <w:p w14:paraId="7FD3F128" w14:textId="77777777" w:rsidR="0003143D" w:rsidRDefault="00000000">
            <w:pPr>
              <w:pStyle w:val="Compact"/>
              <w:jc w:val="right"/>
            </w:pPr>
            <w:r>
              <w:t>1.5 (.9, 2.4)</w:t>
            </w:r>
          </w:p>
        </w:tc>
        <w:tc>
          <w:tcPr>
            <w:tcW w:w="0" w:type="auto"/>
          </w:tcPr>
          <w:p w14:paraId="00D780CC" w14:textId="77777777" w:rsidR="0003143D" w:rsidRDefault="00000000">
            <w:pPr>
              <w:pStyle w:val="Compact"/>
              <w:jc w:val="right"/>
            </w:pPr>
            <w:r>
              <w:t>117</w:t>
            </w:r>
          </w:p>
        </w:tc>
        <w:tc>
          <w:tcPr>
            <w:tcW w:w="0" w:type="auto"/>
          </w:tcPr>
          <w:p w14:paraId="6674CFEC" w14:textId="77777777" w:rsidR="0003143D" w:rsidRDefault="00000000">
            <w:pPr>
              <w:pStyle w:val="Compact"/>
              <w:jc w:val="right"/>
            </w:pPr>
            <w:r>
              <w:t>33</w:t>
            </w:r>
          </w:p>
        </w:tc>
        <w:tc>
          <w:tcPr>
            <w:tcW w:w="0" w:type="auto"/>
          </w:tcPr>
          <w:p w14:paraId="2A598B52" w14:textId="77777777" w:rsidR="0003143D" w:rsidRDefault="00000000">
            <w:pPr>
              <w:pStyle w:val="Compact"/>
              <w:jc w:val="right"/>
            </w:pPr>
            <w:r>
              <w:t>(27, 40)</w:t>
            </w:r>
          </w:p>
        </w:tc>
        <w:tc>
          <w:tcPr>
            <w:tcW w:w="0" w:type="auto"/>
          </w:tcPr>
          <w:p w14:paraId="48428E06" w14:textId="77777777" w:rsidR="0003143D" w:rsidRDefault="00000000">
            <w:pPr>
              <w:pStyle w:val="Compact"/>
              <w:jc w:val="right"/>
            </w:pPr>
            <w:r>
              <w:t>1.6 (1.2, 2.2)</w:t>
            </w:r>
          </w:p>
        </w:tc>
      </w:tr>
      <w:tr w:rsidR="0003143D" w14:paraId="005B79CC" w14:textId="77777777">
        <w:tc>
          <w:tcPr>
            <w:tcW w:w="0" w:type="auto"/>
          </w:tcPr>
          <w:p w14:paraId="49B25A5A" w14:textId="77777777" w:rsidR="0003143D" w:rsidRDefault="00000000">
            <w:pPr>
              <w:pStyle w:val="Compact"/>
            </w:pPr>
            <w:r>
              <w:t>White</w:t>
            </w:r>
          </w:p>
        </w:tc>
        <w:tc>
          <w:tcPr>
            <w:tcW w:w="0" w:type="auto"/>
          </w:tcPr>
          <w:p w14:paraId="5A4108FC" w14:textId="77777777" w:rsidR="0003143D" w:rsidRDefault="00000000">
            <w:pPr>
              <w:pStyle w:val="Compact"/>
              <w:jc w:val="right"/>
            </w:pPr>
            <w:r>
              <w:t>2563</w:t>
            </w:r>
          </w:p>
        </w:tc>
        <w:tc>
          <w:tcPr>
            <w:tcW w:w="0" w:type="auto"/>
          </w:tcPr>
          <w:p w14:paraId="0C0280AB" w14:textId="77777777" w:rsidR="0003143D" w:rsidRDefault="00000000">
            <w:pPr>
              <w:pStyle w:val="Compact"/>
              <w:jc w:val="right"/>
            </w:pPr>
            <w:r>
              <w:t>276</w:t>
            </w:r>
          </w:p>
        </w:tc>
        <w:tc>
          <w:tcPr>
            <w:tcW w:w="0" w:type="auto"/>
          </w:tcPr>
          <w:p w14:paraId="570EE0C8" w14:textId="77777777" w:rsidR="0003143D" w:rsidRDefault="00000000">
            <w:pPr>
              <w:pStyle w:val="Compact"/>
              <w:jc w:val="right"/>
            </w:pPr>
            <w:r>
              <w:t>12</w:t>
            </w:r>
          </w:p>
        </w:tc>
        <w:tc>
          <w:tcPr>
            <w:tcW w:w="0" w:type="auto"/>
          </w:tcPr>
          <w:p w14:paraId="70D24F7D" w14:textId="77777777" w:rsidR="0003143D" w:rsidRDefault="00000000">
            <w:pPr>
              <w:pStyle w:val="Compact"/>
              <w:jc w:val="right"/>
            </w:pPr>
            <w:r>
              <w:t>(10, 13)</w:t>
            </w:r>
          </w:p>
        </w:tc>
        <w:tc>
          <w:tcPr>
            <w:tcW w:w="0" w:type="auto"/>
          </w:tcPr>
          <w:p w14:paraId="4F4071C2" w14:textId="77777777" w:rsidR="0003143D" w:rsidRDefault="00000000">
            <w:pPr>
              <w:pStyle w:val="Compact"/>
              <w:jc w:val="right"/>
            </w:pPr>
            <w:r>
              <w:t>ref</w:t>
            </w:r>
          </w:p>
        </w:tc>
        <w:tc>
          <w:tcPr>
            <w:tcW w:w="0" w:type="auto"/>
          </w:tcPr>
          <w:p w14:paraId="76590959" w14:textId="77777777" w:rsidR="0003143D" w:rsidRDefault="00000000">
            <w:pPr>
              <w:pStyle w:val="Compact"/>
              <w:jc w:val="right"/>
            </w:pPr>
            <w:r>
              <w:t>586</w:t>
            </w:r>
          </w:p>
        </w:tc>
        <w:tc>
          <w:tcPr>
            <w:tcW w:w="0" w:type="auto"/>
          </w:tcPr>
          <w:p w14:paraId="50C88E6C" w14:textId="77777777" w:rsidR="0003143D" w:rsidRDefault="00000000">
            <w:pPr>
              <w:pStyle w:val="Compact"/>
              <w:jc w:val="right"/>
            </w:pPr>
            <w:r>
              <w:t>24</w:t>
            </w:r>
          </w:p>
        </w:tc>
        <w:tc>
          <w:tcPr>
            <w:tcW w:w="0" w:type="auto"/>
          </w:tcPr>
          <w:p w14:paraId="390C9F13" w14:textId="77777777" w:rsidR="0003143D" w:rsidRDefault="00000000">
            <w:pPr>
              <w:pStyle w:val="Compact"/>
              <w:jc w:val="right"/>
            </w:pPr>
            <w:r>
              <w:t>(22, 26)</w:t>
            </w:r>
          </w:p>
        </w:tc>
        <w:tc>
          <w:tcPr>
            <w:tcW w:w="0" w:type="auto"/>
          </w:tcPr>
          <w:p w14:paraId="343F6D93" w14:textId="77777777" w:rsidR="0003143D" w:rsidRDefault="00000000">
            <w:pPr>
              <w:pStyle w:val="Compact"/>
              <w:jc w:val="right"/>
            </w:pPr>
            <w:r>
              <w:t>ref</w:t>
            </w:r>
          </w:p>
        </w:tc>
      </w:tr>
      <w:tr w:rsidR="0003143D" w14:paraId="00D88384" w14:textId="77777777">
        <w:tc>
          <w:tcPr>
            <w:tcW w:w="0" w:type="auto"/>
          </w:tcPr>
          <w:p w14:paraId="505C2EF8" w14:textId="77777777" w:rsidR="0003143D" w:rsidRDefault="00000000">
            <w:pPr>
              <w:pStyle w:val="Compact"/>
            </w:pPr>
            <w:r>
              <w:rPr>
                <w:b/>
                <w:bCs/>
              </w:rPr>
              <w:t>Educational attainment</w:t>
            </w:r>
          </w:p>
        </w:tc>
        <w:tc>
          <w:tcPr>
            <w:tcW w:w="0" w:type="auto"/>
          </w:tcPr>
          <w:p w14:paraId="7B82D235" w14:textId="77777777" w:rsidR="0003143D" w:rsidRDefault="0003143D"/>
        </w:tc>
        <w:tc>
          <w:tcPr>
            <w:tcW w:w="0" w:type="auto"/>
          </w:tcPr>
          <w:p w14:paraId="64C73BFB" w14:textId="77777777" w:rsidR="0003143D" w:rsidRDefault="0003143D"/>
        </w:tc>
        <w:tc>
          <w:tcPr>
            <w:tcW w:w="0" w:type="auto"/>
          </w:tcPr>
          <w:p w14:paraId="4A54E86C" w14:textId="77777777" w:rsidR="0003143D" w:rsidRDefault="0003143D"/>
        </w:tc>
        <w:tc>
          <w:tcPr>
            <w:tcW w:w="0" w:type="auto"/>
          </w:tcPr>
          <w:p w14:paraId="366541B7" w14:textId="77777777" w:rsidR="0003143D" w:rsidRDefault="0003143D"/>
        </w:tc>
        <w:tc>
          <w:tcPr>
            <w:tcW w:w="0" w:type="auto"/>
          </w:tcPr>
          <w:p w14:paraId="6596D216" w14:textId="77777777" w:rsidR="0003143D" w:rsidRDefault="0003143D"/>
        </w:tc>
        <w:tc>
          <w:tcPr>
            <w:tcW w:w="0" w:type="auto"/>
          </w:tcPr>
          <w:p w14:paraId="66067034" w14:textId="77777777" w:rsidR="0003143D" w:rsidRDefault="0003143D"/>
        </w:tc>
        <w:tc>
          <w:tcPr>
            <w:tcW w:w="0" w:type="auto"/>
          </w:tcPr>
          <w:p w14:paraId="200B6F68" w14:textId="77777777" w:rsidR="0003143D" w:rsidRDefault="0003143D"/>
        </w:tc>
        <w:tc>
          <w:tcPr>
            <w:tcW w:w="0" w:type="auto"/>
          </w:tcPr>
          <w:p w14:paraId="71BDAD90" w14:textId="77777777" w:rsidR="0003143D" w:rsidRDefault="0003143D"/>
        </w:tc>
        <w:tc>
          <w:tcPr>
            <w:tcW w:w="0" w:type="auto"/>
          </w:tcPr>
          <w:p w14:paraId="14B863C7" w14:textId="77777777" w:rsidR="0003143D" w:rsidRDefault="0003143D"/>
        </w:tc>
      </w:tr>
      <w:tr w:rsidR="0003143D" w14:paraId="66586B6B" w14:textId="77777777">
        <w:tc>
          <w:tcPr>
            <w:tcW w:w="0" w:type="auto"/>
          </w:tcPr>
          <w:p w14:paraId="0D3A179A" w14:textId="77777777" w:rsidR="0003143D" w:rsidRDefault="00000000">
            <w:pPr>
              <w:pStyle w:val="Compact"/>
            </w:pPr>
            <w:r>
              <w:t>Less than HS</w:t>
            </w:r>
          </w:p>
        </w:tc>
        <w:tc>
          <w:tcPr>
            <w:tcW w:w="0" w:type="auto"/>
          </w:tcPr>
          <w:p w14:paraId="08A82EB7" w14:textId="77777777" w:rsidR="0003143D" w:rsidRDefault="00000000">
            <w:pPr>
              <w:pStyle w:val="Compact"/>
              <w:jc w:val="right"/>
            </w:pPr>
            <w:r>
              <w:t>715</w:t>
            </w:r>
          </w:p>
        </w:tc>
        <w:tc>
          <w:tcPr>
            <w:tcW w:w="0" w:type="auto"/>
          </w:tcPr>
          <w:p w14:paraId="3714D133" w14:textId="77777777" w:rsidR="0003143D" w:rsidRDefault="00000000">
            <w:pPr>
              <w:pStyle w:val="Compact"/>
              <w:jc w:val="right"/>
            </w:pPr>
            <w:r>
              <w:t>119</w:t>
            </w:r>
          </w:p>
        </w:tc>
        <w:tc>
          <w:tcPr>
            <w:tcW w:w="0" w:type="auto"/>
          </w:tcPr>
          <w:p w14:paraId="34AA61E4" w14:textId="77777777" w:rsidR="0003143D" w:rsidRDefault="00000000">
            <w:pPr>
              <w:pStyle w:val="Compact"/>
              <w:jc w:val="right"/>
            </w:pPr>
            <w:r>
              <w:t>20</w:t>
            </w:r>
          </w:p>
        </w:tc>
        <w:tc>
          <w:tcPr>
            <w:tcW w:w="0" w:type="auto"/>
          </w:tcPr>
          <w:p w14:paraId="077A2739" w14:textId="77777777" w:rsidR="0003143D" w:rsidRDefault="00000000">
            <w:pPr>
              <w:pStyle w:val="Compact"/>
              <w:jc w:val="right"/>
            </w:pPr>
            <w:r>
              <w:t>(16, 24)</w:t>
            </w:r>
          </w:p>
        </w:tc>
        <w:tc>
          <w:tcPr>
            <w:tcW w:w="0" w:type="auto"/>
          </w:tcPr>
          <w:p w14:paraId="743F5C71" w14:textId="77777777" w:rsidR="0003143D" w:rsidRDefault="00000000">
            <w:pPr>
              <w:pStyle w:val="Compact"/>
              <w:jc w:val="right"/>
            </w:pPr>
            <w:r>
              <w:t>2.0 (1.3, 3.0)</w:t>
            </w:r>
          </w:p>
        </w:tc>
        <w:tc>
          <w:tcPr>
            <w:tcW w:w="0" w:type="auto"/>
          </w:tcPr>
          <w:p w14:paraId="3DCA57BB" w14:textId="77777777" w:rsidR="0003143D" w:rsidRDefault="00000000">
            <w:pPr>
              <w:pStyle w:val="Compact"/>
              <w:jc w:val="right"/>
            </w:pPr>
            <w:r>
              <w:t>215</w:t>
            </w:r>
          </w:p>
        </w:tc>
        <w:tc>
          <w:tcPr>
            <w:tcW w:w="0" w:type="auto"/>
          </w:tcPr>
          <w:p w14:paraId="1694845E" w14:textId="77777777" w:rsidR="0003143D" w:rsidRDefault="00000000">
            <w:pPr>
              <w:pStyle w:val="Compact"/>
              <w:jc w:val="right"/>
            </w:pPr>
            <w:r>
              <w:t>33</w:t>
            </w:r>
          </w:p>
        </w:tc>
        <w:tc>
          <w:tcPr>
            <w:tcW w:w="0" w:type="auto"/>
          </w:tcPr>
          <w:p w14:paraId="5AA6BF0C" w14:textId="77777777" w:rsidR="0003143D" w:rsidRDefault="00000000">
            <w:pPr>
              <w:pStyle w:val="Compact"/>
              <w:jc w:val="right"/>
            </w:pPr>
            <w:r>
              <w:t>(28, 37)</w:t>
            </w:r>
          </w:p>
        </w:tc>
        <w:tc>
          <w:tcPr>
            <w:tcW w:w="0" w:type="auto"/>
          </w:tcPr>
          <w:p w14:paraId="49FC1257" w14:textId="77777777" w:rsidR="0003143D" w:rsidRDefault="00000000">
            <w:pPr>
              <w:pStyle w:val="Compact"/>
              <w:jc w:val="right"/>
            </w:pPr>
            <w:r>
              <w:t>1.5 (1.1, 2.1)</w:t>
            </w:r>
          </w:p>
        </w:tc>
      </w:tr>
      <w:tr w:rsidR="0003143D" w14:paraId="0D70A744" w14:textId="77777777">
        <w:tc>
          <w:tcPr>
            <w:tcW w:w="0" w:type="auto"/>
          </w:tcPr>
          <w:p w14:paraId="691DE393" w14:textId="77777777" w:rsidR="0003143D" w:rsidRDefault="00000000">
            <w:pPr>
              <w:pStyle w:val="Compact"/>
            </w:pPr>
            <w:r>
              <w:t>High school</w:t>
            </w:r>
          </w:p>
        </w:tc>
        <w:tc>
          <w:tcPr>
            <w:tcW w:w="0" w:type="auto"/>
          </w:tcPr>
          <w:p w14:paraId="3AB07A56" w14:textId="77777777" w:rsidR="0003143D" w:rsidRDefault="00000000">
            <w:pPr>
              <w:pStyle w:val="Compact"/>
              <w:jc w:val="right"/>
            </w:pPr>
            <w:r>
              <w:t>1166</w:t>
            </w:r>
          </w:p>
        </w:tc>
        <w:tc>
          <w:tcPr>
            <w:tcW w:w="0" w:type="auto"/>
          </w:tcPr>
          <w:p w14:paraId="1F51F95B" w14:textId="77777777" w:rsidR="0003143D" w:rsidRDefault="00000000">
            <w:pPr>
              <w:pStyle w:val="Compact"/>
              <w:jc w:val="right"/>
            </w:pPr>
            <w:r>
              <w:t>116</w:t>
            </w:r>
          </w:p>
        </w:tc>
        <w:tc>
          <w:tcPr>
            <w:tcW w:w="0" w:type="auto"/>
          </w:tcPr>
          <w:p w14:paraId="26D7CFCF" w14:textId="77777777" w:rsidR="0003143D" w:rsidRDefault="00000000">
            <w:pPr>
              <w:pStyle w:val="Compact"/>
              <w:jc w:val="right"/>
            </w:pPr>
            <w:r>
              <w:t>10</w:t>
            </w:r>
          </w:p>
        </w:tc>
        <w:tc>
          <w:tcPr>
            <w:tcW w:w="0" w:type="auto"/>
          </w:tcPr>
          <w:p w14:paraId="404BF112" w14:textId="77777777" w:rsidR="0003143D" w:rsidRDefault="00000000">
            <w:pPr>
              <w:pStyle w:val="Compact"/>
              <w:jc w:val="right"/>
            </w:pPr>
            <w:r>
              <w:t>(8, 12)</w:t>
            </w:r>
          </w:p>
        </w:tc>
        <w:tc>
          <w:tcPr>
            <w:tcW w:w="0" w:type="auto"/>
          </w:tcPr>
          <w:p w14:paraId="3C6C1435" w14:textId="77777777" w:rsidR="0003143D" w:rsidRDefault="00000000">
            <w:pPr>
              <w:pStyle w:val="Compact"/>
              <w:jc w:val="right"/>
            </w:pPr>
            <w:r>
              <w:t>.8 (.6, 1.2)</w:t>
            </w:r>
          </w:p>
        </w:tc>
        <w:tc>
          <w:tcPr>
            <w:tcW w:w="0" w:type="auto"/>
          </w:tcPr>
          <w:p w14:paraId="195018D6" w14:textId="77777777" w:rsidR="0003143D" w:rsidRDefault="00000000">
            <w:pPr>
              <w:pStyle w:val="Compact"/>
              <w:jc w:val="right"/>
            </w:pPr>
            <w:r>
              <w:t>255</w:t>
            </w:r>
          </w:p>
        </w:tc>
        <w:tc>
          <w:tcPr>
            <w:tcW w:w="0" w:type="auto"/>
          </w:tcPr>
          <w:p w14:paraId="30D58C94" w14:textId="77777777" w:rsidR="0003143D" w:rsidRDefault="00000000">
            <w:pPr>
              <w:pStyle w:val="Compact"/>
              <w:jc w:val="right"/>
            </w:pPr>
            <w:r>
              <w:t>21</w:t>
            </w:r>
          </w:p>
        </w:tc>
        <w:tc>
          <w:tcPr>
            <w:tcW w:w="0" w:type="auto"/>
          </w:tcPr>
          <w:p w14:paraId="0B7EE482" w14:textId="77777777" w:rsidR="0003143D" w:rsidRDefault="00000000">
            <w:pPr>
              <w:pStyle w:val="Compact"/>
              <w:jc w:val="right"/>
            </w:pPr>
            <w:r>
              <w:t>(18, 24)</w:t>
            </w:r>
          </w:p>
        </w:tc>
        <w:tc>
          <w:tcPr>
            <w:tcW w:w="0" w:type="auto"/>
          </w:tcPr>
          <w:p w14:paraId="1E11016E" w14:textId="77777777" w:rsidR="0003143D" w:rsidRDefault="00000000">
            <w:pPr>
              <w:pStyle w:val="Compact"/>
              <w:jc w:val="right"/>
            </w:pPr>
            <w:r>
              <w:t>.8 (.6, 1.1)</w:t>
            </w:r>
          </w:p>
        </w:tc>
      </w:tr>
      <w:tr w:rsidR="0003143D" w14:paraId="661DA71E" w14:textId="77777777">
        <w:tc>
          <w:tcPr>
            <w:tcW w:w="0" w:type="auto"/>
          </w:tcPr>
          <w:p w14:paraId="35CD8810" w14:textId="77777777" w:rsidR="0003143D" w:rsidRDefault="00000000">
            <w:pPr>
              <w:pStyle w:val="Compact"/>
            </w:pPr>
            <w:r>
              <w:t>Some college</w:t>
            </w:r>
          </w:p>
        </w:tc>
        <w:tc>
          <w:tcPr>
            <w:tcW w:w="0" w:type="auto"/>
          </w:tcPr>
          <w:p w14:paraId="28E995AC" w14:textId="77777777" w:rsidR="0003143D" w:rsidRDefault="00000000">
            <w:pPr>
              <w:pStyle w:val="Compact"/>
              <w:jc w:val="right"/>
            </w:pPr>
            <w:r>
              <w:t>764</w:t>
            </w:r>
          </w:p>
        </w:tc>
        <w:tc>
          <w:tcPr>
            <w:tcW w:w="0" w:type="auto"/>
          </w:tcPr>
          <w:p w14:paraId="241FA261" w14:textId="77777777" w:rsidR="0003143D" w:rsidRDefault="00000000">
            <w:pPr>
              <w:pStyle w:val="Compact"/>
              <w:jc w:val="right"/>
            </w:pPr>
            <w:r>
              <w:t>59</w:t>
            </w:r>
          </w:p>
        </w:tc>
        <w:tc>
          <w:tcPr>
            <w:tcW w:w="0" w:type="auto"/>
          </w:tcPr>
          <w:p w14:paraId="6CA5343C" w14:textId="77777777" w:rsidR="0003143D" w:rsidRDefault="00000000">
            <w:pPr>
              <w:pStyle w:val="Compact"/>
              <w:jc w:val="right"/>
            </w:pPr>
            <w:r>
              <w:t>11</w:t>
            </w:r>
          </w:p>
        </w:tc>
        <w:tc>
          <w:tcPr>
            <w:tcW w:w="0" w:type="auto"/>
          </w:tcPr>
          <w:p w14:paraId="18D1C933" w14:textId="77777777" w:rsidR="0003143D" w:rsidRDefault="00000000">
            <w:pPr>
              <w:pStyle w:val="Compact"/>
              <w:jc w:val="right"/>
            </w:pPr>
            <w:r>
              <w:t>(8, 14)</w:t>
            </w:r>
          </w:p>
        </w:tc>
        <w:tc>
          <w:tcPr>
            <w:tcW w:w="0" w:type="auto"/>
          </w:tcPr>
          <w:p w14:paraId="4320767B" w14:textId="77777777" w:rsidR="0003143D" w:rsidRDefault="00000000">
            <w:pPr>
              <w:pStyle w:val="Compact"/>
              <w:jc w:val="right"/>
            </w:pPr>
            <w:r>
              <w:t>.8 (.5, 1.3)</w:t>
            </w:r>
          </w:p>
        </w:tc>
        <w:tc>
          <w:tcPr>
            <w:tcW w:w="0" w:type="auto"/>
          </w:tcPr>
          <w:p w14:paraId="4F6E1510" w14:textId="77777777" w:rsidR="0003143D" w:rsidRDefault="00000000">
            <w:pPr>
              <w:pStyle w:val="Compact"/>
              <w:jc w:val="right"/>
            </w:pPr>
            <w:r>
              <w:t>188</w:t>
            </w:r>
          </w:p>
        </w:tc>
        <w:tc>
          <w:tcPr>
            <w:tcW w:w="0" w:type="auto"/>
          </w:tcPr>
          <w:p w14:paraId="4D2AF27C" w14:textId="77777777" w:rsidR="0003143D" w:rsidRDefault="00000000">
            <w:pPr>
              <w:pStyle w:val="Compact"/>
              <w:jc w:val="right"/>
            </w:pPr>
            <w:r>
              <w:t>26</w:t>
            </w:r>
          </w:p>
        </w:tc>
        <w:tc>
          <w:tcPr>
            <w:tcW w:w="0" w:type="auto"/>
          </w:tcPr>
          <w:p w14:paraId="03A55990" w14:textId="77777777" w:rsidR="0003143D" w:rsidRDefault="00000000">
            <w:pPr>
              <w:pStyle w:val="Compact"/>
              <w:jc w:val="right"/>
            </w:pPr>
            <w:r>
              <w:t>(22, 30)</w:t>
            </w:r>
          </w:p>
        </w:tc>
        <w:tc>
          <w:tcPr>
            <w:tcW w:w="0" w:type="auto"/>
          </w:tcPr>
          <w:p w14:paraId="7969ACF8" w14:textId="77777777" w:rsidR="0003143D" w:rsidRDefault="00000000">
            <w:pPr>
              <w:pStyle w:val="Compact"/>
              <w:jc w:val="right"/>
            </w:pPr>
            <w:r>
              <w:t>1.1 (.8, 1.5)</w:t>
            </w:r>
          </w:p>
        </w:tc>
      </w:tr>
      <w:tr w:rsidR="0003143D" w14:paraId="4F7AB0D6" w14:textId="77777777">
        <w:tc>
          <w:tcPr>
            <w:tcW w:w="0" w:type="auto"/>
          </w:tcPr>
          <w:p w14:paraId="1AA12203" w14:textId="77777777" w:rsidR="0003143D" w:rsidRDefault="00000000">
            <w:pPr>
              <w:pStyle w:val="Compact"/>
            </w:pPr>
            <w:r>
              <w:t>College degree or more</w:t>
            </w:r>
          </w:p>
        </w:tc>
        <w:tc>
          <w:tcPr>
            <w:tcW w:w="0" w:type="auto"/>
          </w:tcPr>
          <w:p w14:paraId="32A28716" w14:textId="77777777" w:rsidR="0003143D" w:rsidRDefault="00000000">
            <w:pPr>
              <w:pStyle w:val="Compact"/>
              <w:jc w:val="right"/>
            </w:pPr>
            <w:r>
              <w:t>851</w:t>
            </w:r>
          </w:p>
        </w:tc>
        <w:tc>
          <w:tcPr>
            <w:tcW w:w="0" w:type="auto"/>
          </w:tcPr>
          <w:p w14:paraId="20252119" w14:textId="77777777" w:rsidR="0003143D" w:rsidRDefault="00000000">
            <w:pPr>
              <w:pStyle w:val="Compact"/>
              <w:jc w:val="right"/>
            </w:pPr>
            <w:r>
              <w:t>87</w:t>
            </w:r>
          </w:p>
        </w:tc>
        <w:tc>
          <w:tcPr>
            <w:tcW w:w="0" w:type="auto"/>
          </w:tcPr>
          <w:p w14:paraId="4B738835" w14:textId="77777777" w:rsidR="0003143D" w:rsidRDefault="00000000">
            <w:pPr>
              <w:pStyle w:val="Compact"/>
              <w:jc w:val="right"/>
            </w:pPr>
            <w:r>
              <w:t>12</w:t>
            </w:r>
          </w:p>
        </w:tc>
        <w:tc>
          <w:tcPr>
            <w:tcW w:w="0" w:type="auto"/>
          </w:tcPr>
          <w:p w14:paraId="2A3D4813" w14:textId="77777777" w:rsidR="0003143D" w:rsidRDefault="00000000">
            <w:pPr>
              <w:pStyle w:val="Compact"/>
              <w:jc w:val="right"/>
            </w:pPr>
            <w:r>
              <w:t>(10, 15)</w:t>
            </w:r>
          </w:p>
        </w:tc>
        <w:tc>
          <w:tcPr>
            <w:tcW w:w="0" w:type="auto"/>
          </w:tcPr>
          <w:p w14:paraId="0C02CD2F" w14:textId="77777777" w:rsidR="0003143D" w:rsidRDefault="00000000">
            <w:pPr>
              <w:pStyle w:val="Compact"/>
              <w:jc w:val="right"/>
            </w:pPr>
            <w:r>
              <w:t>ref</w:t>
            </w:r>
          </w:p>
        </w:tc>
        <w:tc>
          <w:tcPr>
            <w:tcW w:w="0" w:type="auto"/>
          </w:tcPr>
          <w:p w14:paraId="6286341A" w14:textId="77777777" w:rsidR="0003143D" w:rsidRDefault="00000000">
            <w:pPr>
              <w:pStyle w:val="Compact"/>
              <w:jc w:val="right"/>
            </w:pPr>
            <w:r>
              <w:t>188</w:t>
            </w:r>
          </w:p>
        </w:tc>
        <w:tc>
          <w:tcPr>
            <w:tcW w:w="0" w:type="auto"/>
          </w:tcPr>
          <w:p w14:paraId="5189B3D8" w14:textId="77777777" w:rsidR="0003143D" w:rsidRDefault="00000000">
            <w:pPr>
              <w:pStyle w:val="Compact"/>
              <w:jc w:val="right"/>
            </w:pPr>
            <w:r>
              <w:t>24</w:t>
            </w:r>
          </w:p>
        </w:tc>
        <w:tc>
          <w:tcPr>
            <w:tcW w:w="0" w:type="auto"/>
          </w:tcPr>
          <w:p w14:paraId="2AC53C9D" w14:textId="77777777" w:rsidR="0003143D" w:rsidRDefault="00000000">
            <w:pPr>
              <w:pStyle w:val="Compact"/>
              <w:jc w:val="right"/>
            </w:pPr>
            <w:r>
              <w:t>(21, 28)</w:t>
            </w:r>
          </w:p>
        </w:tc>
        <w:tc>
          <w:tcPr>
            <w:tcW w:w="0" w:type="auto"/>
          </w:tcPr>
          <w:p w14:paraId="6BB31006" w14:textId="77777777" w:rsidR="0003143D" w:rsidRDefault="00000000">
            <w:pPr>
              <w:pStyle w:val="Compact"/>
              <w:jc w:val="right"/>
            </w:pPr>
            <w:r>
              <w:t>ref</w:t>
            </w:r>
          </w:p>
        </w:tc>
      </w:tr>
    </w:tbl>
    <w:p w14:paraId="30DEE8EB" w14:textId="77777777" w:rsidR="0003143D" w:rsidRDefault="00000000">
      <w:pPr>
        <w:pStyle w:val="BodyText"/>
      </w:pPr>
      <w:r>
        <w:t>Notes: N, observed number in variable category with AD or MCI; %, prevalence of dementia or MCI in variable category, estimated with sampling weights; CI, confidence interval; OR, odds ratio estimated with sampling weights; Marginal prevalence estimates for sex, race and ethnicity, and educational attainment reflect adjustment for age.</w:t>
      </w:r>
    </w:p>
    <w:p w14:paraId="729A5DC7" w14:textId="77777777" w:rsidR="0003143D" w:rsidRDefault="00000000">
      <w:pPr>
        <w:pStyle w:val="BodyText"/>
      </w:pPr>
      <w:r>
        <w:rPr>
          <w:b/>
          <w:bCs/>
        </w:rPr>
        <w:t>Prevalence of dementia and MCI limiting to persons with age 71 and older</w:t>
      </w:r>
    </w:p>
    <w:p w14:paraId="270C9667" w14:textId="77777777" w:rsidR="0003143D" w:rsidRDefault="00000000">
      <w:pPr>
        <w:pStyle w:val="BodyText"/>
      </w:pPr>
      <w:r>
        <w:t>To compare prevalence estimates more directly to those obtained in HRS/ADAMS, we restrict to those aged at least 71 years at the time of HCAP Interview (N = 2537).</w:t>
      </w:r>
    </w:p>
    <w:p w14:paraId="28F2B1AE" w14:textId="77777777" w:rsidR="0003143D" w:rsidRDefault="00000000">
      <w:pPr>
        <w:pStyle w:val="BodyText"/>
      </w:pPr>
      <w:r>
        <w:lastRenderedPageBreak/>
        <w:t>Among these participants, 622 were classified as having MCI (weighted prevalence 23.6%, 95% CI: 21.7,25.7), and 343 were classified as having dementia (weighted prevalence 13.4%, 95% CI: 11.8,15).</w:t>
      </w:r>
    </w:p>
    <w:p w14:paraId="019725E6" w14:textId="77777777" w:rsidR="0003143D" w:rsidRDefault="00000000">
      <w:pPr>
        <w:pStyle w:val="BodyText"/>
      </w:pPr>
      <w:r>
        <w:t>(fin)</w:t>
      </w:r>
      <w:bookmarkEnd w:id="1"/>
    </w:p>
    <w:sectPr w:rsidR="0003143D" w:rsidSect="00A0085E">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1F3D8" w14:textId="77777777" w:rsidR="00DF3677" w:rsidRDefault="00DF3677">
      <w:r>
        <w:separator/>
      </w:r>
    </w:p>
  </w:endnote>
  <w:endnote w:type="continuationSeparator" w:id="0">
    <w:p w14:paraId="3EB93715" w14:textId="77777777" w:rsidR="00DF3677" w:rsidRDefault="00DF3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42820"/>
      <w:docPartObj>
        <w:docPartGallery w:val="Page Numbers (Bottom of Page)"/>
        <w:docPartUnique/>
      </w:docPartObj>
    </w:sdtPr>
    <w:sdtContent>
      <w:p w14:paraId="122DF1E7" w14:textId="77777777" w:rsidR="00A0085E" w:rsidRDefault="00000000" w:rsidP="00C05B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A5F5ED" w14:textId="77777777" w:rsidR="00A0085E" w:rsidRDefault="00000000" w:rsidP="00A008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559779"/>
      <w:docPartObj>
        <w:docPartGallery w:val="Page Numbers (Bottom of Page)"/>
        <w:docPartUnique/>
      </w:docPartObj>
    </w:sdtPr>
    <w:sdtContent>
      <w:p w14:paraId="74F99CD7" w14:textId="77777777" w:rsidR="00A0085E" w:rsidRDefault="00000000" w:rsidP="00C05B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02DB3E" w14:textId="77777777" w:rsidR="00A0085E" w:rsidRDefault="00000000" w:rsidP="00A0085E">
    <w:pPr>
      <w:pStyle w:val="Footer"/>
      <w:ind w:right="360"/>
    </w:pPr>
    <w:r>
      <w:fldChar w:fldCharType="begin"/>
    </w:r>
    <w:r>
      <w:instrText xml:space="preserve"> DATE \@ "yyyy-MM-dd" \* MERGEFORMAT </w:instrText>
    </w:r>
    <w:r>
      <w:fldChar w:fldCharType="separate"/>
    </w:r>
    <w:r w:rsidR="0011555C">
      <w:rPr>
        <w:noProof/>
      </w:rPr>
      <w:t>2022-06-20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ED352" w14:textId="77777777" w:rsidR="00DF3677" w:rsidRDefault="00DF3677">
      <w:r>
        <w:separator/>
      </w:r>
    </w:p>
  </w:footnote>
  <w:footnote w:type="continuationSeparator" w:id="0">
    <w:p w14:paraId="2F282BB3" w14:textId="77777777" w:rsidR="00DF3677" w:rsidRDefault="00DF36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2E4F9B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F3720BA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79A2C2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2F21EC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7A09B8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A00A3D2"/>
    <w:lvl w:ilvl="0">
      <w:start w:val="1"/>
      <w:numFmt w:val="bullet"/>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3F82C76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BEC3A3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CA221D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486DE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5F2BA6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5E86BE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71315DCA"/>
    <w:multiLevelType w:val="multilevel"/>
    <w:tmpl w:val="B796AE96"/>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1682244084">
    <w:abstractNumId w:val="11"/>
  </w:num>
  <w:num w:numId="2" w16cid:durableId="1167482128">
    <w:abstractNumId w:val="0"/>
  </w:num>
  <w:num w:numId="3" w16cid:durableId="4982084">
    <w:abstractNumId w:val="0"/>
  </w:num>
  <w:num w:numId="4" w16cid:durableId="1420373512">
    <w:abstractNumId w:val="0"/>
  </w:num>
  <w:num w:numId="5" w16cid:durableId="1894535841">
    <w:abstractNumId w:val="0"/>
  </w:num>
  <w:num w:numId="6" w16cid:durableId="1250576026">
    <w:abstractNumId w:val="0"/>
  </w:num>
  <w:num w:numId="7" w16cid:durableId="786628856">
    <w:abstractNumId w:val="0"/>
  </w:num>
  <w:num w:numId="8" w16cid:durableId="152382218">
    <w:abstractNumId w:val="0"/>
  </w:num>
  <w:num w:numId="9" w16cid:durableId="283115983">
    <w:abstractNumId w:val="0"/>
  </w:num>
  <w:num w:numId="10" w16cid:durableId="9504301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70847588">
    <w:abstractNumId w:val="1"/>
  </w:num>
  <w:num w:numId="12" w16cid:durableId="943615432">
    <w:abstractNumId w:val="2"/>
  </w:num>
  <w:num w:numId="13" w16cid:durableId="2064912372">
    <w:abstractNumId w:val="3"/>
  </w:num>
  <w:num w:numId="14" w16cid:durableId="1246645854">
    <w:abstractNumId w:val="4"/>
  </w:num>
  <w:num w:numId="15" w16cid:durableId="1220169534">
    <w:abstractNumId w:val="9"/>
  </w:num>
  <w:num w:numId="16" w16cid:durableId="442724220">
    <w:abstractNumId w:val="5"/>
  </w:num>
  <w:num w:numId="17" w16cid:durableId="543835778">
    <w:abstractNumId w:val="6"/>
  </w:num>
  <w:num w:numId="18" w16cid:durableId="848102206">
    <w:abstractNumId w:val="7"/>
  </w:num>
  <w:num w:numId="19" w16cid:durableId="488787973">
    <w:abstractNumId w:val="8"/>
  </w:num>
  <w:num w:numId="20" w16cid:durableId="1871989075">
    <w:abstractNumId w:val="10"/>
  </w:num>
  <w:num w:numId="21" w16cid:durableId="915436428">
    <w:abstractNumId w:val="11"/>
  </w:num>
  <w:num w:numId="22" w16cid:durableId="1545874240">
    <w:abstractNumId w:val="0"/>
  </w:num>
  <w:num w:numId="23" w16cid:durableId="282158747">
    <w:abstractNumId w:val="0"/>
  </w:num>
  <w:num w:numId="24" w16cid:durableId="288635782">
    <w:abstractNumId w:val="0"/>
  </w:num>
  <w:num w:numId="25" w16cid:durableId="1234313659">
    <w:abstractNumId w:val="0"/>
  </w:num>
  <w:num w:numId="26" w16cid:durableId="941959464">
    <w:abstractNumId w:val="0"/>
  </w:num>
  <w:num w:numId="27" w16cid:durableId="634482428">
    <w:abstractNumId w:val="0"/>
  </w:num>
  <w:num w:numId="28" w16cid:durableId="1976566069">
    <w:abstractNumId w:val="0"/>
  </w:num>
  <w:num w:numId="29" w16cid:durableId="717166368">
    <w:abstractNumId w:val="0"/>
  </w:num>
  <w:num w:numId="30" w16cid:durableId="2875925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73550244">
    <w:abstractNumId w:val="11"/>
  </w:num>
  <w:num w:numId="32" w16cid:durableId="1775779931">
    <w:abstractNumId w:val="0"/>
  </w:num>
  <w:num w:numId="33" w16cid:durableId="1849364396">
    <w:abstractNumId w:val="0"/>
  </w:num>
  <w:num w:numId="34" w16cid:durableId="1461342218">
    <w:abstractNumId w:val="0"/>
  </w:num>
  <w:num w:numId="35" w16cid:durableId="1311209080">
    <w:abstractNumId w:val="0"/>
  </w:num>
  <w:num w:numId="36" w16cid:durableId="1564213637">
    <w:abstractNumId w:val="0"/>
  </w:num>
  <w:num w:numId="37" w16cid:durableId="1085957416">
    <w:abstractNumId w:val="0"/>
  </w:num>
  <w:num w:numId="38" w16cid:durableId="245001464">
    <w:abstractNumId w:val="0"/>
  </w:num>
  <w:num w:numId="39" w16cid:durableId="2077509576">
    <w:abstractNumId w:val="0"/>
  </w:num>
  <w:num w:numId="40" w16cid:durableId="1576161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15183733">
    <w:abstractNumId w:val="11"/>
  </w:num>
  <w:num w:numId="42" w16cid:durableId="1677415408">
    <w:abstractNumId w:val="11"/>
  </w:num>
  <w:num w:numId="43" w16cid:durableId="1001588942">
    <w:abstractNumId w:val="11"/>
  </w:num>
  <w:num w:numId="44" w16cid:durableId="767233652">
    <w:abstractNumId w:val="11"/>
  </w:num>
  <w:num w:numId="45" w16cid:durableId="778711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143D"/>
    <w:rsid w:val="0011555C"/>
    <w:rsid w:val="004E29B3"/>
    <w:rsid w:val="00590D07"/>
    <w:rsid w:val="00784D58"/>
    <w:rsid w:val="008D6863"/>
    <w:rsid w:val="00B86B75"/>
    <w:rsid w:val="00BC48D5"/>
    <w:rsid w:val="00C36279"/>
    <w:rsid w:val="00DF3677"/>
    <w:rsid w:val="00E315A3"/>
    <w:rsid w:val="00E7764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7F50F4"/>
  <w15:docId w15:val="{F1985AAF-FCF8-D244-B7CD-672611A31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1DA6"/>
    <w:pPr>
      <w:spacing w:after="0"/>
    </w:pPr>
    <w:rPr>
      <w:rFonts w:ascii="Arial" w:hAnsi="Arial"/>
      <w:sz w:val="22"/>
    </w:rPr>
  </w:style>
  <w:style w:type="paragraph" w:styleId="Heading1">
    <w:name w:val="heading 1"/>
    <w:basedOn w:val="Normal"/>
    <w:next w:val="BodyText"/>
    <w:uiPriority w:val="9"/>
    <w:qFormat/>
    <w:rsid w:val="00A0085E"/>
    <w:pPr>
      <w:keepNext/>
      <w:keepLines/>
      <w:spacing w:before="220"/>
      <w:outlineLvl w:val="0"/>
    </w:pPr>
    <w:rPr>
      <w:rFonts w:eastAsiaTheme="majorEastAsia" w:cstheme="majorBidi"/>
      <w:b/>
      <w:bCs/>
      <w:color w:val="000000" w:themeColor="text1"/>
      <w:szCs w:val="32"/>
      <w:u w:val="single"/>
    </w:rPr>
  </w:style>
  <w:style w:type="paragraph" w:styleId="Heading2">
    <w:name w:val="heading 2"/>
    <w:basedOn w:val="Normal"/>
    <w:next w:val="BodyText"/>
    <w:uiPriority w:val="9"/>
    <w:unhideWhenUsed/>
    <w:qFormat/>
    <w:rsid w:val="00F23310"/>
    <w:pPr>
      <w:keepNext/>
      <w:keepLines/>
      <w:spacing w:before="120" w:after="120"/>
      <w:outlineLvl w:val="1"/>
    </w:pPr>
    <w:rPr>
      <w:rFonts w:eastAsiaTheme="majorEastAsia" w:cstheme="majorBidi"/>
      <w:b/>
      <w:bCs/>
      <w:color w:val="000000" w:themeColor="text1"/>
      <w:szCs w:val="28"/>
    </w:rPr>
  </w:style>
  <w:style w:type="paragraph" w:styleId="Heading3">
    <w:name w:val="heading 3"/>
    <w:basedOn w:val="Normal"/>
    <w:next w:val="BodyText"/>
    <w:uiPriority w:val="9"/>
    <w:unhideWhenUsed/>
    <w:qFormat/>
    <w:rsid w:val="00A70C7C"/>
    <w:pPr>
      <w:keepNext/>
      <w:keepLines/>
      <w:outlineLvl w:val="2"/>
    </w:pPr>
    <w:rPr>
      <w:rFonts w:eastAsiaTheme="majorEastAsia" w:cstheme="majorBidi"/>
      <w:b/>
      <w:bCs/>
      <w:i/>
      <w:color w:val="000000" w:themeColor="text1"/>
      <w:u w:val="single"/>
    </w:rPr>
  </w:style>
  <w:style w:type="paragraph" w:styleId="Heading4">
    <w:name w:val="heading 4"/>
    <w:basedOn w:val="Normal"/>
    <w:next w:val="BodyText"/>
    <w:uiPriority w:val="9"/>
    <w:unhideWhenUsed/>
    <w:qFormat/>
    <w:rsid w:val="00A70C7C"/>
    <w:pPr>
      <w:keepNext/>
      <w:keepLines/>
      <w:outlineLvl w:val="3"/>
    </w:pPr>
    <w:rPr>
      <w:rFonts w:eastAsiaTheme="majorEastAsia" w:cstheme="majorBidi"/>
      <w:b/>
      <w:bCs/>
      <w:i/>
      <w:color w:val="000000" w:themeColor="text1"/>
    </w:rPr>
  </w:style>
  <w:style w:type="paragraph" w:styleId="Heading5">
    <w:name w:val="heading 5"/>
    <w:basedOn w:val="Normal"/>
    <w:next w:val="BodyText"/>
    <w:uiPriority w:val="9"/>
    <w:unhideWhenUsed/>
    <w:qFormat/>
    <w:rsid w:val="00827CD7"/>
    <w:pPr>
      <w:keepNext/>
      <w:keepLines/>
      <w:pageBreakBefore/>
      <w:outlineLvl w:val="4"/>
    </w:pPr>
    <w:rPr>
      <w:rFonts w:asciiTheme="majorHAnsi" w:eastAsiaTheme="majorEastAsia" w:hAnsiTheme="majorHAnsi" w:cstheme="majorBidi"/>
      <w:iCs/>
      <w:color w:val="4F81BD" w:themeColor="accent1"/>
      <w:sz w:val="2"/>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0085E"/>
    <w:pPr>
      <w:keepNext/>
      <w:keepLines/>
    </w:pPr>
    <w:rPr>
      <w:rFonts w:eastAsiaTheme="majorEastAsia" w:cstheme="majorBidi"/>
      <w:b/>
      <w:bCs/>
      <w:color w:val="000000" w:themeColor="text1"/>
      <w:sz w:val="24"/>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A0085E"/>
    <w:pPr>
      <w:keepNext/>
      <w:keepLines/>
      <w:spacing w:after="0"/>
    </w:pPr>
    <w:rPr>
      <w:rFonts w:ascii="Arial" w:hAnsi="Arial"/>
      <w:sz w:val="22"/>
    </w:rPr>
  </w:style>
  <w:style w:type="paragraph" w:styleId="Date">
    <w:name w:val="Date"/>
    <w:next w:val="BodyText"/>
    <w:qFormat/>
    <w:rsid w:val="00A0085E"/>
    <w:pPr>
      <w:keepNext/>
      <w:keepLines/>
      <w:spacing w:after="110"/>
    </w:pPr>
    <w:rPr>
      <w:rFonts w:ascii="Arial" w:hAnsi="Arial"/>
      <w:sz w:val="22"/>
    </w:rPr>
  </w:style>
  <w:style w:type="paragraph" w:customStyle="1" w:styleId="Abstract">
    <w:name w:val="Abstract"/>
    <w:basedOn w:val="Normal"/>
    <w:next w:val="BodyText"/>
    <w:qFormat/>
    <w:rsid w:val="00A70C7C"/>
    <w:pPr>
      <w:keepNext/>
      <w:keepLines/>
      <w:spacing w:before="220" w:after="220"/>
      <w:ind w:left="1440" w:right="1440"/>
    </w:pPr>
    <w:rPr>
      <w:szCs w:val="20"/>
    </w:rPr>
  </w:style>
  <w:style w:type="paragraph" w:styleId="Bibliography">
    <w:name w:val="Bibliography"/>
    <w:basedOn w:val="Normal"/>
    <w:qFormat/>
    <w:rsid w:val="00525C6F"/>
    <w:pPr>
      <w:ind w:left="720" w:hanging="720"/>
    </w:pPr>
  </w:style>
  <w:style w:type="paragraph" w:styleId="BlockText">
    <w:name w:val="Block Text"/>
    <w:basedOn w:val="BodyText"/>
    <w:next w:val="BodyText"/>
    <w:uiPriority w:val="9"/>
    <w:unhideWhenUsed/>
    <w:qFormat/>
    <w:rsid w:val="00D81DA6"/>
    <w:pPr>
      <w:pBdr>
        <w:left w:val="single" w:sz="4" w:space="4" w:color="auto"/>
      </w:pBdr>
      <w:spacing w:before="0" w:after="0"/>
      <w:ind w:left="475" w:right="475"/>
    </w:pPr>
    <w:rPr>
      <w:i/>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A70C7C"/>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A70C7C"/>
    <w:rPr>
      <w:rFonts w:ascii="Arial" w:hAnsi="Arial"/>
      <w:i/>
      <w:sz w:val="22"/>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rFonts w:ascii="Arial" w:hAnsi="Arial"/>
      <w:i/>
      <w:sz w:val="22"/>
    </w:rPr>
  </w:style>
  <w:style w:type="character" w:styleId="FootnoteReference">
    <w:name w:val="footnote reference"/>
    <w:basedOn w:val="CaptionChar"/>
    <w:rPr>
      <w:rFonts w:ascii="Arial" w:hAnsi="Arial"/>
      <w:i/>
      <w:sz w:val="22"/>
      <w:vertAlign w:val="superscript"/>
    </w:rPr>
  </w:style>
  <w:style w:type="character" w:styleId="Hyperlink">
    <w:name w:val="Hyperlink"/>
    <w:basedOn w:val="CaptionChar"/>
    <w:rPr>
      <w:rFonts w:ascii="Arial" w:hAnsi="Arial"/>
      <w:i/>
      <w:color w:val="4F81BD" w:themeColor="accent1"/>
      <w:sz w:val="22"/>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B1601B"/>
    <w:rPr>
      <w:rFonts w:ascii="Consolas" w:hAnsi="Consolas"/>
      <w:b w:val="0"/>
      <w:i w:val="0"/>
      <w:color w:val="000000" w:themeColor="text1"/>
      <w:sz w:val="16"/>
      <w:shd w:val="clear" w:color="auto" w:fill="F8F8F8"/>
    </w:rPr>
  </w:style>
  <w:style w:type="character" w:customStyle="1" w:styleId="DataTypeTok">
    <w:name w:val="DataTypeTok"/>
    <w:basedOn w:val="VerbatimChar"/>
    <w:rPr>
      <w:rFonts w:ascii="Consolas" w:hAnsi="Consolas"/>
      <w:i/>
      <w:color w:val="204A87"/>
      <w:sz w:val="22"/>
      <w:shd w:val="clear" w:color="auto" w:fill="F8F8F8"/>
    </w:rPr>
  </w:style>
  <w:style w:type="character" w:customStyle="1" w:styleId="DecValTok">
    <w:name w:val="DecValTok"/>
    <w:basedOn w:val="VerbatimChar"/>
    <w:rsid w:val="00B1601B"/>
    <w:rPr>
      <w:rFonts w:ascii="Consolas" w:hAnsi="Consolas"/>
      <w:i w:val="0"/>
      <w:color w:val="000000" w:themeColor="text1"/>
      <w:sz w:val="16"/>
      <w:shd w:val="clear" w:color="auto" w:fill="F8F8F8"/>
    </w:rPr>
  </w:style>
  <w:style w:type="character" w:customStyle="1" w:styleId="BaseNTok">
    <w:name w:val="BaseNTok"/>
    <w:basedOn w:val="VerbatimChar"/>
    <w:rsid w:val="00236841"/>
    <w:rPr>
      <w:rFonts w:ascii="Consolas" w:hAnsi="Consolas"/>
      <w:i/>
      <w:color w:val="0000CF"/>
      <w:sz w:val="16"/>
      <w:shd w:val="clear" w:color="auto" w:fill="F8F8F8"/>
    </w:rPr>
  </w:style>
  <w:style w:type="character" w:customStyle="1" w:styleId="FloatTok">
    <w:name w:val="FloatTok"/>
    <w:basedOn w:val="VerbatimChar"/>
    <w:rPr>
      <w:rFonts w:ascii="Consolas" w:hAnsi="Consolas"/>
      <w:i/>
      <w:color w:val="0000CF"/>
      <w:sz w:val="22"/>
      <w:shd w:val="clear" w:color="auto" w:fill="F8F8F8"/>
    </w:rPr>
  </w:style>
  <w:style w:type="character" w:customStyle="1" w:styleId="ConstantTok">
    <w:name w:val="ConstantTok"/>
    <w:basedOn w:val="VerbatimChar"/>
    <w:rPr>
      <w:rFonts w:ascii="Consolas" w:hAnsi="Consolas"/>
      <w:i/>
      <w:color w:val="000000"/>
      <w:sz w:val="22"/>
      <w:shd w:val="clear" w:color="auto" w:fill="F8F8F8"/>
    </w:rPr>
  </w:style>
  <w:style w:type="character" w:customStyle="1" w:styleId="CharTok">
    <w:name w:val="CharTok"/>
    <w:basedOn w:val="VerbatimChar"/>
    <w:rPr>
      <w:rFonts w:ascii="Consolas" w:hAnsi="Consolas"/>
      <w:i/>
      <w:color w:val="4E9A06"/>
      <w:sz w:val="22"/>
      <w:shd w:val="clear" w:color="auto" w:fill="F8F8F8"/>
    </w:rPr>
  </w:style>
  <w:style w:type="character" w:customStyle="1" w:styleId="SpecialCharTok">
    <w:name w:val="SpecialCharTok"/>
    <w:basedOn w:val="VerbatimChar"/>
    <w:rPr>
      <w:rFonts w:ascii="Consolas" w:hAnsi="Consolas"/>
      <w:i/>
      <w:color w:val="000000"/>
      <w:sz w:val="22"/>
      <w:shd w:val="clear" w:color="auto" w:fill="F8F8F8"/>
    </w:rPr>
  </w:style>
  <w:style w:type="character" w:customStyle="1" w:styleId="StringTok">
    <w:name w:val="StringTok"/>
    <w:basedOn w:val="VerbatimChar"/>
    <w:rsid w:val="00236841"/>
    <w:rPr>
      <w:rFonts w:ascii="Consolas" w:hAnsi="Consolas"/>
      <w:i/>
      <w:color w:val="4E9A06"/>
      <w:sz w:val="16"/>
      <w:shd w:val="clear" w:color="auto" w:fill="F8F8F8"/>
    </w:rPr>
  </w:style>
  <w:style w:type="character" w:customStyle="1" w:styleId="VerbatimStringTok">
    <w:name w:val="VerbatimStringTok"/>
    <w:basedOn w:val="VerbatimChar"/>
    <w:rPr>
      <w:rFonts w:ascii="Consolas" w:hAnsi="Consolas"/>
      <w:i/>
      <w:color w:val="4E9A06"/>
      <w:sz w:val="22"/>
      <w:shd w:val="clear" w:color="auto" w:fill="F8F8F8"/>
    </w:rPr>
  </w:style>
  <w:style w:type="character" w:customStyle="1" w:styleId="SpecialStringTok">
    <w:name w:val="SpecialStringTok"/>
    <w:basedOn w:val="VerbatimChar"/>
    <w:rPr>
      <w:rFonts w:ascii="Consolas" w:hAnsi="Consolas"/>
      <w:i/>
      <w:color w:val="4E9A06"/>
      <w:sz w:val="22"/>
      <w:shd w:val="clear" w:color="auto" w:fill="F8F8F8"/>
    </w:rPr>
  </w:style>
  <w:style w:type="character" w:customStyle="1" w:styleId="ImportTok">
    <w:name w:val="ImportTok"/>
    <w:basedOn w:val="VerbatimChar"/>
    <w:rPr>
      <w:rFonts w:ascii="Consolas" w:hAnsi="Consolas"/>
      <w:i/>
      <w:sz w:val="22"/>
      <w:shd w:val="clear" w:color="auto" w:fill="F8F8F8"/>
    </w:rPr>
  </w:style>
  <w:style w:type="character" w:customStyle="1" w:styleId="CommentTok">
    <w:name w:val="CommentTok"/>
    <w:basedOn w:val="VerbatimChar"/>
    <w:rPr>
      <w:rFonts w:ascii="Consolas" w:hAnsi="Consolas"/>
      <w:i w:val="0"/>
      <w:color w:val="8F5902"/>
      <w:sz w:val="22"/>
      <w:shd w:val="clear" w:color="auto" w:fill="F8F8F8"/>
    </w:rPr>
  </w:style>
  <w:style w:type="character" w:customStyle="1" w:styleId="DocumentationTok">
    <w:name w:val="DocumentationTok"/>
    <w:basedOn w:val="VerbatimChar"/>
    <w:rPr>
      <w:rFonts w:ascii="Consolas" w:hAnsi="Consolas"/>
      <w:b/>
      <w:i w:val="0"/>
      <w:color w:val="8F5902"/>
      <w:sz w:val="22"/>
      <w:shd w:val="clear" w:color="auto" w:fill="F8F8F8"/>
    </w:rPr>
  </w:style>
  <w:style w:type="character" w:customStyle="1" w:styleId="AnnotationTok">
    <w:name w:val="AnnotationTok"/>
    <w:basedOn w:val="VerbatimChar"/>
    <w:rPr>
      <w:rFonts w:ascii="Consolas" w:hAnsi="Consolas"/>
      <w:b/>
      <w:i w:val="0"/>
      <w:color w:val="8F5902"/>
      <w:sz w:val="22"/>
      <w:shd w:val="clear" w:color="auto" w:fill="F8F8F8"/>
    </w:rPr>
  </w:style>
  <w:style w:type="character" w:customStyle="1" w:styleId="CommentVarTok">
    <w:name w:val="CommentVarTok"/>
    <w:basedOn w:val="VerbatimChar"/>
    <w:rPr>
      <w:rFonts w:ascii="Consolas" w:hAnsi="Consolas"/>
      <w:b/>
      <w:i w:val="0"/>
      <w:color w:val="8F5902"/>
      <w:sz w:val="22"/>
      <w:shd w:val="clear" w:color="auto" w:fill="F8F8F8"/>
    </w:rPr>
  </w:style>
  <w:style w:type="character" w:customStyle="1" w:styleId="OtherTok">
    <w:name w:val="OtherTok"/>
    <w:basedOn w:val="VerbatimChar"/>
    <w:rsid w:val="00B1601B"/>
    <w:rPr>
      <w:rFonts w:ascii="Consolas" w:hAnsi="Consolas"/>
      <w:i w:val="0"/>
      <w:color w:val="000000" w:themeColor="text1"/>
      <w:sz w:val="16"/>
      <w:shd w:val="clear" w:color="auto" w:fill="F8F8F8"/>
    </w:rPr>
  </w:style>
  <w:style w:type="character" w:customStyle="1" w:styleId="FunctionTok">
    <w:name w:val="FunctionTok"/>
    <w:basedOn w:val="VerbatimChar"/>
    <w:rsid w:val="00B1601B"/>
    <w:rPr>
      <w:rFonts w:ascii="Consolas" w:hAnsi="Consolas"/>
      <w:i w:val="0"/>
      <w:color w:val="000000"/>
      <w:sz w:val="16"/>
      <w:shd w:val="clear" w:color="auto" w:fill="F8F8F8"/>
    </w:rPr>
  </w:style>
  <w:style w:type="character" w:customStyle="1" w:styleId="VariableTok">
    <w:name w:val="VariableTok"/>
    <w:basedOn w:val="VerbatimChar"/>
    <w:rPr>
      <w:rFonts w:ascii="Consolas" w:hAnsi="Consolas"/>
      <w:i/>
      <w:color w:val="000000"/>
      <w:sz w:val="22"/>
      <w:shd w:val="clear" w:color="auto" w:fill="F8F8F8"/>
    </w:rPr>
  </w:style>
  <w:style w:type="character" w:customStyle="1" w:styleId="ControlFlowTok">
    <w:name w:val="ControlFlowTok"/>
    <w:basedOn w:val="VerbatimChar"/>
    <w:rPr>
      <w:rFonts w:ascii="Consolas" w:hAnsi="Consolas"/>
      <w:b/>
      <w:i/>
      <w:color w:val="204A87"/>
      <w:sz w:val="22"/>
      <w:shd w:val="clear" w:color="auto" w:fill="F8F8F8"/>
    </w:rPr>
  </w:style>
  <w:style w:type="character" w:customStyle="1" w:styleId="OperatorTok">
    <w:name w:val="OperatorTok"/>
    <w:basedOn w:val="VerbatimChar"/>
    <w:rPr>
      <w:rFonts w:ascii="Consolas" w:hAnsi="Consolas"/>
      <w:b/>
      <w:i/>
      <w:color w:val="CE5C00"/>
      <w:sz w:val="22"/>
      <w:shd w:val="clear" w:color="auto" w:fill="F8F8F8"/>
    </w:rPr>
  </w:style>
  <w:style w:type="character" w:customStyle="1" w:styleId="BuiltInTok">
    <w:name w:val="BuiltInTok"/>
    <w:basedOn w:val="VerbatimChar"/>
    <w:rPr>
      <w:rFonts w:ascii="Consolas" w:hAnsi="Consolas"/>
      <w:i/>
      <w:sz w:val="22"/>
      <w:shd w:val="clear" w:color="auto" w:fill="F8F8F8"/>
    </w:rPr>
  </w:style>
  <w:style w:type="character" w:customStyle="1" w:styleId="ExtensionTok">
    <w:name w:val="ExtensionTok"/>
    <w:basedOn w:val="VerbatimChar"/>
    <w:rPr>
      <w:rFonts w:ascii="Consolas" w:hAnsi="Consolas"/>
      <w:i/>
      <w:sz w:val="22"/>
      <w:shd w:val="clear" w:color="auto" w:fill="F8F8F8"/>
    </w:rPr>
  </w:style>
  <w:style w:type="character" w:customStyle="1" w:styleId="PreprocessorTok">
    <w:name w:val="PreprocessorTok"/>
    <w:basedOn w:val="VerbatimChar"/>
    <w:rPr>
      <w:rFonts w:ascii="Consolas" w:hAnsi="Consolas"/>
      <w:i w:val="0"/>
      <w:color w:val="8F5902"/>
      <w:sz w:val="22"/>
      <w:shd w:val="clear" w:color="auto" w:fill="F8F8F8"/>
    </w:rPr>
  </w:style>
  <w:style w:type="character" w:customStyle="1" w:styleId="AttributeTok">
    <w:name w:val="AttributeTok"/>
    <w:basedOn w:val="VerbatimChar"/>
    <w:rPr>
      <w:rFonts w:ascii="Consolas" w:hAnsi="Consolas"/>
      <w:i/>
      <w:color w:val="C4A000"/>
      <w:sz w:val="22"/>
      <w:shd w:val="clear" w:color="auto" w:fill="F8F8F8"/>
    </w:rPr>
  </w:style>
  <w:style w:type="character" w:customStyle="1" w:styleId="RegionMarkerTok">
    <w:name w:val="RegionMarkerTok"/>
    <w:basedOn w:val="VerbatimChar"/>
    <w:rPr>
      <w:rFonts w:ascii="Consolas" w:hAnsi="Consolas"/>
      <w:i/>
      <w:sz w:val="22"/>
      <w:shd w:val="clear" w:color="auto" w:fill="F8F8F8"/>
    </w:rPr>
  </w:style>
  <w:style w:type="character" w:customStyle="1" w:styleId="InformationTok">
    <w:name w:val="InformationTok"/>
    <w:basedOn w:val="VerbatimChar"/>
    <w:rPr>
      <w:rFonts w:ascii="Consolas" w:hAnsi="Consolas"/>
      <w:b/>
      <w:i w:val="0"/>
      <w:color w:val="8F5902"/>
      <w:sz w:val="22"/>
      <w:shd w:val="clear" w:color="auto" w:fill="F8F8F8"/>
    </w:rPr>
  </w:style>
  <w:style w:type="character" w:customStyle="1" w:styleId="WarningTok">
    <w:name w:val="WarningTok"/>
    <w:basedOn w:val="VerbatimChar"/>
    <w:rPr>
      <w:rFonts w:ascii="Consolas" w:hAnsi="Consolas"/>
      <w:b/>
      <w:i w:val="0"/>
      <w:color w:val="8F5902"/>
      <w:sz w:val="22"/>
      <w:shd w:val="clear" w:color="auto" w:fill="F8F8F8"/>
    </w:rPr>
  </w:style>
  <w:style w:type="character" w:customStyle="1" w:styleId="AlertTok">
    <w:name w:val="AlertTok"/>
    <w:basedOn w:val="VerbatimChar"/>
    <w:rPr>
      <w:rFonts w:ascii="Consolas" w:hAnsi="Consolas"/>
      <w:i/>
      <w:color w:val="EF2929"/>
      <w:sz w:val="22"/>
      <w:shd w:val="clear" w:color="auto" w:fill="F8F8F8"/>
    </w:rPr>
  </w:style>
  <w:style w:type="character" w:customStyle="1" w:styleId="ErrorTok">
    <w:name w:val="ErrorTok"/>
    <w:basedOn w:val="VerbatimChar"/>
    <w:rPr>
      <w:rFonts w:ascii="Consolas" w:hAnsi="Consolas"/>
      <w:b/>
      <w:i/>
      <w:color w:val="A40000"/>
      <w:sz w:val="22"/>
      <w:shd w:val="clear" w:color="auto" w:fill="F8F8F8"/>
    </w:rPr>
  </w:style>
  <w:style w:type="character" w:customStyle="1" w:styleId="NormalTok">
    <w:name w:val="NormalTok"/>
    <w:basedOn w:val="VerbatimChar"/>
    <w:rsid w:val="00B1601B"/>
    <w:rPr>
      <w:rFonts w:ascii="Consolas" w:hAnsi="Consolas"/>
      <w:i w:val="0"/>
      <w:sz w:val="16"/>
      <w:shd w:val="clear" w:color="auto" w:fill="F8F8F8"/>
    </w:rPr>
  </w:style>
  <w:style w:type="paragraph" w:styleId="BalloonText">
    <w:name w:val="Balloon Text"/>
    <w:basedOn w:val="Normal"/>
    <w:link w:val="BalloonTextChar"/>
    <w:unhideWhenUsed/>
    <w:rsid w:val="00A70C7C"/>
    <w:rPr>
      <w:rFonts w:asciiTheme="majorHAnsi" w:hAnsiTheme="majorHAnsi" w:cs="Times New Roman"/>
      <w:sz w:val="18"/>
      <w:szCs w:val="18"/>
    </w:rPr>
  </w:style>
  <w:style w:type="character" w:customStyle="1" w:styleId="BodyTextChar">
    <w:name w:val="Body Text Char"/>
    <w:basedOn w:val="DefaultParagraphFont"/>
    <w:link w:val="BodyText"/>
    <w:rsid w:val="00D81DA6"/>
  </w:style>
  <w:style w:type="character" w:customStyle="1" w:styleId="BalloonTextChar">
    <w:name w:val="Balloon Text Char"/>
    <w:basedOn w:val="DefaultParagraphFont"/>
    <w:link w:val="BalloonText"/>
    <w:rsid w:val="00A70C7C"/>
    <w:rPr>
      <w:rFonts w:asciiTheme="majorHAnsi" w:hAnsiTheme="majorHAnsi" w:cs="Times New Roman"/>
      <w:sz w:val="18"/>
      <w:szCs w:val="18"/>
    </w:rPr>
  </w:style>
  <w:style w:type="paragraph" w:styleId="BodyText2">
    <w:name w:val="Body Text 2"/>
    <w:basedOn w:val="Normal"/>
    <w:link w:val="BodyText2Char"/>
    <w:rsid w:val="00A70C7C"/>
  </w:style>
  <w:style w:type="character" w:customStyle="1" w:styleId="BodyText2Char">
    <w:name w:val="Body Text 2 Char"/>
    <w:basedOn w:val="DefaultParagraphFont"/>
    <w:link w:val="BodyText2"/>
    <w:rsid w:val="00A70C7C"/>
    <w:rPr>
      <w:rFonts w:ascii="Arial" w:hAnsi="Arial"/>
      <w:sz w:val="22"/>
    </w:rPr>
  </w:style>
  <w:style w:type="paragraph" w:styleId="BodyText3">
    <w:name w:val="Body Text 3"/>
    <w:basedOn w:val="Normal"/>
    <w:link w:val="BodyText3Char"/>
    <w:rsid w:val="00A70C7C"/>
    <w:rPr>
      <w:szCs w:val="16"/>
    </w:rPr>
  </w:style>
  <w:style w:type="character" w:customStyle="1" w:styleId="BodyText3Char">
    <w:name w:val="Body Text 3 Char"/>
    <w:basedOn w:val="DefaultParagraphFont"/>
    <w:link w:val="BodyText3"/>
    <w:rsid w:val="00A70C7C"/>
    <w:rPr>
      <w:rFonts w:ascii="Arial" w:hAnsi="Arial"/>
      <w:sz w:val="22"/>
      <w:szCs w:val="16"/>
    </w:rPr>
  </w:style>
  <w:style w:type="paragraph" w:styleId="BodyTextFirstIndent">
    <w:name w:val="Body Text First Indent"/>
    <w:basedOn w:val="BodyText"/>
    <w:link w:val="BodyTextFirstIndentChar"/>
    <w:semiHidden/>
    <w:unhideWhenUsed/>
    <w:rsid w:val="00A70C7C"/>
    <w:pPr>
      <w:spacing w:before="0" w:after="0"/>
      <w:ind w:firstLine="360"/>
    </w:pPr>
  </w:style>
  <w:style w:type="character" w:customStyle="1" w:styleId="BodyTextFirstIndentChar">
    <w:name w:val="Body Text First Indent Char"/>
    <w:basedOn w:val="BodyTextChar"/>
    <w:link w:val="BodyTextFirstIndent"/>
    <w:semiHidden/>
    <w:rsid w:val="00A70C7C"/>
    <w:rPr>
      <w:rFonts w:ascii="Arial" w:hAnsi="Arial"/>
      <w:sz w:val="22"/>
    </w:rPr>
  </w:style>
  <w:style w:type="paragraph" w:styleId="BodyTextIndent3">
    <w:name w:val="Body Text Indent 3"/>
    <w:basedOn w:val="Normal"/>
    <w:link w:val="BodyTextIndent3Char"/>
    <w:semiHidden/>
    <w:unhideWhenUsed/>
    <w:rsid w:val="00A70C7C"/>
    <w:pPr>
      <w:ind w:left="360"/>
    </w:pPr>
    <w:rPr>
      <w:szCs w:val="16"/>
    </w:rPr>
  </w:style>
  <w:style w:type="character" w:customStyle="1" w:styleId="BodyTextIndent3Char">
    <w:name w:val="Body Text Indent 3 Char"/>
    <w:basedOn w:val="DefaultParagraphFont"/>
    <w:link w:val="BodyTextIndent3"/>
    <w:semiHidden/>
    <w:rsid w:val="00A70C7C"/>
    <w:rPr>
      <w:rFonts w:ascii="Arial" w:hAnsi="Arial"/>
      <w:sz w:val="22"/>
      <w:szCs w:val="16"/>
    </w:rPr>
  </w:style>
  <w:style w:type="paragraph" w:styleId="BodyTextIndent2">
    <w:name w:val="Body Text Indent 2"/>
    <w:basedOn w:val="Normal"/>
    <w:link w:val="BodyTextIndent2Char"/>
    <w:semiHidden/>
    <w:unhideWhenUsed/>
    <w:rsid w:val="00A70C7C"/>
    <w:pPr>
      <w:ind w:left="360"/>
    </w:pPr>
  </w:style>
  <w:style w:type="character" w:customStyle="1" w:styleId="BodyTextIndent2Char">
    <w:name w:val="Body Text Indent 2 Char"/>
    <w:basedOn w:val="DefaultParagraphFont"/>
    <w:link w:val="BodyTextIndent2"/>
    <w:semiHidden/>
    <w:rsid w:val="00A70C7C"/>
    <w:rPr>
      <w:rFonts w:ascii="Arial" w:hAnsi="Arial"/>
      <w:sz w:val="22"/>
    </w:rPr>
  </w:style>
  <w:style w:type="paragraph" w:styleId="Footer">
    <w:name w:val="footer"/>
    <w:basedOn w:val="Normal"/>
    <w:link w:val="FooterChar"/>
    <w:unhideWhenUsed/>
    <w:rsid w:val="00A0085E"/>
    <w:pPr>
      <w:tabs>
        <w:tab w:val="center" w:pos="4680"/>
        <w:tab w:val="right" w:pos="9360"/>
      </w:tabs>
    </w:pPr>
    <w:rPr>
      <w:sz w:val="16"/>
    </w:rPr>
  </w:style>
  <w:style w:type="character" w:customStyle="1" w:styleId="FooterChar">
    <w:name w:val="Footer Char"/>
    <w:basedOn w:val="DefaultParagraphFont"/>
    <w:link w:val="Footer"/>
    <w:rsid w:val="00A0085E"/>
    <w:rPr>
      <w:rFonts w:ascii="Arial" w:hAnsi="Arial"/>
      <w:sz w:val="16"/>
    </w:rPr>
  </w:style>
  <w:style w:type="character" w:styleId="PageNumber">
    <w:name w:val="page number"/>
    <w:basedOn w:val="DefaultParagraphFont"/>
    <w:semiHidden/>
    <w:unhideWhenUsed/>
    <w:rsid w:val="00A0085E"/>
  </w:style>
  <w:style w:type="paragraph" w:styleId="Header">
    <w:name w:val="header"/>
    <w:basedOn w:val="Normal"/>
    <w:link w:val="HeaderChar"/>
    <w:unhideWhenUsed/>
    <w:rsid w:val="00A0085E"/>
    <w:pPr>
      <w:tabs>
        <w:tab w:val="center" w:pos="4680"/>
        <w:tab w:val="right" w:pos="9360"/>
      </w:tabs>
    </w:pPr>
  </w:style>
  <w:style w:type="character" w:customStyle="1" w:styleId="HeaderChar">
    <w:name w:val="Header Char"/>
    <w:basedOn w:val="DefaultParagraphFont"/>
    <w:link w:val="Header"/>
    <w:rsid w:val="00A0085E"/>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5</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The Prevalence of Dementia and Mild Cognitive Impairment in the United States: Findings from the Health and Retirement Study (HRS) Harmonized Cognitive Assessment Protocol (HCAP) Project</vt:lpstr>
    </vt:vector>
  </TitlesOfParts>
  <Company>Brown University</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Prevalence of Dementia and Mild Cognitive Impairment in the United States: Findings from the Health and Retirement Study (HRS) Harmonized Cognitive Assessment Protocol (HCAP) Project</dc:title>
  <dc:creator>Numerical contributions</dc:creator>
  <cp:keywords/>
  <cp:lastModifiedBy>Rich Jones</cp:lastModifiedBy>
  <cp:revision>2</cp:revision>
  <dcterms:created xsi:type="dcterms:W3CDTF">2022-06-20T18:09:00Z</dcterms:created>
  <dcterms:modified xsi:type="dcterms:W3CDTF">2022-06-21T11:04:00Z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2022</vt:lpwstr>
  </property>
</Properties>
</file>