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usjuev0uy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110: Prosecution of Offenses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DOJ Department Circular No. 015 (2024)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A.M. No. 24-02-09-SC</w:t>
      </w:r>
      <w:r w:rsidDel="00000000" w:rsidR="00000000" w:rsidRPr="00000000">
        <w:rPr>
          <w:rtl w:val="0"/>
        </w:rPr>
        <w:t xml:space="preserve"> have updated the "institution" of criminal actions. The Supreme Court clarified in </w:t>
      </w:r>
      <w:r w:rsidDel="00000000" w:rsidR="00000000" w:rsidRPr="00000000">
        <w:rPr>
          <w:i w:val="1"/>
          <w:iCs w:val="1"/>
          <w:rtl w:val="0"/>
        </w:rPr>
        <w:t xml:space="preserve">People v. Consebido (2025)</w:t>
      </w:r>
      <w:r w:rsidDel="00000000" w:rsidR="00000000" w:rsidRPr="00000000">
        <w:rPr>
          <w:rtl w:val="0"/>
        </w:rPr>
        <w:t xml:space="preserve"> that for cases covered by the Rules on Expedited Procedures, the prescriptive period is interrupted upon filing with the </w:t>
      </w:r>
      <w:r w:rsidDel="00000000" w:rsidR="00000000" w:rsidRPr="00000000">
        <w:rPr>
          <w:b w:val="1"/>
          <w:bCs w:val="1"/>
          <w:rtl w:val="0"/>
        </w:rPr>
        <w:t xml:space="preserve">DOJ</w:t>
      </w:r>
      <w:r w:rsidDel="00000000" w:rsidR="00000000" w:rsidRPr="00000000">
        <w:rPr>
          <w:rtl w:val="0"/>
        </w:rPr>
        <w:t xml:space="preserve">, not the court.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The prosecutor now holds a more proactive "lead" role in the </w:t>
      </w:r>
      <w:r w:rsidDel="00000000" w:rsidR="00000000" w:rsidRPr="00000000">
        <w:rPr>
          <w:b w:val="1"/>
          <w:bCs w:val="1"/>
          <w:rtl w:val="0"/>
        </w:rPr>
        <w:t xml:space="preserve">Case Build-Up</w:t>
      </w:r>
      <w:r w:rsidDel="00000000" w:rsidR="00000000" w:rsidRPr="00000000">
        <w:rPr>
          <w:rtl w:val="0"/>
        </w:rPr>
        <w:t xml:space="preserve"> phase. An Information will only be filed in court if there is a "reasonable certainty of conviction" based on admissible evidence, raising the practical bar for instituting an action.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ua8chsvgt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112: Preliminary Investigation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This rule has been </w:t>
      </w:r>
      <w:r w:rsidDel="00000000" w:rsidR="00000000" w:rsidRPr="00000000">
        <w:rPr>
          <w:b w:val="1"/>
          <w:bCs w:val="1"/>
          <w:rtl w:val="0"/>
        </w:rPr>
        <w:t xml:space="preserve">formally repealed</w:t>
      </w:r>
      <w:r w:rsidDel="00000000" w:rsidR="00000000" w:rsidRPr="00000000">
        <w:rPr>
          <w:rtl w:val="0"/>
        </w:rPr>
        <w:t xml:space="preserve"> in the Rules of Court and replaced by the </w:t>
      </w:r>
      <w:r w:rsidDel="00000000" w:rsidR="00000000" w:rsidRPr="00000000">
        <w:rPr>
          <w:b w:val="1"/>
          <w:bCs w:val="1"/>
          <w:rtl w:val="0"/>
        </w:rPr>
        <w:t xml:space="preserve">2024 DOJ-NPS Rules on Preliminary Investigations and Inquest Proceedings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The quantum of evidence required to move a case to trial is no longer "Probable Cause" but a higher standard: </w:t>
      </w:r>
      <w:r w:rsidDel="00000000" w:rsidR="00000000" w:rsidRPr="00000000">
        <w:rPr>
          <w:b w:val="1"/>
          <w:bCs w:val="1"/>
          <w:rtl w:val="0"/>
        </w:rPr>
        <w:t xml:space="preserve">Prima Facie Evidence with Reasonable Certainty of Conviction</w:t>
      </w:r>
      <w:r w:rsidDel="00000000" w:rsidR="00000000" w:rsidRPr="00000000">
        <w:rPr>
          <w:rtl w:val="0"/>
        </w:rPr>
        <w:t xml:space="preserve">. Preliminary investigations are now strictly summary in nature and conducted entirely under the DOJ's executive authority, using e-filing and virtual hearings.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wt4fplyky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114: Bail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A.M. No. 12-11-2-SC</w:t>
      </w:r>
      <w:r w:rsidDel="00000000" w:rsidR="00000000" w:rsidRPr="00000000">
        <w:rPr>
          <w:rtl w:val="0"/>
        </w:rPr>
        <w:t xml:space="preserve"> and recent 2024 guidelines on </w:t>
      </w:r>
      <w:r w:rsidDel="00000000" w:rsidR="00000000" w:rsidRPr="00000000">
        <w:rPr>
          <w:b w:val="1"/>
          <w:bCs w:val="1"/>
          <w:rtl w:val="0"/>
        </w:rPr>
        <w:t xml:space="preserve">Recognizance</w:t>
      </w:r>
      <w:r w:rsidDel="00000000" w:rsidR="00000000" w:rsidRPr="00000000">
        <w:rPr>
          <w:rtl w:val="0"/>
        </w:rPr>
        <w:t xml:space="preserve"> have been refined to address jail congestion.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Courts are now mandated to prioritize "Bail as a matter of right" for indigent detainees. If an accused has been in custody for a period equal to the minimum penalty of the offense, they must be released on their own recognizance or a reduced bail amount.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iwavdz8q8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116: Arraignment and Plea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Aquino v. People (2025)</w:t>
      </w:r>
      <w:r w:rsidDel="00000000" w:rsidR="00000000" w:rsidRPr="00000000">
        <w:rPr>
          <w:rtl w:val="0"/>
        </w:rPr>
        <w:t xml:space="preserve"> and current Plea Bargaining Frameworks (A.M. No. 18-03-16-SC) have been strictly enforced.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During arraignment, if the accused offers to plead guilty to a </w:t>
      </w:r>
      <w:r w:rsidDel="00000000" w:rsidR="00000000" w:rsidRPr="00000000">
        <w:rPr>
          <w:b w:val="1"/>
          <w:bCs w:val="1"/>
          <w:rtl w:val="0"/>
        </w:rPr>
        <w:t xml:space="preserve">lesser offense</w:t>
      </w:r>
      <w:r w:rsidDel="00000000" w:rsidR="00000000" w:rsidRPr="00000000">
        <w:rPr>
          <w:rtl w:val="0"/>
        </w:rPr>
        <w:t xml:space="preserve">, the prosecutor must raise all objections immediately. Failure to object to the plea bargain at the time of the offer is now considered a </w:t>
      </w:r>
      <w:r w:rsidDel="00000000" w:rsidR="00000000" w:rsidRPr="00000000">
        <w:rPr>
          <w:b w:val="1"/>
          <w:bCs w:val="1"/>
          <w:rtl w:val="0"/>
        </w:rPr>
        <w:t xml:space="preserve">permanent waiver</w:t>
      </w:r>
      <w:r w:rsidDel="00000000" w:rsidR="00000000" w:rsidRPr="00000000">
        <w:rPr>
          <w:rtl w:val="0"/>
        </w:rPr>
        <w:t xml:space="preserve"> of the objection by the State.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4o2bbhupr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119: Trial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Revised Guidelines on Continuous Trial (2017)</w:t>
      </w:r>
      <w:r w:rsidDel="00000000" w:rsidR="00000000" w:rsidRPr="00000000">
        <w:rPr>
          <w:rtl w:val="0"/>
        </w:rPr>
        <w:t xml:space="preserve"> were fully integrated with </w:t>
      </w:r>
      <w:r w:rsidDel="00000000" w:rsidR="00000000" w:rsidRPr="00000000">
        <w:rPr>
          <w:b w:val="1"/>
          <w:bCs w:val="1"/>
          <w:rtl w:val="0"/>
        </w:rPr>
        <w:t xml:space="preserve">Virtual Hearings (2024)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Judicial Affidavit Rule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Trials must be strictly continuous. The "Trial-type" hearing where witnesses testify live for hours is replaced by the submission of </w:t>
      </w:r>
      <w:r w:rsidDel="00000000" w:rsidR="00000000" w:rsidRPr="00000000">
        <w:rPr>
          <w:b w:val="1"/>
          <w:bCs w:val="1"/>
          <w:rtl w:val="0"/>
        </w:rPr>
        <w:t xml:space="preserve">Judicial Affidavits</w:t>
      </w:r>
      <w:r w:rsidDel="00000000" w:rsidR="00000000" w:rsidRPr="00000000">
        <w:rPr>
          <w:rtl w:val="0"/>
        </w:rPr>
        <w:t xml:space="preserve"> as direct testimony. Cross-examination is the only primary live event, significantly shortening the trial phase from years to months.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v6tiroyc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122: Appeal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A.M. No. 22-04-06-SC</w:t>
      </w:r>
      <w:r w:rsidDel="00000000" w:rsidR="00000000" w:rsidRPr="00000000">
        <w:rPr>
          <w:rtl w:val="0"/>
        </w:rPr>
        <w:t xml:space="preserve"> and recent 2025 rulings on "Fugitives from Justice."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Vallacar Transit, Inc. v. Yanson, Jr. (2025)</w:t>
      </w:r>
      <w:r w:rsidDel="00000000" w:rsidR="00000000" w:rsidRPr="00000000">
        <w:rPr>
          <w:rtl w:val="0"/>
        </w:rPr>
        <w:t xml:space="preserve">, the Supreme Court ruled that a person declared a </w:t>
      </w:r>
      <w:r w:rsidDel="00000000" w:rsidR="00000000" w:rsidRPr="00000000">
        <w:rPr>
          <w:b w:val="1"/>
          <w:bCs w:val="1"/>
          <w:rtl w:val="0"/>
        </w:rPr>
        <w:t xml:space="preserve">fugitive from justice</w:t>
      </w:r>
      <w:r w:rsidDel="00000000" w:rsidR="00000000" w:rsidRPr="00000000">
        <w:rPr>
          <w:rtl w:val="0"/>
        </w:rPr>
        <w:t xml:space="preserve"> is barred from seeking judicial relief, including the right to appeal. An accused must surrender to the jurisdiction of the court to avail of Rule 122.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ct929c7sv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126: Search and Seizure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A.M. No. 21-06-08-SC (Rules on the Use of Body-Worn Cameras)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When executing a search warrant, the use of </w:t>
      </w:r>
      <w:r w:rsidDel="00000000" w:rsidR="00000000" w:rsidRPr="00000000">
        <w:rPr>
          <w:b w:val="1"/>
          <w:bCs w:val="1"/>
          <w:rtl w:val="0"/>
        </w:rPr>
        <w:t xml:space="preserve">body-worn cameras</w:t>
      </w:r>
      <w:r w:rsidDel="00000000" w:rsidR="00000000" w:rsidRPr="00000000">
        <w:rPr>
          <w:rtl w:val="0"/>
        </w:rPr>
        <w:t xml:space="preserve"> is now mandatory. If law enforcement fails to use the cameras without a "justifiable cause," any evidence seized during the search is deemed </w:t>
      </w:r>
      <w:r w:rsidDel="00000000" w:rsidR="00000000" w:rsidRPr="00000000">
        <w:rPr>
          <w:b w:val="1"/>
          <w:bCs w:val="1"/>
          <w:rtl w:val="0"/>
        </w:rPr>
        <w:t xml:space="preserve">inadmissible</w:t>
      </w:r>
      <w:r w:rsidDel="00000000" w:rsidR="00000000" w:rsidRPr="00000000">
        <w:rPr>
          <w:rtl w:val="0"/>
        </w:rPr>
        <w:t xml:space="preserve"> under the exclusionary rule.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pto8xiyhj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127: Provisional Remedies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Description:</w:t>
      </w:r>
      <w:r w:rsidDel="00000000" w:rsidR="00000000" w:rsidRPr="00000000">
        <w:rPr>
          <w:rtl w:val="0"/>
        </w:rPr>
        <w:t xml:space="preserve"> Integration of </w:t>
      </w:r>
      <w:r w:rsidDel="00000000" w:rsidR="00000000" w:rsidRPr="00000000">
        <w:rPr>
          <w:b w:val="1"/>
          <w:bCs w:val="1"/>
          <w:rtl w:val="0"/>
        </w:rPr>
        <w:t xml:space="preserve">Rule 127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Anti-Money Laundering Act (AMLA)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Asset Forfeiture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In 2024-2026, provisional remedies like </w:t>
      </w:r>
      <w:r w:rsidDel="00000000" w:rsidR="00000000" w:rsidRPr="00000000">
        <w:rPr>
          <w:b w:val="1"/>
          <w:bCs w:val="1"/>
          <w:rtl w:val="0"/>
        </w:rPr>
        <w:t xml:space="preserve">Preliminary Attachment</w:t>
      </w:r>
      <w:r w:rsidDel="00000000" w:rsidR="00000000" w:rsidRPr="00000000">
        <w:rPr>
          <w:rtl w:val="0"/>
        </w:rPr>
        <w:t xml:space="preserve"> are more frequently used in graft and corruption cases to "freeze" assets immediately upon the filing of the Information, preventing the accused from dissipating funds during the trial.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