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s07w33sd7zx" w:id="0"/>
      <w:bookmarkEnd w:id="0"/>
      <w:r w:rsidDel="00000000" w:rsidR="00000000" w:rsidRPr="00000000">
        <w:rPr>
          <w:b w:val="1"/>
          <w:bCs w:val="1"/>
          <w:color w:val="000000"/>
          <w:sz w:val="26"/>
          <w:szCs w:val="26"/>
          <w:rtl w:val="0"/>
        </w:rPr>
        <w:t xml:space="preserve">1. The Family Code (Executive Order No. 209, 1987)</w:t>
      </w:r>
    </w:p>
    <w:p w:rsidR="00000000" w:rsidDel="00000000" w:rsidP="00000000" w:rsidRDefault="00000000" w:rsidRPr="00000000" w14:paraId="00000002">
      <w:pPr>
        <w:spacing w:after="240" w:before="240" w:lineRule="auto"/>
        <w:rPr/>
      </w:pPr>
      <w:r w:rsidDel="00000000" w:rsidR="00000000" w:rsidRPr="00000000">
        <w:rPr>
          <w:rtl w:val="0"/>
        </w:rPr>
        <w:t xml:space="preserve">While the Family Code expressly repealed specific articles (52 to 310), it also </w:t>
      </w:r>
      <w:r w:rsidDel="00000000" w:rsidR="00000000" w:rsidRPr="00000000">
        <w:rPr>
          <w:b w:val="1"/>
          <w:bCs w:val="1"/>
          <w:rtl w:val="0"/>
        </w:rPr>
        <w:t xml:space="preserve">impliedly modified</w:t>
      </w:r>
      <w:r w:rsidDel="00000000" w:rsidR="00000000" w:rsidRPr="00000000">
        <w:rPr>
          <w:rtl w:val="0"/>
        </w:rPr>
        <w:t xml:space="preserve"> successional rights and property classifications.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Articles Affected:</w:t>
      </w:r>
      <w:r w:rsidDel="00000000" w:rsidR="00000000" w:rsidRPr="00000000">
        <w:rPr>
          <w:rtl w:val="0"/>
        </w:rPr>
        <w:t xml:space="preserve"> Articles 887, 892, 895 (Succession).</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The Implied Change:</w:t>
      </w:r>
      <w:r w:rsidDel="00000000" w:rsidR="00000000" w:rsidRPr="00000000">
        <w:rPr>
          <w:rtl w:val="0"/>
        </w:rPr>
        <w:t xml:space="preserve"> The Civil Code used a complex "fractional" system for illegitimate children (entitling them to 4/5 of a legitimate child's share). The Family Code (Art. 176) simplified this.</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b w:val="1"/>
          <w:bCs w:val="1"/>
          <w:rtl w:val="0"/>
        </w:rPr>
        <w:t xml:space="preserve">The Effect:</w:t>
      </w:r>
      <w:r w:rsidDel="00000000" w:rsidR="00000000" w:rsidRPr="00000000">
        <w:rPr>
          <w:rtl w:val="0"/>
        </w:rPr>
        <w:t xml:space="preserve"> It is now settled that an </w:t>
      </w:r>
      <w:r w:rsidDel="00000000" w:rsidR="00000000" w:rsidRPr="00000000">
        <w:rPr>
          <w:b w:val="1"/>
          <w:bCs w:val="1"/>
          <w:rtl w:val="0"/>
        </w:rPr>
        <w:t xml:space="preserve">illegitimate child</w:t>
      </w:r>
      <w:r w:rsidDel="00000000" w:rsidR="00000000" w:rsidRPr="00000000">
        <w:rPr>
          <w:rtl w:val="0"/>
        </w:rPr>
        <w:t xml:space="preserve"> is entitled to exactly </w:t>
      </w:r>
      <w:r w:rsidDel="00000000" w:rsidR="00000000" w:rsidRPr="00000000">
        <w:rPr>
          <w:b w:val="1"/>
          <w:bCs w:val="1"/>
          <w:rtl w:val="0"/>
        </w:rPr>
        <w:t xml:space="preserve">1/2 (one-half)</w:t>
      </w:r>
      <w:r w:rsidDel="00000000" w:rsidR="00000000" w:rsidRPr="00000000">
        <w:rPr>
          <w:rtl w:val="0"/>
        </w:rPr>
        <w:t xml:space="preserve"> of the share of a legitimate child, overriding the old Civil Code proportions.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1hnd2hqmgzh" w:id="1"/>
      <w:bookmarkEnd w:id="1"/>
      <w:r w:rsidDel="00000000" w:rsidR="00000000" w:rsidRPr="00000000">
        <w:rPr>
          <w:b w:val="1"/>
          <w:bCs w:val="1"/>
          <w:color w:val="000000"/>
          <w:sz w:val="26"/>
          <w:szCs w:val="26"/>
          <w:rtl w:val="0"/>
        </w:rPr>
        <w:t xml:space="preserve">2. Property Registration Decree (P.D. 1529, 1978)</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Articles Affected:</w:t>
      </w:r>
      <w:r w:rsidDel="00000000" w:rsidR="00000000" w:rsidRPr="00000000">
        <w:rPr>
          <w:rtl w:val="0"/>
        </w:rPr>
        <w:t xml:space="preserve"> Articles 707–711 (Registration) and Article 1137 (Prescription).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The Implied Change:</w:t>
      </w:r>
      <w:r w:rsidDel="00000000" w:rsidR="00000000" w:rsidRPr="00000000">
        <w:rPr>
          <w:rtl w:val="0"/>
        </w:rPr>
        <w:t xml:space="preserve"> The Civil Code allowed for "acquisitive prescription," where someone could own land simply by occupying it for 30 years (in bad faith) or 10 years (in good faith).</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The Effect:</w:t>
      </w:r>
      <w:r w:rsidDel="00000000" w:rsidR="00000000" w:rsidRPr="00000000">
        <w:rPr>
          <w:rtl w:val="0"/>
        </w:rPr>
        <w:t xml:space="preserve"> P.D. 1529 established the </w:t>
      </w:r>
      <w:r w:rsidDel="00000000" w:rsidR="00000000" w:rsidRPr="00000000">
        <w:rPr>
          <w:b w:val="1"/>
          <w:bCs w:val="1"/>
          <w:rtl w:val="0"/>
        </w:rPr>
        <w:t xml:space="preserve">Torrens System</w:t>
      </w:r>
      <w:r w:rsidDel="00000000" w:rsidR="00000000" w:rsidRPr="00000000">
        <w:rPr>
          <w:rtl w:val="0"/>
        </w:rPr>
        <w:t xml:space="preserve">. Under this law, no title to registered land in derogation of that of the registered owner shall be acquired by prescription or adverse possession. Effectively, you cannot "squat" your way into owning </w:t>
      </w:r>
      <w:r w:rsidDel="00000000" w:rsidR="00000000" w:rsidRPr="00000000">
        <w:rPr>
          <w:b w:val="1"/>
          <w:bCs w:val="1"/>
          <w:rtl w:val="0"/>
        </w:rPr>
        <w:t xml:space="preserve">titled</w:t>
      </w:r>
      <w:r w:rsidDel="00000000" w:rsidR="00000000" w:rsidRPr="00000000">
        <w:rPr>
          <w:rtl w:val="0"/>
        </w:rPr>
        <w:t xml:space="preserve"> land anymore, regardless of the Civil Code’s provisions on prescription.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cg2pu60gzs6" w:id="2"/>
      <w:bookmarkEnd w:id="2"/>
      <w:r w:rsidDel="00000000" w:rsidR="00000000" w:rsidRPr="00000000">
        <w:rPr>
          <w:b w:val="1"/>
          <w:bCs w:val="1"/>
          <w:color w:val="000000"/>
          <w:sz w:val="26"/>
          <w:szCs w:val="26"/>
          <w:rtl w:val="0"/>
        </w:rPr>
        <w:t xml:space="preserve">3. The Local Government Code (RA 7160, 1991)</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Articles Affected:</w:t>
      </w:r>
      <w:r w:rsidDel="00000000" w:rsidR="00000000" w:rsidRPr="00000000">
        <w:rPr>
          <w:rtl w:val="0"/>
        </w:rPr>
        <w:t xml:space="preserve"> Articles 423–424 (Property of Public Dominion).</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The Implied Change:</w:t>
      </w:r>
      <w:r w:rsidDel="00000000" w:rsidR="00000000" w:rsidRPr="00000000">
        <w:rPr>
          <w:rtl w:val="0"/>
        </w:rPr>
        <w:t xml:space="preserve"> These articles classified property of provinces, cities, and municipalities.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The Effect:</w:t>
      </w:r>
      <w:r w:rsidDel="00000000" w:rsidR="00000000" w:rsidRPr="00000000">
        <w:rPr>
          <w:rtl w:val="0"/>
        </w:rPr>
        <w:t xml:space="preserve"> The LGC gave local government units (LGUs) the power to </w:t>
      </w:r>
      <w:r w:rsidDel="00000000" w:rsidR="00000000" w:rsidRPr="00000000">
        <w:rPr>
          <w:b w:val="1"/>
          <w:bCs w:val="1"/>
          <w:rtl w:val="0"/>
        </w:rPr>
        <w:t xml:space="preserve">withdraw</w:t>
      </w:r>
      <w:r w:rsidDel="00000000" w:rsidR="00000000" w:rsidRPr="00000000">
        <w:rPr>
          <w:rtl w:val="0"/>
        </w:rPr>
        <w:t xml:space="preserve"> local roads or parks from public use and convey them as patrimonial property (property they can sell). This expanded the LGU's authority over public property beyond the rigid "public dominion" definitions in the Civil Code.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r7i7120r1uz" w:id="3"/>
      <w:bookmarkEnd w:id="3"/>
      <w:r w:rsidDel="00000000" w:rsidR="00000000" w:rsidRPr="00000000">
        <w:rPr>
          <w:b w:val="1"/>
          <w:bCs w:val="1"/>
          <w:color w:val="000000"/>
          <w:sz w:val="26"/>
          <w:szCs w:val="26"/>
          <w:rtl w:val="0"/>
        </w:rPr>
        <w:t xml:space="preserve">4. BSP Circular No. 799 (2013) &amp; Central Bank Act</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Articles Affected:</w:t>
      </w:r>
      <w:r w:rsidDel="00000000" w:rsidR="00000000" w:rsidRPr="00000000">
        <w:rPr>
          <w:rtl w:val="0"/>
        </w:rPr>
        <w:t xml:space="preserve"> Article 2209 (Legal Interest).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The Implied Change:</w:t>
      </w:r>
      <w:r w:rsidDel="00000000" w:rsidR="00000000" w:rsidRPr="00000000">
        <w:rPr>
          <w:rtl w:val="0"/>
        </w:rPr>
        <w:t xml:space="preserve"> Article 2209 originally set a default legal interest of </w:t>
      </w:r>
      <w:r w:rsidDel="00000000" w:rsidR="00000000" w:rsidRPr="00000000">
        <w:rPr>
          <w:b w:val="1"/>
          <w:bCs w:val="1"/>
          <w:rtl w:val="0"/>
        </w:rPr>
        <w:t xml:space="preserve">6% per annum</w:t>
      </w:r>
      <w:r w:rsidDel="00000000" w:rsidR="00000000" w:rsidRPr="00000000">
        <w:rPr>
          <w:rtl w:val="0"/>
        </w:rPr>
        <w:t xml:space="preserve"> for indemnity of damages when no rate was stipulated. For a long time, the Central Bank (now BSP) set it at 12%.</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The Effect:</w:t>
      </w:r>
      <w:r w:rsidDel="00000000" w:rsidR="00000000" w:rsidRPr="00000000">
        <w:rPr>
          <w:rtl w:val="0"/>
        </w:rPr>
        <w:t xml:space="preserve"> Following the landmark case of </w:t>
      </w:r>
      <w:r w:rsidDel="00000000" w:rsidR="00000000" w:rsidRPr="00000000">
        <w:rPr>
          <w:i w:val="1"/>
          <w:iCs w:val="1"/>
          <w:rtl w:val="0"/>
        </w:rPr>
        <w:t xml:space="preserve">Nacar v. Gallery Frames</w:t>
      </w:r>
      <w:r w:rsidDel="00000000" w:rsidR="00000000" w:rsidRPr="00000000">
        <w:rPr>
          <w:rtl w:val="0"/>
        </w:rPr>
        <w:t xml:space="preserve">, the legal interest rate is now </w:t>
      </w:r>
      <w:r w:rsidDel="00000000" w:rsidR="00000000" w:rsidRPr="00000000">
        <w:rPr>
          <w:b w:val="1"/>
          <w:bCs w:val="1"/>
          <w:rtl w:val="0"/>
        </w:rPr>
        <w:t xml:space="preserve">floating</w:t>
      </w:r>
      <w:r w:rsidDel="00000000" w:rsidR="00000000" w:rsidRPr="00000000">
        <w:rPr>
          <w:rtl w:val="0"/>
        </w:rPr>
        <w:t xml:space="preserve"> based on BSP circulars. It is currently back to </w:t>
      </w:r>
      <w:r w:rsidDel="00000000" w:rsidR="00000000" w:rsidRPr="00000000">
        <w:rPr>
          <w:b w:val="1"/>
          <w:bCs w:val="1"/>
          <w:rtl w:val="0"/>
        </w:rPr>
        <w:t xml:space="preserve">6%</w:t>
      </w:r>
      <w:r w:rsidDel="00000000" w:rsidR="00000000" w:rsidRPr="00000000">
        <w:rPr>
          <w:rtl w:val="0"/>
        </w:rPr>
        <w:t xml:space="preserve">, but the Civil Code's "fixed" nature is repealed—the rate now changes whenever the BSP issues a new circular.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k06uscqiugd" w:id="4"/>
      <w:bookmarkEnd w:id="4"/>
      <w:r w:rsidDel="00000000" w:rsidR="00000000" w:rsidRPr="00000000">
        <w:rPr>
          <w:b w:val="1"/>
          <w:bCs w:val="1"/>
          <w:color w:val="000000"/>
          <w:sz w:val="26"/>
          <w:szCs w:val="26"/>
          <w:rtl w:val="0"/>
        </w:rPr>
        <w:t xml:space="preserve">5. The Securities Regulation Code (RA 8799)</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Articles Affected:</w:t>
      </w:r>
      <w:r w:rsidDel="00000000" w:rsidR="00000000" w:rsidRPr="00000000">
        <w:rPr>
          <w:rtl w:val="0"/>
        </w:rPr>
        <w:t xml:space="preserve"> Articles 1767–1867 (Partnerships).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The Implied Change:</w:t>
      </w:r>
      <w:r w:rsidDel="00000000" w:rsidR="00000000" w:rsidRPr="00000000">
        <w:rPr>
          <w:rtl w:val="0"/>
        </w:rPr>
        <w:t xml:space="preserve"> The Civil Code governs the formation of partnerships as simple contracts.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The Effect:</w:t>
      </w:r>
      <w:r w:rsidDel="00000000" w:rsidR="00000000" w:rsidRPr="00000000">
        <w:rPr>
          <w:rtl w:val="0"/>
        </w:rPr>
        <w:t xml:space="preserve"> For partnerships that sell securities or act as investment houses, the SRC imposes </w:t>
      </w:r>
      <w:r w:rsidDel="00000000" w:rsidR="00000000" w:rsidRPr="00000000">
        <w:rPr>
          <w:b w:val="1"/>
          <w:bCs w:val="1"/>
          <w:rtl w:val="0"/>
        </w:rPr>
        <w:t xml:space="preserve">disclosure and registration requirements</w:t>
      </w:r>
      <w:r w:rsidDel="00000000" w:rsidR="00000000" w:rsidRPr="00000000">
        <w:rPr>
          <w:rtl w:val="0"/>
        </w:rPr>
        <w:t xml:space="preserve"> that are far more stringent than the Civil Code. If a partnership's structure violates SRC rules on "public interests," the SRC provisions prevail over the Civil Code's "freedom of contract" for partners.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5mve1k4dxla" w:id="5"/>
      <w:bookmarkEnd w:id="5"/>
      <w:r w:rsidDel="00000000" w:rsidR="00000000" w:rsidRPr="00000000">
        <w:rPr>
          <w:b w:val="1"/>
          <w:bCs w:val="1"/>
          <w:color w:val="000000"/>
          <w:sz w:val="26"/>
          <w:szCs w:val="26"/>
          <w:rtl w:val="0"/>
        </w:rPr>
        <w:t xml:space="preserve">6. Human Organ Preservation Act (RA 7170)</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Articles Affected:</w:t>
      </w:r>
      <w:r w:rsidDel="00000000" w:rsidR="00000000" w:rsidRPr="00000000">
        <w:rPr>
          <w:rtl w:val="0"/>
        </w:rPr>
        <w:t xml:space="preserve"> Articles 40–42 (Civil Personality and Death).</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The Implied Change:</w:t>
      </w:r>
      <w:r w:rsidDel="00000000" w:rsidR="00000000" w:rsidRPr="00000000">
        <w:rPr>
          <w:rtl w:val="0"/>
        </w:rPr>
        <w:t xml:space="preserve"> The Civil Code views death as the total cessation of life (cardiac death).</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The Effect:</w:t>
      </w:r>
      <w:r w:rsidDel="00000000" w:rsidR="00000000" w:rsidRPr="00000000">
        <w:rPr>
          <w:rtl w:val="0"/>
        </w:rPr>
        <w:t xml:space="preserve"> This law introduced the concept of </w:t>
      </w:r>
      <w:r w:rsidDel="00000000" w:rsidR="00000000" w:rsidRPr="00000000">
        <w:rPr>
          <w:b w:val="1"/>
          <w:bCs w:val="1"/>
          <w:rtl w:val="0"/>
        </w:rPr>
        <w:t xml:space="preserve">"Brain Death."</w:t>
      </w:r>
      <w:r w:rsidDel="00000000" w:rsidR="00000000" w:rsidRPr="00000000">
        <w:rPr>
          <w:rtl w:val="0"/>
        </w:rPr>
        <w:t xml:space="preserve"> It allows for the legal harvesting of organs even if the heart is still beating via life support. This modernizes the Civil Code's definition of when "personality is extinguished" for medical and transplant purposes.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