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20" w:before="220" w:lineRule="auto"/>
        <w:rPr>
          <w:b w:val="1"/>
          <w:bCs w:val="1"/>
          <w:color w:val="000080"/>
          <w:sz w:val="21"/>
          <w:szCs w:val="21"/>
        </w:rPr>
      </w:pPr>
      <w:r w:rsidDel="00000000" w:rsidR="00000000" w:rsidRPr="00000000">
        <w:rPr>
          <w:b w:val="1"/>
          <w:bCs w:val="1"/>
          <w:color w:val="000080"/>
          <w:sz w:val="21"/>
          <w:szCs w:val="21"/>
          <w:rtl w:val="0"/>
        </w:rPr>
        <w:t xml:space="preserve">REPUBLIC ACT. NO. 9858</w:t>
      </w:r>
    </w:p>
    <w:p w:rsidR="00000000" w:rsidDel="00000000" w:rsidP="00000000" w:rsidRDefault="00000000" w:rsidRPr="00000000" w14:paraId="00000002">
      <w:pPr>
        <w:shd w:fill="ffffff" w:val="clear"/>
        <w:spacing w:after="220" w:before="220" w:lineRule="auto"/>
        <w:jc w:val="both"/>
        <w:rPr>
          <w:b w:val="1"/>
          <w:bCs w:val="1"/>
          <w:color w:val="000080"/>
          <w:sz w:val="21"/>
          <w:szCs w:val="21"/>
        </w:rPr>
      </w:pPr>
      <w:r w:rsidDel="00000000" w:rsidR="00000000" w:rsidRPr="00000000">
        <w:rPr>
          <w:b w:val="1"/>
          <w:bCs w:val="1"/>
          <w:color w:val="000080"/>
          <w:sz w:val="21"/>
          <w:szCs w:val="21"/>
          <w:rtl w:val="0"/>
        </w:rPr>
        <w:t xml:space="preserve">AN ACT PROVIDING FOR THE LEGITIMATION OF CHILDREN BORN TO PARENTS BELOW MARRYING AGE, AMENDING FOR THE PURPOSE THE FAMILY CODE OF THE PHILIPPINES, AS AMENDED</w:t>
      </w:r>
    </w:p>
    <w:p w:rsidR="00000000" w:rsidDel="00000000" w:rsidP="00000000" w:rsidRDefault="00000000" w:rsidRPr="00000000" w14:paraId="00000003">
      <w:pPr>
        <w:shd w:fill="ffffff" w:val="clear"/>
        <w:spacing w:after="220" w:before="220" w:lineRule="auto"/>
        <w:jc w:val="center"/>
        <w:rPr>
          <w:i w:val="1"/>
          <w:iCs w:val="1"/>
          <w:color w:val="000080"/>
          <w:sz w:val="21"/>
          <w:szCs w:val="21"/>
        </w:rPr>
      </w:pPr>
      <w:r w:rsidDel="00000000" w:rsidR="00000000" w:rsidRPr="00000000">
        <w:rPr>
          <w:i w:val="1"/>
          <w:iCs w:val="1"/>
          <w:color w:val="000080"/>
          <w:sz w:val="21"/>
          <w:szCs w:val="21"/>
          <w:rtl w:val="0"/>
        </w:rPr>
        <w:t xml:space="preserve">Be it enacted by the Senate and House of Representatives of the Philippines in Congress assembled:</w:t>
      </w:r>
    </w:p>
    <w:p w:rsidR="00000000" w:rsidDel="00000000" w:rsidP="00000000" w:rsidRDefault="00000000" w:rsidRPr="00000000" w14:paraId="00000004">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Section 1.</w:t>
      </w:r>
      <w:r w:rsidDel="00000000" w:rsidR="00000000" w:rsidRPr="00000000">
        <w:rPr>
          <w:color w:val="000080"/>
          <w:sz w:val="21"/>
          <w:szCs w:val="21"/>
          <w:rtl w:val="0"/>
        </w:rPr>
        <w:t xml:space="preserve"> Article 177 of Executive Order No. 209, otherwise known as the "Family Code of the Philippines", as amended, is hereby further amended to read as follows:</w:t>
      </w:r>
    </w:p>
    <w:p w:rsidR="00000000" w:rsidDel="00000000" w:rsidP="00000000" w:rsidRDefault="00000000" w:rsidRPr="00000000" w14:paraId="00000005">
      <w:pPr>
        <w:spacing w:after="220" w:before="220" w:lineRule="auto"/>
        <w:ind w:left="600" w:right="600" w:firstLine="0"/>
        <w:jc w:val="both"/>
        <w:rPr>
          <w:color w:val="000080"/>
          <w:sz w:val="21"/>
          <w:szCs w:val="21"/>
          <w:highlight w:val="white"/>
        </w:rPr>
      </w:pPr>
      <w:r w:rsidDel="00000000" w:rsidR="00000000" w:rsidRPr="00000000">
        <w:rPr>
          <w:color w:val="000080"/>
          <w:sz w:val="21"/>
          <w:szCs w:val="21"/>
          <w:highlight w:val="white"/>
          <w:rtl w:val="0"/>
        </w:rPr>
        <w:t xml:space="preserve">"Art. 177. Children conceived and born outside of wedlock of parents who, at the time of conception of the former, were not disqualified by any impediment to marry each other, or were so disqualified only because either or both of them were below eighteen (18) years of age, may be legitimated."</w:t>
      </w:r>
    </w:p>
    <w:p w:rsidR="00000000" w:rsidDel="00000000" w:rsidP="00000000" w:rsidRDefault="00000000" w:rsidRPr="00000000" w14:paraId="00000006">
      <w:pPr>
        <w:spacing w:after="220" w:before="220" w:lineRule="auto"/>
        <w:ind w:left="600" w:right="600" w:firstLine="0"/>
        <w:jc w:val="both"/>
        <w:rPr>
          <w:color w:val="000080"/>
          <w:sz w:val="21"/>
          <w:szCs w:val="21"/>
          <w:highlight w:val="white"/>
        </w:rPr>
      </w:pPr>
      <w:r w:rsidDel="00000000" w:rsidR="00000000" w:rsidRPr="00000000">
        <w:rPr>
          <w:color w:val="000080"/>
          <w:sz w:val="21"/>
          <w:szCs w:val="21"/>
          <w:highlight w:val="white"/>
          <w:rtl w:val="0"/>
        </w:rPr>
        <w:t xml:space="preserve">"Art. 178. Legitimation shall take place by a subsequent valid marriage between parents. The annulment of a voidable marriage shall not affect the legitimation."</w:t>
      </w:r>
    </w:p>
    <w:p w:rsidR="00000000" w:rsidDel="00000000" w:rsidP="00000000" w:rsidRDefault="00000000" w:rsidRPr="00000000" w14:paraId="00000007">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Section 2.</w:t>
      </w:r>
      <w:r w:rsidDel="00000000" w:rsidR="00000000" w:rsidRPr="00000000">
        <w:rPr>
          <w:i w:val="1"/>
          <w:iCs w:val="1"/>
          <w:color w:val="000080"/>
          <w:sz w:val="21"/>
          <w:szCs w:val="21"/>
          <w:rtl w:val="0"/>
        </w:rPr>
        <w:t xml:space="preserve"> Implementing Rules.</w:t>
      </w:r>
      <w:r w:rsidDel="00000000" w:rsidR="00000000" w:rsidRPr="00000000">
        <w:rPr>
          <w:color w:val="000080"/>
          <w:sz w:val="21"/>
          <w:szCs w:val="21"/>
          <w:rtl w:val="0"/>
        </w:rPr>
        <w:t xml:space="preserve"> – The civil Registrar General shall, in consultation with the chairpersons of the Committee on Revision of Laws of the House of Representatives and the Committee on Youth, Women and Family Relations of the Senate, the Council for the Welfare of Children, the Department of Justice (DOJ), the Department of Foreign Affairs (DFA), the office of the Supreme Court Administrator, the Philippine Association of Civil Registrars (PACR) and the UP Law Center, issue the necessary rules/regulations for the effective implementation of this Act not later than one (1) month from its effectivity.</w:t>
      </w:r>
    </w:p>
    <w:p w:rsidR="00000000" w:rsidDel="00000000" w:rsidP="00000000" w:rsidRDefault="00000000" w:rsidRPr="00000000" w14:paraId="00000008">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Section 3.</w:t>
      </w:r>
      <w:r w:rsidDel="00000000" w:rsidR="00000000" w:rsidRPr="00000000">
        <w:rPr>
          <w:i w:val="1"/>
          <w:iCs w:val="1"/>
          <w:color w:val="000080"/>
          <w:sz w:val="21"/>
          <w:szCs w:val="21"/>
          <w:rtl w:val="0"/>
        </w:rPr>
        <w:t xml:space="preserve"> Repealing Clause.</w:t>
      </w:r>
      <w:r w:rsidDel="00000000" w:rsidR="00000000" w:rsidRPr="00000000">
        <w:rPr>
          <w:color w:val="000080"/>
          <w:sz w:val="21"/>
          <w:szCs w:val="21"/>
          <w:rtl w:val="0"/>
        </w:rPr>
        <w:t xml:space="preserve"> – All laws, presidential decrees, executive orders, proclamations and/or administrative regulations which are inconsistent with the provisions of this Act are hereby amended, modified, superseded or repealed accordingly.</w:t>
      </w:r>
    </w:p>
    <w:p w:rsidR="00000000" w:rsidDel="00000000" w:rsidP="00000000" w:rsidRDefault="00000000" w:rsidRPr="00000000" w14:paraId="00000009">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Section 4.</w:t>
      </w:r>
      <w:r w:rsidDel="00000000" w:rsidR="00000000" w:rsidRPr="00000000">
        <w:rPr>
          <w:i w:val="1"/>
          <w:iCs w:val="1"/>
          <w:color w:val="000080"/>
          <w:sz w:val="21"/>
          <w:szCs w:val="21"/>
          <w:rtl w:val="0"/>
        </w:rPr>
        <w:t xml:space="preserve"> Effectivity Clause.</w:t>
      </w:r>
      <w:r w:rsidDel="00000000" w:rsidR="00000000" w:rsidRPr="00000000">
        <w:rPr>
          <w:color w:val="000080"/>
          <w:sz w:val="21"/>
          <w:szCs w:val="21"/>
          <w:rtl w:val="0"/>
        </w:rPr>
        <w:t xml:space="preserve"> – This Act shall take effect fifteen (15) days after its complete publication in the Official Gazette or in at least two (2) newspapers of national circulation.</w:t>
      </w:r>
    </w:p>
    <w:p w:rsidR="00000000" w:rsidDel="00000000" w:rsidP="00000000" w:rsidRDefault="00000000" w:rsidRPr="00000000" w14:paraId="0000000A">
      <w:pPr>
        <w:shd w:fill="ffffff" w:val="clear"/>
        <w:spacing w:after="220" w:before="220" w:lineRule="auto"/>
        <w:rPr>
          <w:color w:val="000080"/>
          <w:sz w:val="21"/>
          <w:szCs w:val="21"/>
        </w:rPr>
      </w:pPr>
      <w:r w:rsidDel="00000000" w:rsidR="00000000" w:rsidRPr="00000000">
        <w:rPr>
          <w:color w:val="000080"/>
          <w:sz w:val="21"/>
          <w:szCs w:val="21"/>
          <w:rtl w:val="0"/>
        </w:rPr>
        <w:t xml:space="preserve">Approved,</w:t>
      </w:r>
    </w:p>
    <w:tbl>
      <w:tblPr>
        <w:tblStyle w:val="Table1"/>
        <w:tblW w:w="8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90"/>
        <w:gridCol w:w="4190"/>
        <w:tblGridChange w:id="0">
          <w:tblGrid>
            <w:gridCol w:w="4190"/>
            <w:gridCol w:w="4190"/>
          </w:tblGrid>
        </w:tblGridChange>
      </w:tblGrid>
      <w:tr>
        <w:trPr>
          <w:cantSplit w:val="0"/>
          <w:trHeight w:val="7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b w:val="1"/>
                <w:bCs w:val="1"/>
                <w:color w:val="000080"/>
                <w:sz w:val="21"/>
                <w:szCs w:val="21"/>
              </w:rPr>
            </w:pPr>
            <w:r w:rsidDel="00000000" w:rsidR="00000000" w:rsidRPr="00000000">
              <w:rPr>
                <w:b w:val="1"/>
                <w:bCs w:val="1"/>
                <w:color w:val="000080"/>
                <w:sz w:val="21"/>
                <w:szCs w:val="21"/>
                <w:rtl w:val="0"/>
              </w:rPr>
              <w:t xml:space="preserve">JUAN PONCE ENRILE</w:t>
            </w:r>
          </w:p>
          <w:p w:rsidR="00000000" w:rsidDel="00000000" w:rsidP="00000000" w:rsidRDefault="00000000" w:rsidRPr="00000000" w14:paraId="0000000C">
            <w:pPr>
              <w:jc w:val="center"/>
              <w:rPr/>
            </w:pPr>
            <w:r w:rsidDel="00000000" w:rsidR="00000000" w:rsidRPr="00000000">
              <w:rPr>
                <w:color w:val="000080"/>
                <w:sz w:val="21"/>
                <w:szCs w:val="21"/>
                <w:rtl w:val="0"/>
              </w:rPr>
              <w:t xml:space="preserve">President of the Senate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b w:val="1"/>
                <w:bCs w:val="1"/>
                <w:color w:val="000080"/>
                <w:sz w:val="21"/>
                <w:szCs w:val="21"/>
              </w:rPr>
            </w:pPr>
            <w:r w:rsidDel="00000000" w:rsidR="00000000" w:rsidRPr="00000000">
              <w:rPr>
                <w:b w:val="1"/>
                <w:bCs w:val="1"/>
                <w:color w:val="000080"/>
                <w:sz w:val="21"/>
                <w:szCs w:val="21"/>
                <w:rtl w:val="0"/>
              </w:rPr>
              <w:t xml:space="preserve">PROSPERO C. NOGRALES</w:t>
            </w:r>
          </w:p>
          <w:p w:rsidR="00000000" w:rsidDel="00000000" w:rsidP="00000000" w:rsidRDefault="00000000" w:rsidRPr="00000000" w14:paraId="0000000E">
            <w:pPr>
              <w:jc w:val="center"/>
              <w:rPr/>
            </w:pPr>
            <w:r w:rsidDel="00000000" w:rsidR="00000000" w:rsidRPr="00000000">
              <w:rPr>
                <w:color w:val="000080"/>
                <w:sz w:val="21"/>
                <w:szCs w:val="21"/>
                <w:rtl w:val="0"/>
              </w:rPr>
              <w:t xml:space="preserve">Speaker of the House of Representatives</w:t>
            </w:r>
            <w:r w:rsidDel="00000000" w:rsidR="00000000" w:rsidRPr="00000000">
              <w:rPr>
                <w:rtl w:val="0"/>
              </w:rPr>
            </w:r>
          </w:p>
        </w:tc>
      </w:tr>
    </w:tbl>
    <w:p w:rsidR="00000000" w:rsidDel="00000000" w:rsidP="00000000" w:rsidRDefault="00000000" w:rsidRPr="00000000" w14:paraId="0000000F">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This Act which is a consolidation of House Bill No. 5279 and Senate Bill No. 3111 was finally passed by the House of Representatives and the Senate on October 13, 2009.</w:t>
      </w:r>
    </w:p>
    <w:p w:rsidR="00000000" w:rsidDel="00000000" w:rsidP="00000000" w:rsidRDefault="00000000" w:rsidRPr="00000000" w14:paraId="00000010">
      <w:pPr>
        <w:rPr/>
      </w:pPr>
      <w:r w:rsidDel="00000000" w:rsidR="00000000" w:rsidRPr="00000000">
        <w:rPr>
          <w:rtl w:val="0"/>
        </w:rPr>
      </w:r>
    </w:p>
    <w:tbl>
      <w:tblPr>
        <w:tblStyle w:val="Table2"/>
        <w:tblW w:w="8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90"/>
        <w:gridCol w:w="4190"/>
        <w:tblGridChange w:id="0">
          <w:tblGrid>
            <w:gridCol w:w="4190"/>
            <w:gridCol w:w="4190"/>
          </w:tblGrid>
        </w:tblGridChange>
      </w:tblGrid>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b w:val="1"/>
                <w:bCs w:val="1"/>
                <w:color w:val="000080"/>
                <w:sz w:val="21"/>
                <w:szCs w:val="21"/>
              </w:rPr>
            </w:pPr>
            <w:r w:rsidDel="00000000" w:rsidR="00000000" w:rsidRPr="00000000">
              <w:rPr>
                <w:b w:val="1"/>
                <w:bCs w:val="1"/>
                <w:color w:val="000080"/>
                <w:sz w:val="21"/>
                <w:szCs w:val="21"/>
                <w:rtl w:val="0"/>
              </w:rPr>
              <w:t xml:space="preserve">EMMA LIRIO-REYES</w:t>
            </w:r>
          </w:p>
          <w:p w:rsidR="00000000" w:rsidDel="00000000" w:rsidP="00000000" w:rsidRDefault="00000000" w:rsidRPr="00000000" w14:paraId="00000012">
            <w:pPr>
              <w:jc w:val="center"/>
              <w:rPr/>
            </w:pPr>
            <w:r w:rsidDel="00000000" w:rsidR="00000000" w:rsidRPr="00000000">
              <w:rPr>
                <w:color w:val="000080"/>
                <w:sz w:val="21"/>
                <w:szCs w:val="21"/>
                <w:rtl w:val="0"/>
              </w:rPr>
              <w:t xml:space="preserve">Secretary of the Senate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b w:val="1"/>
                <w:bCs w:val="1"/>
                <w:color w:val="000080"/>
                <w:sz w:val="21"/>
                <w:szCs w:val="21"/>
              </w:rPr>
            </w:pPr>
            <w:r w:rsidDel="00000000" w:rsidR="00000000" w:rsidRPr="00000000">
              <w:rPr>
                <w:b w:val="1"/>
                <w:bCs w:val="1"/>
                <w:color w:val="000080"/>
                <w:sz w:val="21"/>
                <w:szCs w:val="21"/>
                <w:rtl w:val="0"/>
              </w:rPr>
              <w:t xml:space="preserve">MARILYN B. BARUA-YAP</w:t>
            </w:r>
          </w:p>
          <w:p w:rsidR="00000000" w:rsidDel="00000000" w:rsidP="00000000" w:rsidRDefault="00000000" w:rsidRPr="00000000" w14:paraId="00000014">
            <w:pPr>
              <w:jc w:val="center"/>
              <w:rPr/>
            </w:pPr>
            <w:r w:rsidDel="00000000" w:rsidR="00000000" w:rsidRPr="00000000">
              <w:rPr>
                <w:color w:val="000080"/>
                <w:sz w:val="21"/>
                <w:szCs w:val="21"/>
                <w:rtl w:val="0"/>
              </w:rPr>
              <w:t xml:space="preserve">Secretary General House of Representaives</w:t>
            </w:r>
            <w:r w:rsidDel="00000000" w:rsidR="00000000" w:rsidRPr="00000000">
              <w:rPr>
                <w:rtl w:val="0"/>
              </w:rPr>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hd w:fill="ffffff" w:val="clear"/>
        <w:spacing w:after="220" w:before="220" w:lineRule="auto"/>
        <w:rPr>
          <w:color w:val="000080"/>
          <w:sz w:val="21"/>
          <w:szCs w:val="21"/>
        </w:rPr>
      </w:pPr>
      <w:r w:rsidDel="00000000" w:rsidR="00000000" w:rsidRPr="00000000">
        <w:rPr>
          <w:color w:val="000080"/>
          <w:sz w:val="21"/>
          <w:szCs w:val="21"/>
          <w:rtl w:val="0"/>
        </w:rPr>
        <w:t xml:space="preserve">Approved: DEC 20, 2009</w:t>
      </w:r>
    </w:p>
    <w:p w:rsidR="00000000" w:rsidDel="00000000" w:rsidP="00000000" w:rsidRDefault="00000000" w:rsidRPr="00000000" w14:paraId="00000017">
      <w:pPr>
        <w:shd w:fill="ffffff" w:val="clear"/>
        <w:spacing w:after="220" w:before="220" w:lineRule="auto"/>
        <w:rPr>
          <w:color w:val="000080"/>
          <w:sz w:val="21"/>
          <w:szCs w:val="21"/>
        </w:rPr>
      </w:pPr>
      <w:r w:rsidDel="00000000" w:rsidR="00000000" w:rsidRPr="00000000">
        <w:rPr>
          <w:b w:val="1"/>
          <w:bCs w:val="1"/>
          <w:color w:val="000080"/>
          <w:sz w:val="21"/>
          <w:szCs w:val="21"/>
          <w:rtl w:val="0"/>
        </w:rPr>
        <w:t xml:space="preserve">GLORIA MACAPAGAL–ARROYO</w:t>
        <w:br w:type="textWrapping"/>
      </w:r>
      <w:r w:rsidDel="00000000" w:rsidR="00000000" w:rsidRPr="00000000">
        <w:rPr>
          <w:color w:val="000080"/>
          <w:sz w:val="21"/>
          <w:szCs w:val="21"/>
          <w:rtl w:val="0"/>
        </w:rPr>
        <w:t xml:space="preserve">President of the Philippines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