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7oamhydat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73 &amp; 74: Settlement of Estate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Republic Act No. 11576 (2021)</w:t>
      </w:r>
      <w:r w:rsidDel="00000000" w:rsidR="00000000" w:rsidRPr="00000000">
        <w:rPr>
          <w:rtl w:val="0"/>
        </w:rPr>
        <w:t xml:space="preserve"> amended the jurisdictional thresholds originally set by BP 129 and RA 7691. This update accounts for inflation and court decongestion by shifting higher-value estates to the first-level courts.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The exclusive original jurisdiction for probate proceedings (testate and intestate) is now divided as follows:</w:t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MTC/MeTC/MTCC:</w:t>
      </w:r>
      <w:r w:rsidDel="00000000" w:rsidR="00000000" w:rsidRPr="00000000">
        <w:rPr>
          <w:rtl w:val="0"/>
        </w:rPr>
        <w:t xml:space="preserve"> Gross value of the estate </w:t>
      </w:r>
      <w:r w:rsidDel="00000000" w:rsidR="00000000" w:rsidRPr="00000000">
        <w:rPr>
          <w:b w:val="1"/>
          <w:bCs w:val="1"/>
          <w:rtl w:val="0"/>
        </w:rPr>
        <w:t xml:space="preserve">does not exceed ₱2,000,000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RTC:</w:t>
      </w:r>
      <w:r w:rsidDel="00000000" w:rsidR="00000000" w:rsidRPr="00000000">
        <w:rPr>
          <w:rtl w:val="0"/>
        </w:rPr>
        <w:t xml:space="preserve"> Gross value of the estate </w:t>
      </w:r>
      <w:r w:rsidDel="00000000" w:rsidR="00000000" w:rsidRPr="00000000">
        <w:rPr>
          <w:b w:val="1"/>
          <w:bCs w:val="1"/>
          <w:rtl w:val="0"/>
        </w:rPr>
        <w:t xml:space="preserve">exceeds ₱2,000,000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Rule 74, Section 2's specific mention of a ₱10,000 limit for summary settlement is considered superseded by these general jurisdictional increases.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9y3fcofl4b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 92–97: Guardianship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Supreme Court promulgated </w:t>
      </w:r>
      <w:r w:rsidDel="00000000" w:rsidR="00000000" w:rsidRPr="00000000">
        <w:rPr>
          <w:b w:val="1"/>
          <w:bCs w:val="1"/>
          <w:rtl w:val="0"/>
        </w:rPr>
        <w:t xml:space="preserve">A.M. No. 03-02-05-SC (2003)</w:t>
      </w:r>
      <w:r w:rsidDel="00000000" w:rsidR="00000000" w:rsidRPr="00000000">
        <w:rPr>
          <w:rtl w:val="0"/>
        </w:rPr>
        <w:t xml:space="preserve">, creating a distinct procedural framework for minors versus incompetent adults.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Minors:</w:t>
      </w:r>
      <w:r w:rsidDel="00000000" w:rsidR="00000000" w:rsidRPr="00000000">
        <w:rPr>
          <w:rtl w:val="0"/>
        </w:rPr>
        <w:t xml:space="preserve"> Rules 92–97 are </w:t>
      </w:r>
      <w:r w:rsidDel="00000000" w:rsidR="00000000" w:rsidRPr="00000000">
        <w:rPr>
          <w:b w:val="1"/>
          <w:bCs w:val="1"/>
          <w:rtl w:val="0"/>
        </w:rPr>
        <w:t xml:space="preserve">superseded</w:t>
      </w:r>
      <w:r w:rsidDel="00000000" w:rsidR="00000000" w:rsidRPr="00000000">
        <w:rPr>
          <w:rtl w:val="0"/>
        </w:rPr>
        <w:t xml:space="preserve"> by the </w:t>
      </w:r>
      <w:r w:rsidDel="00000000" w:rsidR="00000000" w:rsidRPr="00000000">
        <w:rPr>
          <w:i w:val="1"/>
          <w:iCs w:val="1"/>
          <w:rtl w:val="0"/>
        </w:rPr>
        <w:t xml:space="preserve">Rule on Guardianship of Minors</w:t>
      </w:r>
      <w:r w:rsidDel="00000000" w:rsidR="00000000" w:rsidRPr="00000000">
        <w:rPr>
          <w:rtl w:val="0"/>
        </w:rPr>
        <w:t xml:space="preserve">. Jurisdiction is transferred to </w:t>
      </w:r>
      <w:r w:rsidDel="00000000" w:rsidR="00000000" w:rsidRPr="00000000">
        <w:rPr>
          <w:b w:val="1"/>
          <w:bCs w:val="1"/>
          <w:rtl w:val="0"/>
        </w:rPr>
        <w:t xml:space="preserve">Family Courts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Incompetent Adults:</w:t>
      </w:r>
      <w:r w:rsidDel="00000000" w:rsidR="00000000" w:rsidRPr="00000000">
        <w:rPr>
          <w:rtl w:val="0"/>
        </w:rPr>
        <w:t xml:space="preserve"> Rules 92–97 remain the governing procedure for adults who are hospitalized lepers, prodigals, or of unsound mind. Jurisdiction remains with </w:t>
      </w:r>
      <w:r w:rsidDel="00000000" w:rsidR="00000000" w:rsidRPr="00000000">
        <w:rPr>
          <w:b w:val="1"/>
          <w:bCs w:val="1"/>
          <w:rtl w:val="0"/>
        </w:rPr>
        <w:t xml:space="preserve">regular Regional Trial Courts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uxfuc9njv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Rules 99–100: Adoption and Rescission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Republic Act No. 11642 (2022)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i w:val="1"/>
          <w:iCs w:val="1"/>
          <w:rtl w:val="0"/>
        </w:rPr>
        <w:t xml:space="preserve">Domestic Administrative Adoption and Alternative Child Care Act</w:t>
      </w:r>
      <w:r w:rsidDel="00000000" w:rsidR="00000000" w:rsidRPr="00000000">
        <w:rPr>
          <w:rtl w:val="0"/>
        </w:rPr>
        <w:t xml:space="preserve">, moved adoption from a judicial to a purely administrative process.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Rule 99:</w:t>
      </w:r>
      <w:r w:rsidDel="00000000" w:rsidR="00000000" w:rsidRPr="00000000">
        <w:rPr>
          <w:rtl w:val="0"/>
        </w:rPr>
        <w:t xml:space="preserve"> Judicial adoption is effectively </w:t>
      </w:r>
      <w:r w:rsidDel="00000000" w:rsidR="00000000" w:rsidRPr="00000000">
        <w:rPr>
          <w:b w:val="1"/>
          <w:bCs w:val="1"/>
          <w:rtl w:val="0"/>
        </w:rPr>
        <w:t xml:space="preserve">inoperative</w:t>
      </w:r>
      <w:r w:rsidDel="00000000" w:rsidR="00000000" w:rsidRPr="00000000">
        <w:rPr>
          <w:rtl w:val="0"/>
        </w:rPr>
        <w:t xml:space="preserve">. All domestic adoption petitions must now be filed administratively with the </w:t>
      </w:r>
      <w:r w:rsidDel="00000000" w:rsidR="00000000" w:rsidRPr="00000000">
        <w:rPr>
          <w:b w:val="1"/>
          <w:bCs w:val="1"/>
          <w:rtl w:val="0"/>
        </w:rPr>
        <w:t xml:space="preserve">National Authority for Child Care (NACC)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Rule 100:</w:t>
      </w:r>
      <w:r w:rsidDel="00000000" w:rsidR="00000000" w:rsidRPr="00000000">
        <w:rPr>
          <w:rtl w:val="0"/>
        </w:rPr>
        <w:t xml:space="preserve"> Rescission of adoption is likewise now an </w:t>
      </w:r>
      <w:r w:rsidDel="00000000" w:rsidR="00000000" w:rsidRPr="00000000">
        <w:rPr>
          <w:b w:val="1"/>
          <w:bCs w:val="1"/>
          <w:rtl w:val="0"/>
        </w:rPr>
        <w:t xml:space="preserve">administrative process</w:t>
      </w:r>
      <w:r w:rsidDel="00000000" w:rsidR="00000000" w:rsidRPr="00000000">
        <w:rPr>
          <w:rtl w:val="0"/>
        </w:rPr>
        <w:t xml:space="preserve"> handled by the NACC. Courts no longer have original jurisdiction over new domestic adoption or rescission cases.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lk0jcec9t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104: Voluntary Dissolution of Corporations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Revised Corporation Code (RA 11232, 2019)</w:t>
      </w:r>
      <w:r w:rsidDel="00000000" w:rsidR="00000000" w:rsidRPr="00000000">
        <w:rPr>
          <w:rtl w:val="0"/>
        </w:rPr>
        <w:t xml:space="preserve"> updated the requirements for corporate dissolution to streamline the exit of business entities.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While Rule 104 provides the judicial procedure, the </w:t>
      </w:r>
      <w:r w:rsidDel="00000000" w:rsidR="00000000" w:rsidRPr="00000000">
        <w:rPr>
          <w:b w:val="1"/>
          <w:bCs w:val="1"/>
          <w:rtl w:val="0"/>
        </w:rPr>
        <w:t xml:space="preserve">Securities and Exchange Commission (SEC)</w:t>
      </w:r>
      <w:r w:rsidDel="00000000" w:rsidR="00000000" w:rsidRPr="00000000">
        <w:rPr>
          <w:rtl w:val="0"/>
        </w:rPr>
        <w:t xml:space="preserve"> now handles the majority of voluntary dissolutions administratively. Judicial dissolution under Rule 104 is reserved for cases where creditors are affected or where there is a controversy among stockholders that requires court intervention.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r5m1zg63t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106: Constitution of Family Home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Family Code of the Philippines (1988)</w:t>
      </w:r>
      <w:r w:rsidDel="00000000" w:rsidR="00000000" w:rsidRPr="00000000">
        <w:rPr>
          <w:rtl w:val="0"/>
        </w:rPr>
        <w:t xml:space="preserve"> fundamentally changed how a family home is established.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Rule 106 is considered </w:t>
      </w:r>
      <w:r w:rsidDel="00000000" w:rsidR="00000000" w:rsidRPr="00000000">
        <w:rPr>
          <w:b w:val="1"/>
          <w:bCs w:val="1"/>
          <w:rtl w:val="0"/>
        </w:rPr>
        <w:t xml:space="preserve">defunct or "dead" law</w:t>
      </w:r>
      <w:r w:rsidDel="00000000" w:rsidR="00000000" w:rsidRPr="00000000">
        <w:rPr>
          <w:rtl w:val="0"/>
        </w:rPr>
        <w:t xml:space="preserve">. Under the Family Code (Arts. 152–153), the family home is </w:t>
      </w:r>
      <w:r w:rsidDel="00000000" w:rsidR="00000000" w:rsidRPr="00000000">
        <w:rPr>
          <w:b w:val="1"/>
          <w:bCs w:val="1"/>
          <w:rtl w:val="0"/>
        </w:rPr>
        <w:t xml:space="preserve">automatically constituted</w:t>
      </w:r>
      <w:r w:rsidDel="00000000" w:rsidR="00000000" w:rsidRPr="00000000">
        <w:rPr>
          <w:rtl w:val="0"/>
        </w:rPr>
        <w:t xml:space="preserve"> by operation of law from the time it is occupied as a family residence. There is no longer a need for the judicial petition described in Rule 106.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ofwkvwo3f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108: Cancellation or Correction of Entries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RA 9048 (2001)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RA 10172 (2012)</w:t>
      </w:r>
      <w:r w:rsidDel="00000000" w:rsidR="00000000" w:rsidRPr="00000000">
        <w:rPr>
          <w:rtl w:val="0"/>
        </w:rPr>
        <w:t xml:space="preserve"> created an administrative remedy for clerical and typographical errors.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Administrative Path:</w:t>
      </w:r>
      <w:r w:rsidDel="00000000" w:rsidR="00000000" w:rsidRPr="00000000">
        <w:rPr>
          <w:rtl w:val="0"/>
        </w:rPr>
        <w:t xml:space="preserve"> Errors in the first name, nickname, day/month of birth, or sex (clerical) must first be filed with the </w:t>
      </w:r>
      <w:r w:rsidDel="00000000" w:rsidR="00000000" w:rsidRPr="00000000">
        <w:rPr>
          <w:b w:val="1"/>
          <w:bCs w:val="1"/>
          <w:rtl w:val="0"/>
        </w:rPr>
        <w:t xml:space="preserve">Local Civil Registrar (LCR)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Judicial Path (Rule 108):</w:t>
      </w:r>
      <w:r w:rsidDel="00000000" w:rsidR="00000000" w:rsidRPr="00000000">
        <w:rPr>
          <w:rtl w:val="0"/>
        </w:rPr>
        <w:t xml:space="preserve"> Now limited to </w:t>
      </w:r>
      <w:r w:rsidDel="00000000" w:rsidR="00000000" w:rsidRPr="00000000">
        <w:rPr>
          <w:b w:val="1"/>
          <w:bCs w:val="1"/>
          <w:rtl w:val="0"/>
        </w:rPr>
        <w:t xml:space="preserve">substantial/adversarial changes</w:t>
      </w:r>
      <w:r w:rsidDel="00000000" w:rsidR="00000000" w:rsidRPr="00000000">
        <w:rPr>
          <w:rtl w:val="0"/>
        </w:rPr>
        <w:t xml:space="preserve"> such as citizenship, legitimacy, status, or the year of birth. Rule 108 remains a fallback only after administrative remedies are exhausted or if the change is substantial.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2sqqabmpf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109: Appeals in Special Proceedings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A.M. No. 19-10-20-SC (2019 Amendments)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RA 11576</w:t>
      </w:r>
      <w:r w:rsidDel="00000000" w:rsidR="00000000" w:rsidRPr="00000000">
        <w:rPr>
          <w:rtl w:val="0"/>
        </w:rPr>
        <w:t xml:space="preserve"> refined the appellate process for special proceedings.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Effect:</w:t>
      </w:r>
      <w:r w:rsidDel="00000000" w:rsidR="00000000" w:rsidRPr="00000000">
        <w:rPr>
          <w:rtl w:val="0"/>
        </w:rPr>
        <w:t xml:space="preserve"> Because special proceedings often involve multiple stages (e.g., allowance of a will vs. final distribution), the </w:t>
      </w:r>
      <w:r w:rsidDel="00000000" w:rsidR="00000000" w:rsidRPr="00000000">
        <w:rPr>
          <w:b w:val="1"/>
          <w:bCs w:val="1"/>
          <w:rtl w:val="0"/>
        </w:rPr>
        <w:t xml:space="preserve">Record on Appeal</w:t>
      </w:r>
      <w:r w:rsidDel="00000000" w:rsidR="00000000" w:rsidRPr="00000000">
        <w:rPr>
          <w:rtl w:val="0"/>
        </w:rPr>
        <w:t xml:space="preserve"> remains a mandatory requirement for most appeals under this Rule. The period to appeal is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 (instead of the standard 15 days for a Notice of Appeal) because of the requirement to submit a full record of the proceedings.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