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DM Serif Display" w:cs="DM Serif Display" w:eastAsia="DM Serif Display" w:hAnsi="DM Serif Display"/>
          <w:color w:val="111111"/>
          <w:sz w:val="42"/>
          <w:szCs w:val="42"/>
        </w:rPr>
        <w:t xml:space="preserve">Una </w:t>
      </w:r>
      <w:r>
        <w:rPr>
          <w:rFonts w:ascii="DM Serif Display" w:cs="DM Serif Display" w:eastAsia="DM Serif Display" w:hAnsi="DM Serif Display"/>
          <w:color w:val="1B4E6B"/>
          <w:sz w:val="42"/>
          <w:szCs w:val="42"/>
        </w:rPr>
        <w:t xml:space="preserve">Diagnostica di marketing sull'IA</w:t>
      </w:r>
      <w:r>
        <w:rPr>
          <w:rFonts w:ascii="DM Serif Display" w:cs="DM Serif Display" w:eastAsia="DM Serif Display" w:hAnsi="DM Serif Display"/>
          <w:color w:val="111111"/>
          <w:sz w:val="42"/>
          <w:szCs w:val="42"/>
        </w:rPr>
        <w:t xml:space="preserve"> in 10 domande</w:t>
      </w:r>
    </w:p>
    <w:p>
      <w:pPr>
        <w:spacing w:after="140"/>
      </w:pPr>
      <w:r>
        <w:rPr>
          <w:rFonts w:ascii="DM Sans" w:cs="DM Sans" w:eastAsia="DM Sans" w:hAnsi="DM Sans"/>
          <w:color w:val="666666"/>
          <w:sz w:val="20"/>
          <w:szCs w:val="20"/>
        </w:rPr>
        <w:t xml:space="preserve">Ecco come l'AI sta davvero funzionando (o non funzionando) all'interno del tuo team marketing. Questo audit di cinque minuti darà chiarezza su come stanno le cose: quali strumenti usa il tuo team, cosa producono e chi risponde del risultato. Trasforma l'adozione rapida e informale dell'AI del tuo team in un sistema coerente, strutturato e affidabile sul quale continua a crescere il tuo business.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3F3F3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r>
              <w:rPr>
                <w:rFonts w:ascii="DM Sans" w:cs="DM Sans" w:eastAsia="DM Sans" w:hAnsi="DM Sans"/>
                <w:b/>
                <w:bCs/>
                <w:color w:val="1B4E6B"/>
                <w:sz w:val="19"/>
                <w:szCs w:val="19"/>
              </w:rPr>
              <w:t xml:space="preserve">Due date da conoscere. </w:t>
            </w: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Da febbraio 2025 le organizzazioni europee devono assicurarsi che le proprie persone siano formate a usare bene l'AI. Da agosto 2026 i contenuti generati dall'AI e gli assistenti AI devono essere riconoscibili come tali. Nessuno dei due è gravoso: sono ormai parte del fare marketing come si deve.</w:t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111111"/>
          <w:sz w:val="8"/>
          <w:szCs w:val="8"/>
        </w:rPr>
        <w:t xml:space="preserve"/>
      </w:r>
    </w:p>
    <w:p>
      <w:pPr>
        <w:spacing w:after="30"/>
      </w:pPr>
      <w:r>
        <w:rPr>
          <w:rFonts w:ascii="DM Sans" w:cs="DM Sans" w:eastAsia="DM Sans" w:hAnsi="DM Sans"/>
          <w:color w:val="666666"/>
          <w:sz w:val="19"/>
          <w:szCs w:val="19"/>
        </w:rPr>
        <w:t xml:space="preserve">Scegli la risposta più vicina alla realtà del tuo team — le risposte oneste rendono utile il risultato.</w:t>
      </w:r>
    </w:p>
    <w:p>
      <w:pPr>
        <w:pBdr>
          <w:bottom w:val="single" w:color="E3E3E3" w:sz="4" w:space="1"/>
        </w:pBdr>
        <w:spacing w:after="260" w:before="16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1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Quali strumenti AI usa davvero il tuo marketing, e chi li ha approvati?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Un elenco aggiornato, con un responsabile indicato per ogni strumento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Potrei ricostruirlo a memoria e da qualche fattura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Ognuno sceglie i propri; conosco i principali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Dovrei chiedere in giro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Un elenco condiviso è la cosa meno complicata di questa pagina e quella che sblocca tutto il resto: spesa visibile, output coerente e una risposta chiara quando un cliente ti chiede cosa usi. È anche il punto da cui parte l'AI Act europeo.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2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C'è qualcosa che porta il tuo marchio ma funziona su un'AI che non hai sviluppato?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Sì — e sappiamo che questo ci rende fornitori, non semplici utilizzatori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Sì, ma lo consideriamo responsabilità del fornitore terzo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Non ancora, ma è in programma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Non so bene cosa rientri in questa categoria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Mettere il tuo logo su un assistente AI cambia la tua posizione: smetti di essere cliente dello strumento e diventi chi ne risponde. Meglio saperlo prima del lancio che dopo — l'AI Act ti considera il suo fornitore (articolo 3, punto 3), non semplicemente chi lo usa.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3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Quando qualcuno parla con il tuo chatbot, assistente o agente vocale AI, viene informato che si tratta di AI?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Sì — dichiarato chiaramente alla prima interazione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È implicito nel design, non dichiarato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Solo se lo chiede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Non ne abbiamo uno, oppure non lo so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Dirlo non costa nulla e protegge la fiducia: alle persone dispiace molto di più essere ingannate che parlare con un bot. Anche l'AI Act lo richiede, alla prima interazione e non su domanda (articolo 50).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4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Pubblichi immagini, video o audio generati o modificati con l'AI che ritraggono persone, luoghi o eventi?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Sì — e ognuno di essi è etichettato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Sì — etichettati a volte, a seconda del canale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Sì — mai etichettati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Non che io sappia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Etichettare le immagini sintetiche di persone, luoghi o eventi reali sta diventando rapidamente il segno di un brand credibile. Quando il contenuto può essere scambiato per reale, l'AI Act ne impone la dichiarazione (articolo 50).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5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Chi approva i testi redatti con l'AI prima che vengano pubblicati?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Una persona indicata li rivede e li approva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Chi ha scritto il prompt dà una lettura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Vengono pubblicati sostanzialmente come generati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Dipende dal canale e dalle scadenze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L'abitudine più preziosa di questa pagina. Una persona indicata che legge tutto prima della pubblicazione è ciò che protegge il tuo tono di voce, i tuoi fatti e la tua reputazione — e per l'AI Act è anche ciò che elimina l'obbligo di dichiarazione per i testi scritti con l'AI (articolo 50).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6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Che formazione ha ricevuto il tuo team sugli strumenti AI che usa ogni giorno?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Formazione strutturata, aggiornata con l'evolvere degli strumenti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Una sessione informale o un documento condiviso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Hanno imparato da soli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Nessuna formazione formale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La formazione è ciò che distingue i team il cui output AI continua a migliorare da quelli in cui resta imprevedibile. Da febbraio 2025 le organizzazioni europee sono anche tenute a fornirla (articolo 4), senza esenzioni per i team piccoli.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7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Quali dati di clienti o dipendenti finiscono in quegli strumenti?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Regole scritte; dati personali esclusi o coperti da contratto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Un'intesa informale su cosa non si può inserire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Quello che serve per ottenere il risultato migliore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Non so cosa venga incollato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Un prompt che contiene dati dei clienti resta un trattamento, e l'AI Act lascia il GDPR pienamente intatto accanto a sé (articolo 2, paragrafo 7). Una regola interna chiara evita al tuo team di doverlo valutare caso per caso.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Il tuo targeting fa mai leva sulla vulnerabilità di una persona — età, disabilità o difficoltà economiche?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No, e le nostre regole di targeting sono scritte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No, ma non c'è nulla di documentato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Forse, in alcune campagne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Dovrei verificare cosa ottimizza la piattaforma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La pubblicità ordinaria è esplicitamente lecita: l'AI Act lo dice testualmente (considerando 29). Il confine è il targeting costruito per far leva sulla vulnerabilità di qualcuno, ed è utile poter mostrare da che parte ti trovi.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erif Display" w:cs="DM Serif Display" w:eastAsia="DM Serif Display" w:hAnsi="DM Serif Display"/>
                      <w:color w:val="1B4E6B"/>
                      <w:sz w:val="30"/>
                      <w:szCs w:val="30"/>
                    </w:rPr>
                    <w:t xml:space="preserve">9</w:t>
                  </w:r>
                </w:p>
              </w:tc>
              <w:tc>
                <w:tcPr>
                  <w:tcW w:type="dxa" w:w="8406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b/>
                      <w:bCs/>
                      <w:color w:val="111111"/>
                      <w:sz w:val="21"/>
                      <w:szCs w:val="21"/>
                    </w:rPr>
                    <w:t xml:space="preserve">Usi l'AI per annunci di lavoro, selezione di candidati o comunicazione politica ed elettorale?</w:t>
                  </w:r>
                </w:p>
              </w:tc>
            </w:tr>
          </w:tbl>
          <w:p>
            <w:pPr>
              <w:spacing w:after="9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440"/>
              <w:gridCol w:w="796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Nessuno dei due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B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Annunci di lavoro o selezione di candidati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Comunicazione politica o elettorale</w:t>
                  </w:r>
                </w:p>
              </w:tc>
            </w:tr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40"/>
                  <w:shd w:fill="F3F3F3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DM Sans" w:cs="DM Sans" w:eastAsia="DM Sans" w:hAnsi="DM Sans"/>
                      <w:b/>
                      <w:bCs/>
                      <w:color w:val="1B4E6B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7966"/>
                  <w:tcMar>
                    <w:top w:type="dxa" w:w="70"/>
                    <w:left w:type="dxa" w:w="170"/>
                    <w:bottom w:type="dxa" w:w="70"/>
                    <w:right w:type="dxa" w:w="0"/>
                  </w:tcMar>
                  <w:vAlign w:val="center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9"/>
                      <w:szCs w:val="19"/>
                    </w:rPr>
                    <w:t xml:space="preserve">Entrambi, oppure non ne sono certo</w:t>
                  </w:r>
                </w:p>
              </w:tc>
            </w:tr>
          </w:tbl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20"/>
              <w:gridCol w:w="8406"/>
            </w:tblGrid>
            <w:tr>
              <w:tc>
                <w:tcPr>
                  <w:tcW w:type="dxa" w:w="62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8406"/>
                  <w:tcMar>
                    <w:top w:type="dxa" w:w="110"/>
                    <w:left w:type="dxa" w:w="0"/>
                    <w:bottom w:type="dxa" w:w="0"/>
                    <w:right w:type="dxa" w:w="40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i/>
                      <w:iCs/>
                      <w:color w:val="666666"/>
                      <w:sz w:val="17"/>
                      <w:szCs w:val="17"/>
                    </w:rPr>
                    <w:t xml:space="preserve">Sono i due ambiti in cui il lavoro di marketing quotidiano comporta obblighi più pesanti ai sensi dell'AI Act (allegato III): sorveglianza umana competente, conservazione dei registri e informativa alle persone su cui il sistema è stato usato. Una conversazione da avere prima della prossima campagna, non durante.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DM Sans" w:cs="DM Sans" w:eastAsia="DM Sans" w:hAnsi="DM Sans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E3E3E3" w:sz="4" w:space="1"/>
        </w:pBdr>
        <w:spacing w:after="240" w:before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20"/>
        <w:gridCol w:w="8406"/>
      </w:tblGrid>
      <w:tr>
        <w:trPr>
          <w:cantSplit/>
        </w:trPr>
        <w:tc>
          <w:tcPr>
            <w:tcW w:type="dxa" w:w="62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rPr>
                <w:rFonts w:ascii="DM Serif Display" w:cs="DM Serif Display" w:eastAsia="DM Serif Display" w:hAnsi="DM Serif Display"/>
                <w:color w:val="1B4E6B"/>
                <w:sz w:val="30"/>
                <w:szCs w:val="30"/>
              </w:rPr>
              <w:t xml:space="preserve">10</w:t>
            </w:r>
          </w:p>
        </w:tc>
        <w:tc>
          <w:tcPr>
            <w:tcW w:type="dxa" w:w="84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111111"/>
                <w:sz w:val="21"/>
                <w:szCs w:val="21"/>
              </w:rPr>
              <w:t xml:space="preserve">Quale decisione sull'AI è ferma nella tua organizzazione perché nessuno sa con certezza a chi spetta?</w:t>
            </w:r>
          </w:p>
          <w:p>
            <w:pPr>
              <w:spacing w:after="240"/>
            </w:pPr>
            <w:r>
              <w:rPr>
                <w:rFonts w:ascii="DM Sans" w:cs="DM Sans" w:eastAsia="DM Sans" w:hAnsi="DM Sans"/>
                <w:i/>
                <w:iCs/>
                <w:color w:val="666666"/>
                <w:sz w:val="19"/>
                <w:szCs w:val="19"/>
              </w:rPr>
              <w:t xml:space="preserve">Una riga. Sii specifico — “chi approva le immagini AI per i social”, non “governance dell'AI”.</w:t>
            </w:r>
          </w:p>
          <w:tbl>
            <w:tblPr>
              <w:tblW w:type="dxa" w:w="800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8006"/>
            </w:tblGrid>
            <w:tr>
              <w:tc>
                <w:tcPr>
                  <w:tcW w:type="dxa" w:w="8006"/>
                  <w:tcBorders>
                    <w:top w:val="none" w:color="auto" w:sz="0"/>
                    <w:left w:val="none" w:color="auto" w:sz="0"/>
                    <w:bottom w:val="single" w:color="BBBBBB" w:sz="4"/>
                    <w:right w:val="none" w:color="auto" w:sz="0"/>
                  </w:tcBorders>
                  <w:tcMar>
                    <w:top w:type="dxa" w:w="26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6"/>
                  <w:tcBorders>
                    <w:top w:val="none" w:color="auto" w:sz="0"/>
                    <w:left w:val="none" w:color="auto" w:sz="0"/>
                    <w:bottom w:val="single" w:color="BBBBBB" w:sz="4"/>
                    <w:right w:val="none" w:color="auto" w:sz="0"/>
                  </w:tcBorders>
                  <w:tcMar>
                    <w:top w:type="dxa" w:w="26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r>
                    <w:rPr>
                      <w:rFonts w:ascii="DM Sans" w:cs="DM Sans" w:eastAsia="DM Sans" w:hAnsi="DM Sans"/>
                      <w:color w:val="111111"/>
                      <w:sz w:val="8"/>
                      <w:szCs w:val="8"/>
                    </w:rPr>
                    <w:t xml:space="preserve"/>
                  </w:r>
                </w:p>
              </w:tc>
            </w:tr>
          </w:tbl>
          <w:p>
            <w:pPr>
              <w:spacing w:after="200"/>
            </w:pPr>
            <w:r>
              <w:rPr>
                <w:rFonts w:ascii="DM Sans" w:cs="DM Sans" w:eastAsia="DM Sans" w:hAnsi="DM Sans"/>
                <w:color w:val="111111"/>
                <w:sz w:val="8"/>
                <w:szCs w:val="8"/>
              </w:rPr>
              <w:t xml:space="preserve"/>
            </w:r>
          </w:p>
          <w:p>
            <w:r>
              <w:rPr>
                <w:rFonts w:ascii="DM Sans" w:cs="DM Sans" w:eastAsia="DM Sans" w:hAnsi="DM Sans"/>
                <w:i/>
                <w:iCs/>
                <w:color w:val="666666"/>
                <w:sz w:val="17"/>
                <w:szCs w:val="17"/>
              </w:rPr>
              <w:t xml:space="preserve">È la risposta più utile di questa pagina. Quasi sempre è una questione di chi decide, non di tecnologia — ed è di solito la cosa più rapida da risolvere.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1B4E6B"/>
          <w:spacing w:val="60"/>
          <w:sz w:val="15"/>
          <w:szCs w:val="15"/>
        </w:rPr>
        <w:t xml:space="preserve">IL TUO RISULTATO</w:t>
      </w:r>
    </w:p>
    <w:p>
      <w:pPr>
        <w:spacing w:after="60"/>
      </w:pPr>
      <w:r>
        <w:rPr>
          <w:rFonts w:ascii="DM Serif Display" w:cs="DM Serif Display" w:eastAsia="DM Serif Display" w:hAnsi="DM Serif Display"/>
          <w:color w:val="111111"/>
          <w:sz w:val="38"/>
          <w:szCs w:val="38"/>
        </w:rPr>
        <w:t xml:space="preserve">Cosa dicono le tue risposte</w:t>
      </w:r>
    </w:p>
    <w:p>
      <w:pPr>
        <w:spacing w:after="120"/>
      </w:pPr>
      <w:r>
        <w:rPr>
          <w:rFonts w:ascii="DM Sans" w:cs="DM Sans" w:eastAsia="DM Sans" w:hAnsi="DM Sans"/>
          <w:color w:val="666666"/>
          <w:sz w:val="19"/>
          <w:szCs w:val="19"/>
        </w:rPr>
        <w:t xml:space="preserve">Conta le risposte A, B, C e D dalla domanda 1 alla 9.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80"/>
        <w:gridCol w:w="6746"/>
      </w:tblGrid>
      <w:tr>
        <w:tc>
          <w:tcPr>
            <w:tcW w:type="dxa" w:w="2280"/>
            <w:shd w:fill="1B4E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pacing w:val="40"/>
                <w:sz w:val="15"/>
                <w:szCs w:val="15"/>
              </w:rPr>
              <w:t xml:space="preserve">SOPRATTUTTO C E D</w:t>
            </w:r>
          </w:p>
          <w:p>
            <w:pPr>
              <w:jc w:val="center"/>
            </w:pPr>
            <w:r>
              <w:rPr>
                <w:rFonts w:ascii="DM Serif Display" w:cs="DM Serif Display" w:eastAsia="DM Serif Display" w:hAnsi="DM Serif Display"/>
                <w:color w:val="FFFFFF"/>
                <w:sz w:val="26"/>
                <w:szCs w:val="26"/>
              </w:rPr>
              <w:t xml:space="preserve">Sperimentale</w:t>
            </w:r>
          </w:p>
        </w:tc>
        <w:tc>
          <w:tcPr>
            <w:tcW w:type="dxa" w:w="6746"/>
            <w:tcBorders>
              <w:top w:val="single" w:color="E3E3E3" w:sz="4"/>
              <w:left w:val="none" w:color="auto" w:sz="0"/>
              <w:bottom w:val="single" w:color="E3E3E3" w:sz="4"/>
              <w:right w:val="single" w:color="E3E3E3" w:sz="4"/>
            </w:tcBorders>
            <w:tcMar>
              <w:top w:type="dxa" w:w="92"/>
              <w:left w:type="dxa" w:w="255"/>
              <w:bottom w:type="dxa" w:w="92"/>
              <w:right w:type="dxa" w:w="215"/>
            </w:tcMar>
            <w:vAlign w:val="center"/>
          </w:tcPr>
          <w:p>
            <w:pPr>
              <w:spacing w:after="120"/>
            </w:pP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L'AI è già dentro il tuo marketing, ma corre più veloce di qualsiasi modo condiviso di lavorare. È di gran lunga il risultato più comune e raramente una mancanza di intenzione: succede semplicemente quando strumenti utili arrivano più in fretta del tempo per organizzarli. La buona notizia è che qui i primi miglioramenti sono rapidi ed economici.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B4E6B"/>
                <w:sz w:val="19"/>
                <w:szCs w:val="19"/>
              </w:rPr>
              <w:t xml:space="preserve">Parti da: </w:t>
            </w: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L'elenco condiviso degli strumenti della domanda 1. Quasi tutto il resto diventa più facile una volta che esiste.</w:t>
            </w:r>
          </w:p>
        </w:tc>
      </w:tr>
    </w:tbl>
    <w:p>
      <w:pPr>
        <w:spacing w:after="48"/>
      </w:pPr>
      <w:r>
        <w:rPr>
          <w:rFonts w:ascii="DM Sans" w:cs="DM Sans" w:eastAsia="DM Sans" w:hAnsi="DM Sans"/>
          <w:color w:val="111111"/>
          <w:sz w:val="8"/>
          <w:szCs w:val="8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80"/>
        <w:gridCol w:w="6746"/>
      </w:tblGrid>
      <w:tr>
        <w:tc>
          <w:tcPr>
            <w:tcW w:type="dxa" w:w="2280"/>
            <w:shd w:fill="1B4E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pacing w:val="40"/>
                <w:sz w:val="15"/>
                <w:szCs w:val="15"/>
              </w:rPr>
              <w:t xml:space="preserve">SOPRATTUTTO B</w:t>
            </w:r>
          </w:p>
          <w:p>
            <w:pPr>
              <w:jc w:val="center"/>
            </w:pPr>
            <w:r>
              <w:rPr>
                <w:rFonts w:ascii="DM Serif Display" w:cs="DM Serif Display" w:eastAsia="DM Serif Display" w:hAnsi="DM Serif Display"/>
                <w:color w:val="FFFFFF"/>
                <w:sz w:val="26"/>
                <w:szCs w:val="26"/>
              </w:rPr>
              <w:t xml:space="preserve">In sviluppo</w:t>
            </w:r>
          </w:p>
        </w:tc>
        <w:tc>
          <w:tcPr>
            <w:tcW w:type="dxa" w:w="6746"/>
            <w:tcBorders>
              <w:top w:val="single" w:color="E3E3E3" w:sz="4"/>
              <w:left w:val="none" w:color="auto" w:sz="0"/>
              <w:bottom w:val="single" w:color="E3E3E3" w:sz="4"/>
              <w:right w:val="single" w:color="E3E3E3" w:sz="4"/>
            </w:tcBorders>
            <w:tcMar>
              <w:top w:type="dxa" w:w="92"/>
              <w:left w:type="dxa" w:w="255"/>
              <w:bottom w:type="dxa" w:w="92"/>
              <w:right w:type="dxa" w:w="215"/>
            </w:tcMar>
            <w:vAlign w:val="center"/>
          </w:tcPr>
          <w:p>
            <w:pPr>
              <w:spacing w:after="120"/>
            </w:pP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Le abitudini giuste ci sono, ma vivono nelle persone e non nel modo in cui il team lavora. Regge bene finché qualcuno non se ne va, i volumi non crescono o un cliente più grande non chiede come gestisci l'AI. Mettere per iscritto ciò che il team già fa è un lavoro piccolo con un ritorno sproporzionato.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B4E6B"/>
                <w:sz w:val="19"/>
                <w:szCs w:val="19"/>
              </w:rPr>
              <w:t xml:space="preserve">Parti da: </w:t>
            </w: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Una policy AI di una pagina e un responsabile indicato per i contenuti pubblicati.</w:t>
            </w:r>
          </w:p>
        </w:tc>
      </w:tr>
    </w:tbl>
    <w:p>
      <w:pPr>
        <w:spacing w:after="48"/>
      </w:pPr>
      <w:r>
        <w:rPr>
          <w:rFonts w:ascii="DM Sans" w:cs="DM Sans" w:eastAsia="DM Sans" w:hAnsi="DM Sans"/>
          <w:color w:val="111111"/>
          <w:sz w:val="8"/>
          <w:szCs w:val="8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80"/>
        <w:gridCol w:w="6746"/>
      </w:tblGrid>
      <w:tr>
        <w:tc>
          <w:tcPr>
            <w:tcW w:type="dxa" w:w="2280"/>
            <w:shd w:fill="1B4E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pacing w:val="40"/>
                <w:sz w:val="15"/>
                <w:szCs w:val="15"/>
              </w:rPr>
              <w:t xml:space="preserve">SOPRATTUTTO A</w:t>
            </w:r>
          </w:p>
          <w:p>
            <w:pPr>
              <w:jc w:val="center"/>
            </w:pPr>
            <w:r>
              <w:rPr>
                <w:rFonts w:ascii="DM Serif Display" w:cs="DM Serif Display" w:eastAsia="DM Serif Display" w:hAnsi="DM Serif Display"/>
                <w:color w:val="FFFFFF"/>
                <w:sz w:val="26"/>
                <w:szCs w:val="26"/>
              </w:rPr>
              <w:t xml:space="preserve">Consolidato</w:t>
            </w:r>
          </w:p>
        </w:tc>
        <w:tc>
          <w:tcPr>
            <w:tcW w:type="dxa" w:w="6746"/>
            <w:tcBorders>
              <w:top w:val="single" w:color="E3E3E3" w:sz="4"/>
              <w:left w:val="none" w:color="auto" w:sz="0"/>
              <w:bottom w:val="single" w:color="E3E3E3" w:sz="4"/>
              <w:right w:val="single" w:color="E3E3E3" w:sz="4"/>
            </w:tcBorders>
            <w:tcMar>
              <w:top w:type="dxa" w:w="92"/>
              <w:left w:type="dxa" w:w="255"/>
              <w:bottom w:type="dxa" w:w="92"/>
              <w:right w:type="dxa" w:w="215"/>
            </w:tcMar>
            <w:vAlign w:val="center"/>
          </w:tcPr>
          <w:p>
            <w:pPr>
              <w:spacing w:after="120"/>
            </w:pP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Sai spiegare come il tuo team usa l'AI e mostrare chi ne risponde. Oggi è un vantaggio commerciale e non un costo: rassicura i clienti più grandi, accorcia le conversazioni di procurement e ti permette di adottare nuovi strumenti con fiducia mentre altri esitano.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B4E6B"/>
                <w:sz w:val="19"/>
                <w:szCs w:val="19"/>
              </w:rPr>
              <w:t xml:space="preserve">Parti da: </w:t>
            </w: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La tua risposta alla domanda 10. A questo livello, la decisione che nessuno prende è ciò che ti frena.</w:t>
            </w:r>
          </w:p>
        </w:tc>
      </w:tr>
    </w:tbl>
    <w:p>
      <w:pPr>
        <w:spacing w:after="48"/>
      </w:pPr>
      <w:r>
        <w:rPr>
          <w:rFonts w:ascii="DM Sans" w:cs="DM Sans" w:eastAsia="DM Sans" w:hAnsi="DM Sans"/>
          <w:color w:val="111111"/>
          <w:sz w:val="8"/>
          <w:szCs w:val="8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3F3F3" w:val="clear"/>
            <w:tcMar>
              <w:top w:type="dxa" w:w="100"/>
              <w:left w:type="dxa" w:w="255"/>
              <w:bottom w:type="dxa" w:w="100"/>
              <w:right w:type="dxa" w:w="255"/>
            </w:tcMar>
            <w:vAlign w:val="top"/>
          </w:tcPr>
          <w:p>
            <w:r>
              <w:rPr>
                <w:rFonts w:ascii="DM Sans" w:cs="DM Sans" w:eastAsia="DM Sans" w:hAnsi="DM Sans"/>
                <w:b/>
                <w:bCs/>
                <w:color w:val="1B4E6B"/>
                <w:sz w:val="19"/>
                <w:szCs w:val="19"/>
              </w:rPr>
              <w:t xml:space="preserve">Due risposte meritano un approfondimento. </w:t>
            </w:r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Qualsiasi risposta diversa da A alla domanda 9, o D alla domanda 2, cambia quali regole ti riguardano, non quanto bene le stai rispettando. Nessuna delle due è un problema: entrambe meritano una conversazione prima della prossima campagna.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color w:val="111111"/>
          <w:sz w:val="8"/>
          <w:szCs w:val="8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B4E6B" w:val="clear"/>
            <w:tcMar>
              <w:top w:type="dxa" w:w="185"/>
              <w:left w:type="dxa" w:w="570"/>
              <w:bottom w:type="dxa" w:w="185"/>
              <w:right w:type="dxa" w:w="570"/>
            </w:tcMar>
            <w:vAlign w:val="top"/>
          </w:tcPr>
          <w:p>
            <w:pPr>
              <w:spacing w:after="160"/>
              <w:jc w:val="center"/>
            </w:pPr>
            <w:r>
              <w:rPr>
                <w:rFonts w:ascii="DM Serif Display" w:cs="DM Serif Display" w:eastAsia="DM Serif Display" w:hAnsi="DM Serif Display"/>
                <w:color w:val="FFFFFF"/>
                <w:sz w:val="28"/>
                <w:szCs w:val="28"/>
              </w:rPr>
              <w:t xml:space="preserve">Vuoi la versione completa?</w:t>
            </w:r>
          </w:p>
          <w:p>
            <w:pPr>
              <w:spacing w:after="160"/>
              <w:jc w:val="center"/>
            </w:pPr>
            <w:r>
              <w:rPr>
                <w:rFonts w:ascii="DM Sans" w:cs="DM Sans" w:eastAsia="DM Sans" w:hAnsi="DM Sans"/>
                <w:color w:val="FFFFFF"/>
                <w:sz w:val="19"/>
                <w:szCs w:val="19"/>
              </w:rPr>
              <w:t xml:space="preserve">Questa è la forma breve della diagnosi che utilizzo con i clienti. Prenota una chiamata gratuita di 30 minuti per l'audit approfondito su strumenti, governance dei contenuti e gestione dei dati. Al termine della chiamata l'audit completo resta a te.</w:t>
            </w:r>
          </w:p>
          <w:p>
            <w:pPr>
              <w:spacing w:after="1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Porta con te la risposta alla domanda 10.</w:t>
            </w:r>
          </w:p>
          <w:p>
            <w:pPr>
              <w:jc w:val="center"/>
            </w:pPr>
            <w:hyperlink w:history="1" r:id="rIdfk5taaljfq5wqm1gzzm7b">
              <w:r>
                <w:rPr>
                  <w:rFonts w:ascii="DM Sans" w:cs="DM Sans" w:eastAsia="DM Sans" w:hAnsi="DM Sans"/>
                  <w:b/>
                  <w:bCs/>
                  <w:color w:val="FFFFFF"/>
                  <w:sz w:val="21"/>
                  <w:szCs w:val="21"/>
                </w:rPr>
                <w:t xml:space="preserve">calendly.com/studio-rnlmkt/30min</w:t>
              </w:r>
            </w:hyperlink>
          </w:p>
        </w:tc>
      </w:tr>
    </w:tbl>
    <w:p>
      <w:pPr>
        <w:spacing w:after="95"/>
      </w:pPr>
      <w:r>
        <w:rPr>
          <w:rFonts w:ascii="DM Sans" w:cs="DM Sans" w:eastAsia="DM Sans" w:hAnsi="DM Sans"/>
          <w:color w:val="111111"/>
          <w:sz w:val="8"/>
          <w:szCs w:val="8"/>
        </w:rPr>
        <w:t xml:space="preserve"/>
      </w:r>
    </w:p>
    <w:p>
      <w:pPr>
        <w:spacing w:after="100"/>
        <w:jc w:val="center"/>
      </w:pPr>
      <w:r>
        <w:rPr>
          <w:rFonts w:ascii="DM Sans" w:cs="DM Sans" w:eastAsia="DM Sans" w:hAnsi="DM Sans"/>
          <w:b/>
          <w:bCs/>
          <w:color w:val="1B4E6B"/>
          <w:sz w:val="17"/>
          <w:szCs w:val="17"/>
        </w:rPr>
        <w:t xml:space="preserve">Roseline Lemoine</w:t>
      </w:r>
      <w:r>
        <w:rPr>
          <w:rFonts w:ascii="DM Sans" w:cs="DM Sans" w:eastAsia="DM Sans" w:hAnsi="DM Sans"/>
          <w:color w:val="666666"/>
          <w:sz w:val="17"/>
          <w:szCs w:val="17"/>
        </w:rPr>
        <w:t xml:space="preserve"> · </w:t>
      </w:r>
      <w:hyperlink w:history="1" r:id="rIdbyn-r9u-ownlr7xwq2ayx">
        <w:r>
          <w:rPr>
            <w:rFonts w:ascii="DM Sans" w:cs="DM Sans" w:eastAsia="DM Sans" w:hAnsi="DM Sans"/>
            <w:color w:val="111111"/>
            <w:sz w:val="17"/>
            <w:szCs w:val="17"/>
          </w:rPr>
          <w:t xml:space="preserve">+39 392 664 9331</w:t>
        </w:r>
      </w:hyperlink>
      <w:r>
        <w:rPr>
          <w:rFonts w:ascii="DM Sans" w:cs="DM Sans" w:eastAsia="DM Sans" w:hAnsi="DM Sans"/>
          <w:color w:val="666666"/>
          <w:sz w:val="17"/>
          <w:szCs w:val="17"/>
        </w:rPr>
        <w:t xml:space="preserve"> · </w:t>
      </w:r>
      <w:hyperlink w:history="1" r:id="rIdtjovocm6nwuqidlz1qabt">
        <w:r>
          <w:rPr>
            <w:rFonts w:ascii="DM Sans" w:cs="DM Sans" w:eastAsia="DM Sans" w:hAnsi="DM Sans"/>
            <w:color w:val="111111"/>
            <w:sz w:val="17"/>
            <w:szCs w:val="17"/>
          </w:rPr>
          <w:t xml:space="preserve">studio@rnlmkt.com</w:t>
        </w:r>
      </w:hyperlink>
      <w:r>
        <w:rPr>
          <w:rFonts w:ascii="DM Sans" w:cs="DM Sans" w:eastAsia="DM Sans" w:hAnsi="DM Sans"/>
          <w:color w:val="666666"/>
          <w:sz w:val="17"/>
          <w:szCs w:val="17"/>
        </w:rPr>
        <w:t xml:space="preserve"> · </w:t>
      </w:r>
      <w:hyperlink w:history="1" r:id="rIdhjgt9371qgqdxls9wbjmh">
        <w:r>
          <w:rPr>
            <w:rFonts w:ascii="DM Sans" w:cs="DM Sans" w:eastAsia="DM Sans" w:hAnsi="DM Sans"/>
            <w:color w:val="1B4E6B"/>
            <w:sz w:val="17"/>
            <w:szCs w:val="17"/>
          </w:rPr>
          <w:t xml:space="preserve">www.rnlmkt.com</w:t>
        </w:r>
      </w:hyperlink>
    </w:p>
    <w:p>
      <w:pPr>
        <w:pBdr>
          <w:bottom w:val="single" w:color="E3E3E3" w:sz="4" w:space="1"/>
        </w:pBdr>
        <w:spacing w:after="85" w:before="65"/>
      </w:pPr>
      <w:r>
        <w:rPr>
          <w:sz w:val="2"/>
          <w:szCs w:val="2"/>
        </w:rPr>
        <w:t xml:space="preserve"/>
      </w:r>
    </w:p>
    <w:p>
      <w:pPr>
        <w:spacing w:after="45" w:before="30"/>
        <w:jc w:val="center"/>
      </w:pPr>
      <w:r>
        <w:rPr>
          <w:rFonts w:ascii="DM Serif Display" w:cs="DM Serif Display" w:eastAsia="DM Serif Display" w:hAnsi="DM Serif Display"/>
          <w:color w:val="1B4E6B"/>
          <w:sz w:val="19"/>
          <w:szCs w:val="19"/>
        </w:rPr>
        <w:t xml:space="preserve">Marketing that moves your business.</w:t>
      </w:r>
    </w:p>
    <w:p>
      <w:pPr>
        <w:spacing w:after="55"/>
        <w:jc w:val="center"/>
      </w:pPr>
      <w:r>
        <w:rPr>
          <w:rFonts w:ascii="DM Sans" w:cs="DM Sans" w:eastAsia="DM Sans" w:hAnsi="DM Sans"/>
          <w:b/>
          <w:bCs/>
          <w:color w:val="666666"/>
          <w:spacing w:val="60"/>
          <w:sz w:val="15"/>
          <w:szCs w:val="15"/>
        </w:rPr>
        <w:t xml:space="preserve">EN · IT · NL · DE · FR</w:t>
      </w:r>
    </w:p>
    <w:p>
      <w:pPr>
        <w:jc w:val="center"/>
      </w:pPr>
      <w:r>
        <w:rPr>
          <w:rFonts w:ascii="DM Sans" w:cs="DM Sans" w:eastAsia="DM Sans" w:hAnsi="DM Sans"/>
          <w:i/>
          <w:iCs/>
          <w:color w:val="666666"/>
          <w:sz w:val="15"/>
          <w:szCs w:val="15"/>
        </w:rPr>
        <w:t xml:space="preserve">Redatto sulla base del Regolamento (UE) 2024/1689. Informazioni generali per team di marketing, non consulenza legale.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5taaljfq5wqm1gzzm7b" Type="http://schemas.openxmlformats.org/officeDocument/2006/relationships/hyperlink" Target="https://calendly.com/studio-rnlmkt/30min" TargetMode="External"/><Relationship Id="rIdbyn-r9u-ownlr7xwq2ayx" Type="http://schemas.openxmlformats.org/officeDocument/2006/relationships/hyperlink" Target="tel:+393926649331" TargetMode="External"/><Relationship Id="rIdtjovocm6nwuqidlz1qabt" Type="http://schemas.openxmlformats.org/officeDocument/2006/relationships/hyperlink" Target="mailto:studio@rnlmkt.com" TargetMode="External"/><Relationship Id="rIdhjgt9371qgqdxls9wbjmh" Type="http://schemas.openxmlformats.org/officeDocument/2006/relationships/hyperlink" Target="https://www.rnlmkt.com" TargetMode="External"/><Relationship Id="rId7" Type="http://schemas.openxmlformats.org/officeDocument/2006/relationships/image" Target="media/f82d651ab384dcc9633b50dd03cf89260c4a66b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2026-09-01T13:30:27.591Z</dcterms:created>
  <dcterms:modified xsi:type="dcterms:W3CDTF">2026-09-01T13:30:27.600Z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