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p>
      <w:pPr>
        <w:spacing w:after="0"/>
      </w:pPr>
      <w:r>
        <w:rPr>
          <w:rFonts w:ascii="DM Serif Display" w:cs="DM Serif Display" w:eastAsia="DM Serif Display" w:hAnsi="DM Serif Display"/>
          <w:color w:val="111111"/>
          <w:sz w:val="42"/>
          <w:szCs w:val="42"/>
        </w:rPr>
        <w:t xml:space="preserve">In 10 Fragen</w:t>
      </w:r>
    </w:p>
    <w:p>
      <w:pPr>
        <w:spacing w:after="200"/>
      </w:pPr>
      <w:r>
        <w:rPr>
          <w:rFonts w:ascii="DM Serif Display" w:cs="DM Serif Display" w:eastAsia="DM Serif Display" w:hAnsi="DM Serif Display"/>
          <w:color w:val="1B4E6B"/>
          <w:sz w:val="42"/>
          <w:szCs w:val="42"/>
        </w:rPr>
        <w:t xml:space="preserve">AI Marketing Diagnostic</w:t>
      </w:r>
    </w:p>
    <w:p>
      <w:pPr>
        <w:spacing w:after="140"/>
      </w:pPr>
      <w:r>
        <w:rPr>
          <w:rFonts w:ascii="DM Sans" w:cs="DM Sans" w:eastAsia="DM Sans" w:hAnsi="DM Sans"/>
          <w:color w:val="666666"/>
          <w:sz w:val="20"/>
          <w:szCs w:val="20"/>
        </w:rPr>
        <w:t xml:space="preserve">So arbeitet KI wirklich (und wirklich nicht) in Ihrem Marketingteam. Diese fünfminütige Bestandsaufnahme schafft Klarheit darüber, wo Sie stehen: welche Tools Ihr Team nutzt, was dabei entsteht und wer für das Ergebnis verantwortlich ist.</w:t>
      </w:r>
    </w:p>
    <w:p>
      <w:pPr>
        <w:spacing w:after="140"/>
      </w:pPr>
      <w:r>
        <w:rPr>
          <w:rFonts w:ascii="DM Sans" w:cs="DM Sans" w:eastAsia="DM Sans" w:hAnsi="DM Sans"/>
          <w:color w:val="666666"/>
          <w:sz w:val="20"/>
          <w:szCs w:val="20"/>
        </w:rPr>
        <w:t xml:space="preserve">Machen Sie aus der schnellen, informellen KI-Nutzung Ihres Teams ein konsistentes, strukturiertes und verlässliches System, das Ihr Geschäft weiter aufbaut.</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3F3F3" w:val="clear"/>
            <w:tcMar>
              <w:top w:type="dxa" w:w="200"/>
              <w:left w:type="dxa" w:w="260"/>
              <w:bottom w:type="dxa" w:w="200"/>
              <w:right w:type="dxa" w:w="260"/>
            </w:tcMar>
            <w:vAlign w:val="top"/>
          </w:tcPr>
          <w:p>
            <w:r>
              <w:rPr>
                <w:rFonts w:ascii="DM Sans" w:cs="DM Sans" w:eastAsia="DM Sans" w:hAnsi="DM Sans"/>
                <w:b/>
                <w:bCs/>
                <w:color w:val="1B4E6B"/>
                <w:sz w:val="19"/>
                <w:szCs w:val="19"/>
              </w:rPr>
              <w:t xml:space="preserve">Zwei Daten, die Sie kennen sollten. </w:t>
            </w:r>
            <w:r>
              <w:rPr>
                <w:rFonts w:ascii="DM Sans" w:cs="DM Sans" w:eastAsia="DM Sans" w:hAnsi="DM Sans"/>
                <w:color w:val="111111"/>
                <w:sz w:val="19"/>
                <w:szCs w:val="19"/>
              </w:rPr>
              <w:t xml:space="preserve">Seit Februar 2025 wird von europäischen Organisationen erwartet, dass sie ihre Mitarbeitenden im guten Umgang mit KI schulen. Seit August 2026 müssen KI-erzeugte Inhalte und KI-Assistenten als solche erkennbar sein. Beides ist wenig aufwendig und gehört inzwischen einfach zu sauberem Marketing.</w:t>
            </w:r>
          </w:p>
        </w:tc>
      </w:tr>
    </w:tbl>
    <w:p>
      <w:pPr>
        <w:spacing w:after="160"/>
      </w:pPr>
      <w:r>
        <w:rPr>
          <w:rFonts w:ascii="DM Sans" w:cs="DM Sans" w:eastAsia="DM Sans" w:hAnsi="DM Sans"/>
          <w:color w:val="111111"/>
          <w:sz w:val="8"/>
          <w:szCs w:val="8"/>
        </w:rPr>
        <w:t xml:space="preserve"/>
      </w:r>
    </w:p>
    <w:p>
      <w:pPr>
        <w:spacing w:after="30"/>
      </w:pPr>
      <w:r>
        <w:rPr>
          <w:rFonts w:ascii="DM Sans" w:cs="DM Sans" w:eastAsia="DM Sans" w:hAnsi="DM Sans"/>
          <w:color w:val="666666"/>
          <w:sz w:val="19"/>
          <w:szCs w:val="19"/>
        </w:rPr>
        <w:t xml:space="preserve">Wählen Sie die Antwort, die der Realität Ihres Teams am nächsten kommt — ehrliche Antworten machen das Ergebnis brauchbar.</w:t>
      </w:r>
    </w:p>
    <w:p>
      <w:pPr>
        <w:pBdr>
          <w:bottom w:val="single" w:color="E3E3E3" w:sz="4" w:space="1"/>
        </w:pBdr>
        <w:spacing w:after="260" w:before="16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1</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Welche KI-Tools nutzt Ihr Marketing tatsächlich, und wer hat sie freigegeben?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Eine gepflegte Liste mit benannter verantwortlicher Person je Tool</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Ich könnte sie aus dem Gedächtnis und einigen Rechnungen rekonstruieren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Jede und jeder wählt selbst; die wichtigsten kenne ich</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Das müsste ich erst erfragen</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Eine gemeinsame Liste ist das Günstigste auf dieser Seite und das, was alles Weitere möglich macht: sichtbare Ausgaben, konsistente Ergebnisse und eine klare Antwort, wenn ein Kunde fragt, womit Sie arbeiten. Hier beginnt auch die KI-Verordnung.</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2</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Läuft irgendetwas unter Ihrem eigenen Markennamen auf KI, die Sie nicht selbst entwickelt haben?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und uns ist bewusst, dass wir damit Anbieter sind, nicht nur Betreiber</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aber wir sehen das als Sache des Anbieters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Noch nicht, aber es ist geplant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Ich bin nicht sicher, was darunter fällt</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Ihr Logo auf einem KI-Assistenten verändert Ihre Rolle: Sie sind nicht länger Kunde des Tools, sondern diejenigen, die dafür geradestehen. Besser vor dem Start zu wissen als danach — die KI-Verordnung sieht Sie als Anbieter (Artikel 3 Nummer 3), nicht bloß als Betreiber.</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3</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Erfahren Menschen, dass sie mit KI sprechen, wenn sie Ihren Chatbot, Assistenten oder Sprachagenten nutzen?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klar benannt bei der ersten Interaktion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Es ergibt sich aus der Gestaltung, steht aber nicht da</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Nur auf Nachfrage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Wir haben keinen, oder ich weiß es nicht</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Es zu sagen kostet nichts und schützt Vertrauen: Menschen stört Täuschung weit mehr als der Bot selbst. Die KI-Verordnung verlangt es ebenfalls, bei der ersten Interaktion und nicht erst auf Nachfrage (Artikel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4</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Veröffentlichen Sie KI-erzeugte oder KI-veränderte Bilder, Videos oder Audios von Personen, Orten oder Ereignissen?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und jedes davon ist gekennzeichnet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je nach Kanal manchmal gekennzeichnet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Ja — nie gekennzeichnet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Nicht dass ich wüsste</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Synthetische Bilder realer Personen, Orte oder Ereignisse zu kennzeichnen, wird rasch zum Merkmal einer Marke, der man glaubt. Wo der Inhalt für echt gehalten werden kann, verlangt die KI-Verordnung diese Offenlegung (Artikel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5</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Wer gibt KI-erstellte Texte frei, bevor sie erscheinen?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Eine namentlich benannte Person prüft und gibt frei</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Wer den Prompt geschrieben hat, liest es durch</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Es erscheint weitgehend so, wie es erzeugt wurde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Das hängt vom Kanal und der Deadline ab</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Die wertvollste Gewohnheit auf dieser Seite. Eine benannte Person, die alles vor der Veröffentlichung liest, schützt Ihre Markenstimme, Ihre Fakten und Ihren Ruf — und nach der KI-Verordnung entfällt damit auch die Offenlegungspflicht für KI-geschriebene Texte (Artikel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6</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Was hat Ihr Team über die KI-Tools gelernt, die es täglich nutzt?</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Strukturierte Schulung, aktualisiert mit den Tools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Eine informelle Sitzung oder ein geteiltes Dokument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Sie haben es sich selbst beigebracht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Nichts Formales</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Schulung unterscheidet Teams, deren KI-Ergebnisse immer besser werden, von Teams, bei denen sie unberechenbar bleiben. Seit Februar 2025 wird sie von europäischen Organisationen auch erwartet (Artikel 4) — ohne Ausnahme für kleine Teams.</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7</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Welche Kunden- oder Beschäftigtendaten gelangen in diese Tools?</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Schriftliche Regeln; personenbezogene Daten ausgeschlossen oder vertraglich geregelt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Ein informelles Verständnis davon, was tabu ist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Was für das beste Ergebnis nötig ist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Ich weiß nicht, was dort eingefügt wird</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Ein Prompt mit Kundendaten bleibt eine Verarbeitung, und die KI-Verordnung lässt die DSGVO vollständig daneben bestehen (Artikel 2 Absatz 7). Eine klare interne Regel erspart Ihrem Team die Einzelfallabwägung.</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8</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Setzt Ihr Targeting je an der Verletzlichkeit einer Person an — Alter, Behinderung oder finanzieller Druck?</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Nein, und unsere Targeting-Regeln sind schriftlich festgehalten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Nein, aber nichts davon ist dokumentiert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Möglicherweise, in einzelnen Kampagnen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Ich müsste prüfen, worauf die Plattform optimiert</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Gewöhnliche Werbung ist ausdrücklich zulässig — die KI-Verordnung sagt das wörtlich (Erwägungsgrund 29). Die Grenze verläuft bei Targeting, das auf die Verletzlichkeit einer Person hin gebaut ist, und es lohnt sich, zeigen zu können, auf welcher Seite Sie stehen.</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9</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Nutzen Sie KI für Stellenanzeigen, Bewerberauswahl oder politische und wahlbezogene Kommunikation?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Weder noch</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Stellenanzeigen oder Bewerberauswahl</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Politische oder wahlbezogene Kommunikation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Beides, oder ich bin nicht sicher</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Dies sind die beiden Bereiche, in denen alltägliche Marketingarbeit nach der KI-Verordnung schwerere Pflichten auslöst (Anhang III): kompetente menschliche Aufsicht, Protokollierung und die Information der Betroffenen, dass ein System auf sie angewandt wurde. Ein Gespräch, das besser vor der nächsten Kampagne stattfindet als während.</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rPr>
          <w:cantSplit/>
        </w:trP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10</w:t>
            </w:r>
          </w:p>
        </w:tc>
        <w:tc>
          <w:tcPr>
            <w:tcW w:type="dxa" w:w="8406"/>
            <w:tcMar>
              <w:top w:type="dxa" w:w="0"/>
              <w:left w:type="dxa" w:w="0"/>
              <w:bottom w:type="dxa" w:w="0"/>
              <w:right w:type="dxa" w:w="0"/>
            </w:tcMar>
            <w:vAlign w:val="top"/>
          </w:tcPr>
          <w:p>
            <w:pPr>
              <w:spacing w:after="80"/>
            </w:pPr>
            <w:r>
              <w:rPr>
                <w:rFonts w:ascii="DM Sans" w:cs="DM Sans" w:eastAsia="DM Sans" w:hAnsi="DM Sans"/>
                <w:b/>
                <w:bCs/>
                <w:color w:val="111111"/>
                <w:sz w:val="21"/>
                <w:szCs w:val="21"/>
              </w:rPr>
              <w:t xml:space="preserve">Welche KI-Entscheidung steht in Ihrer Organisation still, weil niemand sicher weiß, wer sie verantwortet?</w:t>
            </w:r>
          </w:p>
          <w:p>
            <w:pPr>
              <w:spacing w:after="240"/>
            </w:pPr>
            <w:r>
              <w:rPr>
                <w:rFonts w:ascii="DM Sans" w:cs="DM Sans" w:eastAsia="DM Sans" w:hAnsi="DM Sans"/>
                <w:i/>
                <w:iCs/>
                <w:color w:val="666666"/>
                <w:sz w:val="19"/>
                <w:szCs w:val="19"/>
              </w:rPr>
              <w:t xml:space="preserve">Eine Zeile. Werden Sie konkret — „wer gibt KI-Bilder für Social frei“, nicht „KI-Governance“.</w:t>
            </w:r>
          </w:p>
          <w:tbl>
            <w:tblPr>
              <w:tblW w:type="dxa" w:w="8006"/>
              <w:tblBorders>
                <w:top w:val="none" w:color="auto" w:sz="0"/>
                <w:left w:val="none" w:color="auto" w:sz="0"/>
                <w:bottom w:val="none" w:color="auto" w:sz="0"/>
                <w:right w:val="none" w:color="auto" w:sz="0"/>
                <w:insideH w:val="none" w:color="auto" w:sz="0"/>
                <w:insideV w:val="none" w:color="auto" w:sz="0"/>
              </w:tblBorders>
            </w:tblPr>
            <w:tblGrid>
              <w:gridCol w:w="8006"/>
            </w:tblGrid>
            <w:tr>
              <w:tc>
                <w:tcPr>
                  <w:tcW w:type="dxa" w:w="8006"/>
                  <w:tcBorders>
                    <w:top w:val="none" w:color="auto" w:sz="0"/>
                    <w:left w:val="none" w:color="auto" w:sz="0"/>
                    <w:bottom w:val="single" w:color="BBBBBB" w:sz="4"/>
                    <w:right w:val="none" w:color="auto" w:sz="0"/>
                  </w:tcBorders>
                  <w:tcMar>
                    <w:top w:type="dxa" w:w="260"/>
                    <w:left w:type="dxa" w:w="0"/>
                    <w:bottom w:type="dxa" w:w="0"/>
                    <w:right w:type="dxa" w:w="0"/>
                  </w:tcMar>
                  <w:vAlign w:val="top"/>
                </w:tcPr>
                <w:p>
                  <w:r>
                    <w:rPr>
                      <w:rFonts w:ascii="DM Sans" w:cs="DM Sans" w:eastAsia="DM Sans" w:hAnsi="DM Sans"/>
                      <w:color w:val="111111"/>
                      <w:sz w:val="8"/>
                      <w:szCs w:val="8"/>
                    </w:rPr>
                    <w:t xml:space="preserve"/>
                  </w:r>
                </w:p>
              </w:tc>
            </w:tr>
            <w:tr>
              <w:tc>
                <w:tcPr>
                  <w:tcW w:type="dxa" w:w="8006"/>
                  <w:tcBorders>
                    <w:top w:val="none" w:color="auto" w:sz="0"/>
                    <w:left w:val="none" w:color="auto" w:sz="0"/>
                    <w:bottom w:val="single" w:color="BBBBBB" w:sz="4"/>
                    <w:right w:val="none" w:color="auto" w:sz="0"/>
                  </w:tcBorders>
                  <w:tcMar>
                    <w:top w:type="dxa" w:w="260"/>
                    <w:left w:type="dxa" w:w="0"/>
                    <w:bottom w:type="dxa" w:w="0"/>
                    <w:right w:type="dxa" w:w="0"/>
                  </w:tcMar>
                  <w:vAlign w:val="top"/>
                </w:tcPr>
                <w:p>
                  <w:r>
                    <w:rPr>
                      <w:rFonts w:ascii="DM Sans" w:cs="DM Sans" w:eastAsia="DM Sans" w:hAnsi="DM Sans"/>
                      <w:color w:val="111111"/>
                      <w:sz w:val="8"/>
                      <w:szCs w:val="8"/>
                    </w:rPr>
                    <w:t xml:space="preserve"/>
                  </w:r>
                </w:p>
              </w:tc>
            </w:tr>
          </w:tbl>
          <w:p>
            <w:pPr>
              <w:spacing w:after="200"/>
            </w:pPr>
            <w:r>
              <w:rPr>
                <w:rFonts w:ascii="DM Sans" w:cs="DM Sans" w:eastAsia="DM Sans" w:hAnsi="DM Sans"/>
                <w:color w:val="111111"/>
                <w:sz w:val="8"/>
                <w:szCs w:val="8"/>
              </w:rPr>
              <w:t xml:space="preserve"/>
            </w:r>
          </w:p>
          <w:p>
            <w:r>
              <w:rPr>
                <w:rFonts w:ascii="DM Sans" w:cs="DM Sans" w:eastAsia="DM Sans" w:hAnsi="DM Sans"/>
                <w:i/>
                <w:iCs/>
                <w:color w:val="666666"/>
                <w:sz w:val="17"/>
                <w:szCs w:val="17"/>
              </w:rPr>
              <w:t xml:space="preserve">Das ist die nützlichste Antwort auf dieser Seite. Fast immer geht es darum, wer entscheidet, und nicht um Technik — und meist lässt es sich am schnellsten klären.</w:t>
            </w:r>
          </w:p>
        </w:tc>
      </w:tr>
    </w:tbl>
    <w:p>
      <w:r>
        <w:br w:type="page"/>
      </w:r>
    </w:p>
    <w:p>
      <w:pPr>
        <w:spacing w:after="60"/>
      </w:pPr>
      <w:r>
        <w:rPr>
          <w:rFonts w:ascii="DM Sans" w:cs="DM Sans" w:eastAsia="DM Sans" w:hAnsi="DM Sans"/>
          <w:b/>
          <w:bCs/>
          <w:color w:val="1B4E6B"/>
          <w:spacing w:val="60"/>
          <w:sz w:val="15"/>
          <w:szCs w:val="15"/>
        </w:rPr>
        <w:t xml:space="preserve">IHR ERGEBNIS</w:t>
      </w:r>
    </w:p>
    <w:p>
      <w:pPr>
        <w:spacing w:after="60"/>
      </w:pPr>
      <w:r>
        <w:rPr>
          <w:rFonts w:ascii="DM Serif Display" w:cs="DM Serif Display" w:eastAsia="DM Serif Display" w:hAnsi="DM Serif Display"/>
          <w:color w:val="111111"/>
          <w:sz w:val="38"/>
          <w:szCs w:val="38"/>
        </w:rPr>
        <w:t xml:space="preserve">Was Ihre Antworten bedeuten</w:t>
      </w:r>
    </w:p>
    <w:p>
      <w:pPr>
        <w:spacing w:after="120"/>
      </w:pPr>
      <w:r>
        <w:rPr>
          <w:rFonts w:ascii="DM Sans" w:cs="DM Sans" w:eastAsia="DM Sans" w:hAnsi="DM Sans"/>
          <w:color w:val="666666"/>
          <w:sz w:val="19"/>
          <w:szCs w:val="19"/>
        </w:rPr>
        <w:t xml:space="preserve">Zählen Sie Ihre A-, B-, C- und D-Antworten über die Fragen 1 bis 9.</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ÜBERWIEGEND C UND D</w:t>
            </w:r>
          </w:p>
          <w:p>
            <w:pPr>
              <w:jc w:val="center"/>
            </w:pPr>
            <w:r>
              <w:rPr>
                <w:rFonts w:ascii="DM Serif Display" w:cs="DM Serif Display" w:eastAsia="DM Serif Display" w:hAnsi="DM Serif Display"/>
                <w:color w:val="FFFFFF"/>
                <w:sz w:val="26"/>
                <w:szCs w:val="26"/>
              </w:rPr>
              <w:t xml:space="preserve">Erprobend</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KI ist bereits in Ihrem Marketing, läuft aber jeder gemeinsamen Arbeitsweise voraus. Das ist mit Abstand das häufigste Ergebnis und selten ein Versäumnis: Es passiert einfach, wenn nützliche Werkzeuge schneller eintreffen als die Zeit, sie zu ordnen. Die gute Nachricht ist, dass die ersten Verbesserungen hier schnell und günstig sind.</w:t>
            </w:r>
          </w:p>
          <w:p>
            <w:r>
              <w:rPr>
                <w:rFonts w:ascii="DM Sans" w:cs="DM Sans" w:eastAsia="DM Sans" w:hAnsi="DM Sans"/>
                <w:b/>
                <w:bCs/>
                <w:color w:val="1B4E6B"/>
                <w:sz w:val="19"/>
                <w:szCs w:val="19"/>
              </w:rPr>
              <w:t xml:space="preserve">Beginnen Sie mit: </w:t>
            </w:r>
            <w:r>
              <w:rPr>
                <w:rFonts w:ascii="DM Sans" w:cs="DM Sans" w:eastAsia="DM Sans" w:hAnsi="DM Sans"/>
                <w:color w:val="111111"/>
                <w:sz w:val="19"/>
                <w:szCs w:val="19"/>
              </w:rPr>
              <w:t xml:space="preserve">Die gemeinsame Tool-Liste aus Frage 1. Fast alles andere wird leichter, sobald sie existiert.</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ÜBERWIEGEND B</w:t>
            </w:r>
          </w:p>
          <w:p>
            <w:pPr>
              <w:jc w:val="center"/>
            </w:pPr>
            <w:r>
              <w:rPr>
                <w:rFonts w:ascii="DM Serif Display" w:cs="DM Serif Display" w:eastAsia="DM Serif Display" w:hAnsi="DM Serif Display"/>
                <w:color w:val="FFFFFF"/>
                <w:sz w:val="26"/>
                <w:szCs w:val="26"/>
              </w:rPr>
              <w:t xml:space="preserve">Wachsend</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Die richtigen Gewohnheiten sind da, aber sie stecken in Personen und nicht in der Arbeitsweise Ihres Teams. Das trägt gut, bis jemand geht, die Mengen steigen oder ein größerer Kunde fragt, wie Sie mit KI umgehen. Aufzuschreiben, was Ihr Team ohnehin tut, ist wenig Aufwand mit überproportionalem Ertrag.</w:t>
            </w:r>
          </w:p>
          <w:p>
            <w:r>
              <w:rPr>
                <w:rFonts w:ascii="DM Sans" w:cs="DM Sans" w:eastAsia="DM Sans" w:hAnsi="DM Sans"/>
                <w:b/>
                <w:bCs/>
                <w:color w:val="1B4E6B"/>
                <w:sz w:val="19"/>
                <w:szCs w:val="19"/>
              </w:rPr>
              <w:t xml:space="preserve">Beginnen Sie mit: </w:t>
            </w:r>
            <w:r>
              <w:rPr>
                <w:rFonts w:ascii="DM Sans" w:cs="DM Sans" w:eastAsia="DM Sans" w:hAnsi="DM Sans"/>
                <w:color w:val="111111"/>
                <w:sz w:val="19"/>
                <w:szCs w:val="19"/>
              </w:rPr>
              <w:t xml:space="preserve">Eine einseitige KI-Nutzungsrichtlinie und eine benannte Verantwortung für veröffentlichte Inhalte.</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ÜBERWIEGEND A</w:t>
            </w:r>
          </w:p>
          <w:p>
            <w:pPr>
              <w:jc w:val="center"/>
            </w:pPr>
            <w:r>
              <w:rPr>
                <w:rFonts w:ascii="DM Serif Display" w:cs="DM Serif Display" w:eastAsia="DM Serif Display" w:hAnsi="DM Serif Display"/>
                <w:color w:val="FFFFFF"/>
                <w:sz w:val="26"/>
                <w:szCs w:val="26"/>
              </w:rPr>
              <w:t xml:space="preserve">Verankert</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Sie können erklären, wie Ihr Team KI nutzt, und zeigen, wer dafür verantwortlich ist. Das ist heute ein Geschäftsvorteil und kein Kostenposten: Es beruhigt größere Kunden, verkürzt Einkaufsgespräche und lässt Sie neue Tools mit Zuversicht einführen, während andere zögern.</w:t>
            </w:r>
          </w:p>
          <w:p>
            <w:r>
              <w:rPr>
                <w:rFonts w:ascii="DM Sans" w:cs="DM Sans" w:eastAsia="DM Sans" w:hAnsi="DM Sans"/>
                <w:b/>
                <w:bCs/>
                <w:color w:val="1B4E6B"/>
                <w:sz w:val="19"/>
                <w:szCs w:val="19"/>
              </w:rPr>
              <w:t xml:space="preserve">Beginnen Sie mit: </w:t>
            </w:r>
            <w:r>
              <w:rPr>
                <w:rFonts w:ascii="DM Sans" w:cs="DM Sans" w:eastAsia="DM Sans" w:hAnsi="DM Sans"/>
                <w:color w:val="111111"/>
                <w:sz w:val="19"/>
                <w:szCs w:val="19"/>
              </w:rPr>
              <w:t xml:space="preserve">Ihre Antwort auf Frage 10. Auf diesem Niveau bremst Sie die Entscheidung, die niemand trifft.</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3F3F3" w:val="clear"/>
            <w:tcMar>
              <w:top w:type="dxa" w:w="100"/>
              <w:left w:type="dxa" w:w="255"/>
              <w:bottom w:type="dxa" w:w="100"/>
              <w:right w:type="dxa" w:w="255"/>
            </w:tcMar>
            <w:vAlign w:val="top"/>
          </w:tcPr>
          <w:p>
            <w:r>
              <w:rPr>
                <w:rFonts w:ascii="DM Sans" w:cs="DM Sans" w:eastAsia="DM Sans" w:hAnsi="DM Sans"/>
                <w:b/>
                <w:bCs/>
                <w:color w:val="1B4E6B"/>
                <w:sz w:val="19"/>
                <w:szCs w:val="19"/>
              </w:rPr>
              <w:t xml:space="preserve">Zwei Antworten verdienen einen genaueren Blick. </w:t>
            </w:r>
            <w:r>
              <w:rPr>
                <w:rFonts w:ascii="DM Sans" w:cs="DM Sans" w:eastAsia="DM Sans" w:hAnsi="DM Sans"/>
                <w:color w:val="111111"/>
                <w:sz w:val="19"/>
                <w:szCs w:val="19"/>
              </w:rPr>
              <w:t xml:space="preserve">Jede Antwort außer A auf Frage 9 oder D auf Frage 2 ändert, welche Regeln für Sie gelten — nicht, wie gut Sie sie einhalten. Keine davon ist ein Problem: Beide sind ein Gespräch vor der nächsten Kampagne wert.</w:t>
            </w:r>
          </w:p>
        </w:tc>
      </w:tr>
    </w:tbl>
    <w:p>
      <w:pPr>
        <w:spacing w:after="8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1B4E6B" w:val="clear"/>
            <w:tcMar>
              <w:top w:type="dxa" w:w="185"/>
              <w:left w:type="dxa" w:w="570"/>
              <w:bottom w:type="dxa" w:w="185"/>
              <w:right w:type="dxa" w:w="570"/>
            </w:tcMar>
            <w:vAlign w:val="top"/>
          </w:tcPr>
          <w:p>
            <w:pPr>
              <w:spacing w:after="160"/>
              <w:jc w:val="center"/>
            </w:pPr>
            <w:r>
              <w:rPr>
                <w:rFonts w:ascii="DM Serif Display" w:cs="DM Serif Display" w:eastAsia="DM Serif Display" w:hAnsi="DM Serif Display"/>
                <w:color w:val="FFFFFF"/>
                <w:sz w:val="28"/>
                <w:szCs w:val="28"/>
              </w:rPr>
              <w:t xml:space="preserve">Sie wollen die lange Fassung?</w:t>
            </w:r>
          </w:p>
          <w:p>
            <w:pPr>
              <w:spacing w:after="160"/>
              <w:jc w:val="center"/>
            </w:pPr>
            <w:r>
              <w:rPr>
                <w:rFonts w:ascii="DM Sans" w:cs="DM Sans" w:eastAsia="DM Sans" w:hAnsi="DM Sans"/>
                <w:color w:val="FFFFFF"/>
                <w:sz w:val="19"/>
                <w:szCs w:val="19"/>
              </w:rPr>
              <w:t xml:space="preserve">Dies ist die Kurzfassung der Diagnose, die ich mit Kundinnen und Kunden durchgehe. Vereinbaren Sie ein kostenloses 30-Minuten-Gespräch für den tieferen Audit zu Tooling, Content-Governance und Datenverarbeitung. Am Ende des Gesprächs bleibt Ihnen der fertige Audit.</w:t>
            </w:r>
          </w:p>
          <w:p>
            <w:pPr>
              <w:spacing w:after="160"/>
              <w:jc w:val="center"/>
            </w:pPr>
            <w:r>
              <w:rPr>
                <w:rFonts w:ascii="DM Sans" w:cs="DM Sans" w:eastAsia="DM Sans" w:hAnsi="DM Sans"/>
                <w:b/>
                <w:bCs/>
                <w:color w:val="FFFFFF"/>
                <w:sz w:val="20"/>
                <w:szCs w:val="20"/>
              </w:rPr>
              <w:t xml:space="preserve">Bringen Sie Ihre Antwort auf Frage 10 mit.</w:t>
            </w:r>
          </w:p>
          <w:p>
            <w:pPr>
              <w:jc w:val="center"/>
            </w:pPr>
            <w:hyperlink w:history="1" r:id="rIdvh4ianrwbf2ehjoi8vxj_">
              <w:r>
                <w:rPr>
                  <w:rFonts w:ascii="DM Sans" w:cs="DM Sans" w:eastAsia="DM Sans" w:hAnsi="DM Sans"/>
                  <w:b/>
                  <w:bCs/>
                  <w:color w:val="FFFFFF"/>
                  <w:sz w:val="21"/>
                  <w:szCs w:val="21"/>
                </w:rPr>
                <w:t xml:space="preserve">calendly.com/studio-rnlmkt/30min</w:t>
              </w:r>
            </w:hyperlink>
          </w:p>
        </w:tc>
      </w:tr>
    </w:tbl>
    <w:p>
      <w:pPr>
        <w:spacing w:after="95"/>
      </w:pPr>
      <w:r>
        <w:rPr>
          <w:rFonts w:ascii="DM Sans" w:cs="DM Sans" w:eastAsia="DM Sans" w:hAnsi="DM Sans"/>
          <w:color w:val="111111"/>
          <w:sz w:val="8"/>
          <w:szCs w:val="8"/>
        </w:rPr>
        <w:t xml:space="preserve"/>
      </w:r>
    </w:p>
    <w:p>
      <w:pPr>
        <w:spacing w:after="100"/>
        <w:jc w:val="center"/>
      </w:pPr>
      <w:r>
        <w:rPr>
          <w:rFonts w:ascii="DM Sans" w:cs="DM Sans" w:eastAsia="DM Sans" w:hAnsi="DM Sans"/>
          <w:b/>
          <w:bCs/>
          <w:color w:val="1B4E6B"/>
          <w:sz w:val="17"/>
          <w:szCs w:val="17"/>
        </w:rPr>
        <w:t xml:space="preserve">Roseline Lemoine</w:t>
      </w:r>
      <w:r>
        <w:rPr>
          <w:rFonts w:ascii="DM Sans" w:cs="DM Sans" w:eastAsia="DM Sans" w:hAnsi="DM Sans"/>
          <w:color w:val="666666"/>
          <w:sz w:val="17"/>
          <w:szCs w:val="17"/>
        </w:rPr>
        <w:t xml:space="preserve"> · </w:t>
      </w:r>
      <w:hyperlink w:history="1" r:id="rIdtcikflwetfmjsfp1t5mfg">
        <w:r>
          <w:rPr>
            <w:rFonts w:ascii="DM Sans" w:cs="DM Sans" w:eastAsia="DM Sans" w:hAnsi="DM Sans"/>
            <w:color w:val="111111"/>
            <w:sz w:val="17"/>
            <w:szCs w:val="17"/>
          </w:rPr>
          <w:t xml:space="preserve">+39 392 664 9331</w:t>
        </w:r>
      </w:hyperlink>
      <w:r>
        <w:rPr>
          <w:rFonts w:ascii="DM Sans" w:cs="DM Sans" w:eastAsia="DM Sans" w:hAnsi="DM Sans"/>
          <w:color w:val="666666"/>
          <w:sz w:val="17"/>
          <w:szCs w:val="17"/>
        </w:rPr>
        <w:t xml:space="preserve"> · </w:t>
      </w:r>
      <w:hyperlink w:history="1" r:id="rIdb9iydahgijg-iz8nhtxwx">
        <w:r>
          <w:rPr>
            <w:rFonts w:ascii="DM Sans" w:cs="DM Sans" w:eastAsia="DM Sans" w:hAnsi="DM Sans"/>
            <w:color w:val="111111"/>
            <w:sz w:val="17"/>
            <w:szCs w:val="17"/>
          </w:rPr>
          <w:t xml:space="preserve">studio@rnlmkt.com</w:t>
        </w:r>
      </w:hyperlink>
      <w:r>
        <w:rPr>
          <w:rFonts w:ascii="DM Sans" w:cs="DM Sans" w:eastAsia="DM Sans" w:hAnsi="DM Sans"/>
          <w:color w:val="666666"/>
          <w:sz w:val="17"/>
          <w:szCs w:val="17"/>
        </w:rPr>
        <w:t xml:space="preserve"> · </w:t>
      </w:r>
      <w:hyperlink w:history="1" r:id="rIdw2nsrst6clwurewgd-qrg">
        <w:r>
          <w:rPr>
            <w:rFonts w:ascii="DM Sans" w:cs="DM Sans" w:eastAsia="DM Sans" w:hAnsi="DM Sans"/>
            <w:color w:val="1B4E6B"/>
            <w:sz w:val="17"/>
            <w:szCs w:val="17"/>
          </w:rPr>
          <w:t xml:space="preserve">www.rnlmkt.com</w:t>
        </w:r>
      </w:hyperlink>
    </w:p>
    <w:p>
      <w:pPr>
        <w:pBdr>
          <w:bottom w:val="single" w:color="E3E3E3" w:sz="4" w:space="1"/>
        </w:pBdr>
        <w:spacing w:after="85" w:before="65"/>
      </w:pPr>
      <w:r>
        <w:rPr>
          <w:sz w:val="2"/>
          <w:szCs w:val="2"/>
        </w:rPr>
        <w:t xml:space="preserve"/>
      </w:r>
    </w:p>
    <w:p>
      <w:pPr>
        <w:spacing w:after="45" w:before="30"/>
        <w:jc w:val="center"/>
      </w:pPr>
      <w:r>
        <w:rPr>
          <w:rFonts w:ascii="DM Serif Display" w:cs="DM Serif Display" w:eastAsia="DM Serif Display" w:hAnsi="DM Serif Display"/>
          <w:color w:val="1B4E6B"/>
          <w:sz w:val="19"/>
          <w:szCs w:val="19"/>
        </w:rPr>
        <w:t xml:space="preserve">Marketing that moves your business.</w:t>
      </w:r>
    </w:p>
    <w:p>
      <w:pPr>
        <w:spacing w:after="55"/>
        <w:jc w:val="center"/>
      </w:pPr>
      <w:r>
        <w:rPr>
          <w:rFonts w:ascii="DM Sans" w:cs="DM Sans" w:eastAsia="DM Sans" w:hAnsi="DM Sans"/>
          <w:b/>
          <w:bCs/>
          <w:color w:val="666666"/>
          <w:spacing w:val="60"/>
          <w:sz w:val="15"/>
          <w:szCs w:val="15"/>
        </w:rPr>
        <w:t xml:space="preserve">EN · IT · NL · DE · FR</w:t>
      </w:r>
    </w:p>
    <w:p>
      <w:pPr>
        <w:jc w:val="center"/>
      </w:pPr>
      <w:r>
        <w:rPr>
          <w:rFonts w:ascii="DM Sans" w:cs="DM Sans" w:eastAsia="DM Sans" w:hAnsi="DM Sans"/>
          <w:i/>
          <w:iCs/>
          <w:color w:val="666666"/>
          <w:sz w:val="15"/>
          <w:szCs w:val="15"/>
        </w:rPr>
        <w:t xml:space="preserve">Erstellt auf Grundlage der Verordnung (EU) 2024/1689. Allgemeine Informationen für Marketingteams, keine Rechtsberatung.</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h4ianrwbf2ehjoi8vxj_" Type="http://schemas.openxmlformats.org/officeDocument/2006/relationships/hyperlink" Target="https://calendly.com/studio-rnlmkt/30min" TargetMode="External"/><Relationship Id="rIdtcikflwetfmjsfp1t5mfg" Type="http://schemas.openxmlformats.org/officeDocument/2006/relationships/hyperlink" Target="tel:+393926649331" TargetMode="External"/><Relationship Id="rIdb9iydahgijg-iz8nhtxwx" Type="http://schemas.openxmlformats.org/officeDocument/2006/relationships/hyperlink" Target="mailto:studio@rnlmkt.com" TargetMode="External"/><Relationship Id="rIdw2nsrst6clwurewgd-qrg" Type="http://schemas.openxmlformats.org/officeDocument/2006/relationships/hyperlink" Target="https://www.rnlmkt.com" TargetMode="External"/><Relationship Id="rId7" Type="http://schemas.openxmlformats.org/officeDocument/2006/relationships/image" Target="media/f82d651ab384dcc9633b50dd03cf89260c4a66b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2026-08-31T08:43:22.424Z</dcterms:created>
  <dcterms:modified xsi:type="dcterms:W3CDTF">2026-08-31T08:43:22.424Z</dcterms:modified>
</cp:coreProperties>
</file>

<file path=docProps/custom.xml><?xml version="1.0" encoding="utf-8"?>
<Properties xmlns="http://schemas.openxmlformats.org/officeDocument/2006/custom-properties" xmlns:vt="http://schemas.openxmlformats.org/officeDocument/2006/docPropsVTypes"/>
</file>