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Mold &amp; Moisture Addendum (Template) — Maple Court</w:t>
      </w:r>
    </w:p>
    <w:p>
      <w:r>
        <w:rPr>
          <w:i/>
          <w:color w:val="595959"/>
          <w:sz w:val="18"/>
        </w:rPr>
        <w:t>Version 1 · Effective 1 April 2025</w:t>
      </w:r>
    </w:p>
    <w:p>
      <w:r>
        <w:rPr>
          <w:b/>
        </w:rPr>
        <w:t>This is a blank template. It is not a signed agreement and it records no actual tenancy.</w:t>
      </w:r>
    </w:p>
    <w:tbl>
      <w:tblPr>
        <w:tblStyle w:val="TableGrid"/>
        <w:tblW w:type="auto" w:w="0"/>
        <w:tblLayout w:type="fixed"/>
        <w:tblLook w:firstColumn="1" w:firstRow="1" w:lastColumn="0" w:lastRow="0" w:noHBand="0" w:noVBand="1" w:val="04A0"/>
      </w:tblPr>
      <w:tblGrid>
        <w:gridCol w:w="2324"/>
        <w:gridCol w:w="7036"/>
      </w:tblGrid>
      <w:tr>
        <w:tc>
          <w:tcPr>
            <w:tcW w:type="dxa" w:w="2324"/>
          </w:tcPr>
          <w:p>
            <w:r>
              <w:rPr>
                <w:sz w:val="20"/>
              </w:rPr>
              <w:t>Resident(s)</w:t>
            </w:r>
          </w:p>
        </w:tc>
        <w:tc>
          <w:tcPr>
            <w:tcW w:type="dxa" w:w="7036"/>
          </w:tcPr>
          <w:p>
            <w:r>
              <w:rPr>
                <w:sz w:val="20"/>
              </w:rPr>
              <w:t>________________________________________</w:t>
            </w:r>
          </w:p>
        </w:tc>
      </w:tr>
      <w:tr>
        <w:tc>
          <w:tcPr>
            <w:tcW w:type="dxa" w:w="2324"/>
          </w:tcPr>
          <w:p>
            <w:r>
              <w:rPr>
                <w:sz w:val="20"/>
              </w:rPr>
              <w:t>Unit</w:t>
            </w:r>
          </w:p>
        </w:tc>
        <w:tc>
          <w:tcPr>
            <w:tcW w:type="dxa" w:w="7036"/>
          </w:tcPr>
          <w:p>
            <w:r>
              <w:rPr>
                <w:sz w:val="20"/>
              </w:rPr>
              <w:t>________________</w:t>
            </w:r>
          </w:p>
        </w:tc>
      </w:tr>
      <w:tr>
        <w:tc>
          <w:tcPr>
            <w:tcW w:type="dxa" w:w="2324"/>
          </w:tcPr>
          <w:p>
            <w:r>
              <w:rPr>
                <w:sz w:val="20"/>
              </w:rPr>
              <w:t>Lease dated</w:t>
            </w:r>
          </w:p>
        </w:tc>
        <w:tc>
          <w:tcPr>
            <w:tcW w:type="dxa" w:w="7036"/>
          </w:tcPr>
          <w:p>
            <w:r>
              <w:rPr>
                <w:sz w:val="20"/>
              </w:rPr>
              <w:t>________________</w:t>
            </w:r>
          </w:p>
        </w:tc>
      </w:tr>
    </w:tbl>
    <w:p>
      <w:pPr>
        <w:spacing w:after="0"/>
      </w:pPr>
    </w:p>
    <w:p>
      <w:pPr>
        <w:pStyle w:val="Heading1"/>
      </w:pPr>
      <w:r>
        <w:t>1. What this addendum is</w:t>
      </w:r>
    </w:p>
    <w:p>
      <w:r>
        <w:rPr/>
        <w:t>Mold grows indoors where moisture is present. Most indoor mold problems begin with a water source — a leak, condensation, or humidity that is not ventilated away. Controlling moisture is what controls mold.</w:t>
      </w:r>
    </w:p>
    <w:p>
      <w:r>
        <w:rPr/>
        <w:t>This addendum sets out what each party does about moisture in the unit. It is attached to every lease at Maple Court.</w:t>
      </w:r>
    </w:p>
    <w:p>
      <w:pPr>
        <w:pStyle w:val="Heading1"/>
      </w:pPr>
      <w:r>
        <w:t>2. The owner's statement</w:t>
      </w:r>
    </w:p>
    <w:p>
      <w:r>
        <w:rPr/>
        <w:t xml:space="preserve">The owner is </w:t>
      </w:r>
      <w:r>
        <w:rPr>
          <w:b/>
        </w:rPr>
        <w:t>not aware of any mold in this unit or in the shared areas</w:t>
      </w:r>
      <w:r>
        <w:rPr/>
        <w:t xml:space="preserve"> that exceeds levels known to affect health, other than mold that would be visible on ordinary inspection.</w:t>
      </w:r>
    </w:p>
    <w:p>
      <w:r>
        <w:rPr/>
        <w:t>The unit was inspected before the tenancy and any moisture damage found was repaired.</w:t>
      </w:r>
    </w:p>
    <w:p>
      <w:pPr>
        <w:pStyle w:val="Heading1"/>
      </w:pPr>
      <w:r>
        <w:t>3. What the resident agrees to do</w:t>
      </w:r>
    </w:p>
    <w:p>
      <w:pPr>
        <w:pStyle w:val="ListBullet"/>
      </w:pPr>
      <w:r>
        <w:rPr/>
        <w:t>Use the bathroom ventilation fan during and for at least 20 minutes after showering or bathing.</w:t>
      </w:r>
    </w:p>
    <w:p>
      <w:pPr>
        <w:pStyle w:val="ListBullet"/>
      </w:pPr>
      <w:r>
        <w:rPr/>
        <w:t>Use the kitchen ventilation fan when cooking, particularly when boiling or steaming.</w:t>
      </w:r>
    </w:p>
    <w:p>
      <w:pPr>
        <w:pStyle w:val="ListBullet"/>
      </w:pPr>
      <w:r>
        <w:rPr/>
        <w:t>Keep the unit reasonably ventilated. Open windows when weather allows.</w:t>
      </w:r>
    </w:p>
    <w:p>
      <w:pPr>
        <w:pStyle w:val="ListBullet"/>
      </w:pPr>
      <w:r>
        <w:rPr/>
        <w:t>Wipe down surfaces where condensation collects, including window frames, sills, and bathroom tile and glass.</w:t>
      </w:r>
    </w:p>
    <w:p>
      <w:pPr>
        <w:pStyle w:val="ListBullet"/>
      </w:pPr>
      <w:r>
        <w:rPr/>
        <w:t>Allow air to circulate — leave a gap between furniture and exterior walls, and do not pack closets against exterior walls.</w:t>
      </w:r>
    </w:p>
    <w:p>
      <w:pPr>
        <w:pStyle w:val="ListBullet"/>
      </w:pPr>
      <w:r>
        <w:rPr/>
        <w:t>Dry spills, overflows, and tracked-in water promptly.</w:t>
      </w:r>
    </w:p>
    <w:p>
      <w:pPr>
        <w:pStyle w:val="ListBullet"/>
      </w:pPr>
      <w:r>
        <w:rPr/>
        <w:t>Hang wet towels and clothing to dry rather than leaving them piled.</w:t>
      </w:r>
    </w:p>
    <w:p>
      <w:pPr>
        <w:pStyle w:val="ListBullet"/>
      </w:pPr>
      <w:r>
        <w:rPr/>
        <w:t>Keep the unit's heating at a reasonable level in cold weather; unheated rooms condense.</w:t>
      </w:r>
    </w:p>
    <w:p>
      <w:pPr>
        <w:pStyle w:val="ListBullet"/>
      </w:pPr>
      <w:r>
        <w:rPr/>
        <w:t>Not block or disable any ventilation fan or vent.</w:t>
      </w:r>
    </w:p>
    <w:p>
      <w:pPr>
        <w:pStyle w:val="Heading1"/>
      </w:pPr>
      <w:r>
        <w:t>4. What the resident agrees to report</w:t>
      </w:r>
    </w:p>
    <w:p>
      <w:r>
        <w:rPr/>
        <w:t>Promptly, to the office:</w:t>
      </w:r>
    </w:p>
    <w:p>
      <w:pPr>
        <w:pStyle w:val="ListBullet"/>
      </w:pPr>
      <w:r>
        <w:rPr/>
        <w:t>any leak, drip, or water intrusion, however small</w:t>
      </w:r>
    </w:p>
    <w:p>
      <w:pPr>
        <w:pStyle w:val="ListBullet"/>
      </w:pPr>
      <w:r>
        <w:rPr/>
        <w:t>any overflow from a bath, shower, sink, or toilet</w:t>
      </w:r>
    </w:p>
    <w:p>
      <w:pPr>
        <w:pStyle w:val="ListBullet"/>
      </w:pPr>
      <w:r>
        <w:rPr/>
        <w:t>any damp patch, staining, bubbling paint, or swollen woodwork</w:t>
      </w:r>
    </w:p>
    <w:p>
      <w:pPr>
        <w:pStyle w:val="ListBullet"/>
      </w:pPr>
      <w:r>
        <w:rPr/>
        <w:t>any visible mold growth</w:t>
      </w:r>
    </w:p>
    <w:p>
      <w:pPr>
        <w:pStyle w:val="ListBullet"/>
      </w:pPr>
      <w:r>
        <w:rPr/>
        <w:t>a persistent musty or earthy smell</w:t>
      </w:r>
    </w:p>
    <w:p>
      <w:pPr>
        <w:pStyle w:val="ListBullet"/>
      </w:pPr>
      <w:r>
        <w:rPr/>
        <w:t>a ventilation fan that does not work</w:t>
      </w:r>
    </w:p>
    <w:p>
      <w:pPr>
        <w:pStyle w:val="ListBullet"/>
      </w:pPr>
      <w:r>
        <w:rPr/>
        <w:t>a window or door that admits rain</w:t>
      </w:r>
    </w:p>
    <w:p>
      <w:r>
        <w:rPr>
          <w:b/>
        </w:rPr>
        <w:t>Water intrusion is treated as urgent maintenance.</w:t>
      </w:r>
      <w:r>
        <w:rPr/>
        <w:t xml:space="preserve"> Reporting it early is the single most effective thing a resident can do.</w:t>
      </w:r>
    </w:p>
    <w:p>
      <w:pPr>
        <w:pStyle w:val="Heading1"/>
      </w:pPr>
      <w:r>
        <w:t>5. What the owner does</w:t>
      </w:r>
    </w:p>
    <w:p>
      <w:r>
        <w:rPr/>
        <w:t>On receiving a report, the owner inspects, identifies and repairs the moisture source, and remediates affected material.</w:t>
      </w:r>
    </w:p>
    <w:p>
      <w:r>
        <w:rPr/>
        <w:t>Remediation of anything beyond a small surface area is performed by contractors experienced in mold remediation. Because this building was constructed in 1962, work that disturbs painted surfaces or floor tile also follows the precautions in the Lead-Based Paint Disclosure and the asbestos disclosure.</w:t>
      </w:r>
    </w:p>
    <w:p>
      <w:pPr>
        <w:pStyle w:val="Heading1"/>
      </w:pPr>
      <w:r>
        <w:t>6. Access for inspection and remediation</w:t>
      </w:r>
    </w:p>
    <w:p>
      <w:r>
        <w:rPr/>
        <w:t>Inspection and remediation require access. Except in an emergency, the office gives at least 24 hours' written notice. Substantial water intrusion is an emergency and does not require advance notice.</w:t>
      </w:r>
    </w:p>
    <w:p>
      <w:pPr>
        <w:pStyle w:val="Heading1"/>
      </w:pPr>
      <w:r>
        <w:t>7. Signatures</w:t>
      </w:r>
    </w:p>
    <w:tbl>
      <w:tblPr>
        <w:tblStyle w:val="TableGrid"/>
        <w:tblW w:type="auto" w:w="0"/>
        <w:tblLayout w:type="fixed"/>
        <w:tblLook w:firstColumn="1" w:firstRow="1" w:lastColumn="0" w:lastRow="0" w:noHBand="0" w:noVBand="1" w:val="04A0"/>
      </w:tblPr>
      <w:tblGrid>
        <w:gridCol w:w="1917"/>
        <w:gridCol w:w="7443"/>
      </w:tblGrid>
      <w:tr>
        <w:tc>
          <w:tcPr>
            <w:tcW w:type="dxa" w:w="1917"/>
          </w:tcPr>
          <w:p>
            <w:r>
              <w:rPr>
                <w:sz w:val="20"/>
              </w:rPr>
              <w:t>Resident</w:t>
            </w:r>
          </w:p>
        </w:tc>
        <w:tc>
          <w:tcPr>
            <w:tcW w:type="dxa" w:w="7443"/>
          </w:tcPr>
          <w:p>
            <w:r>
              <w:rPr>
                <w:sz w:val="20"/>
              </w:rPr>
              <w:t>________________________________________ Date ________________</w:t>
            </w:r>
          </w:p>
        </w:tc>
      </w:tr>
      <w:tr>
        <w:tc>
          <w:tcPr>
            <w:tcW w:type="dxa" w:w="1917"/>
          </w:tcPr>
          <w:p>
            <w:r>
              <w:rPr>
                <w:sz w:val="20"/>
              </w:rPr>
              <w:t>Resident</w:t>
            </w:r>
          </w:p>
        </w:tc>
        <w:tc>
          <w:tcPr>
            <w:tcW w:type="dxa" w:w="7443"/>
          </w:tcPr>
          <w:p>
            <w:r>
              <w:rPr>
                <w:sz w:val="20"/>
              </w:rPr>
              <w:t>________________________________________ Date ________________</w:t>
            </w:r>
          </w:p>
        </w:tc>
      </w:tr>
      <w:tr>
        <w:tc>
          <w:tcPr>
            <w:tcW w:type="dxa" w:w="1917"/>
          </w:tcPr>
          <w:p>
            <w:r>
              <w:rPr>
                <w:sz w:val="20"/>
              </w:rPr>
              <w:t>For the owner</w:t>
            </w:r>
          </w:p>
        </w:tc>
        <w:tc>
          <w:tcPr>
            <w:tcW w:type="dxa" w:w="7443"/>
          </w:tcPr>
          <w:p>
            <w:r>
              <w:rPr>
                <w:sz w:val="20"/>
              </w:rPr>
              <w:t>________________________________________ Date ________________</w:t>
            </w:r>
          </w:p>
        </w:tc>
      </w:tr>
    </w:tbl>
    <w:p>
      <w:pPr>
        <w:spacing w:after="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Mold &amp; Moisture Addendum (Template) — Maple Court · Version 1 · Effective 1 April 2025</w:t>
    </w:r>
  </w:p>
  <w:p>
    <w:pPr>
      <w:jc w:val="right"/>
    </w:pPr>
    <w:r>
      <w:rPr>
        <w:sz w:val="16"/>
      </w:rPr>
      <w:t xml:space="preserve">Page </w:t>
    </w:r>
    <w:fldSimple w:instr="PAGE">
      <w:r>
        <w:rPr>
          <w:sz w:val="16"/>
        </w:rPr>
        <w:t>1</w:t>
      </w:r>
    </w:fldSimple>
    <w:r>
      <w:rPr>
        <w:sz w:val="16"/>
      </w:rPr>
      <w:t xml:space="preserve"> of </w:t>
    </w:r>
    <w:fldSimple w:instr="NUMPAGES">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Mold &amp; Moisture Addendum (Template) — Maple Court</dc:title>
  <dc:subject>addendum_mold</dc:subject>
  <dc:creator>Alder Grove Property Management</dc:creator>
  <cp:keywords/>
  <dc:description/>
  <cp:lastModifiedBy>Alder Grove Property Management</cp:lastModifiedBy>
  <cp:revision>1</cp:revision>
  <dcterms:created xsi:type="dcterms:W3CDTF">2025-04-01T00:00:00Z</dcterms:created>
  <dcterms:modified xsi:type="dcterms:W3CDTF">2025-04-01T00:00:00Z</dcterms:modified>
  <cp:category/>
</cp:coreProperties>
</file>