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Utility Allocation Addendum (Template) — Maple Court</w:t>
      </w:r>
    </w:p>
    <w:p>
      <w:r>
        <w:rPr>
          <w:i/>
          <w:color w:val="595959"/>
          <w:sz w:val="18"/>
        </w:rPr>
        <w:t>Version 1 · Effective 1 April 2025</w:t>
      </w:r>
    </w:p>
    <w:p>
      <w:r>
        <w:rPr>
          <w:b/>
        </w:rPr>
        <w:t>This is a blank template. It is not a signed agreement and it records no actual tenancy.</w:t>
      </w:r>
    </w:p>
    <w:p>
      <w:pPr>
        <w:pStyle w:val="Heading1"/>
      </w:pPr>
      <w:r>
        <w:t>1. What this addendum is</w:t>
      </w:r>
    </w:p>
    <w:p>
      <w:r>
        <w:rPr/>
        <w:t>California Civil Code section 1940.9 requires the owner to disclose, before a lease is signed, where a resident's utility service also serves areas outside their unit, and to explain how charges are divided.</w:t>
      </w:r>
    </w:p>
    <w:tbl>
      <w:tblPr>
        <w:tblStyle w:val="TableGrid"/>
        <w:tblW w:type="auto" w:w="0"/>
        <w:tblLayout w:type="fixed"/>
        <w:tblLook w:firstColumn="1" w:firstRow="1" w:lastColumn="0" w:lastRow="0" w:noHBand="0" w:noVBand="1" w:val="04A0"/>
      </w:tblPr>
      <w:tblGrid>
        <w:gridCol w:w="2324"/>
        <w:gridCol w:w="7036"/>
      </w:tblGrid>
      <w:tr>
        <w:tc>
          <w:tcPr>
            <w:tcW w:type="dxa" w:w="2324"/>
          </w:tcPr>
          <w:p>
            <w:r>
              <w:rPr>
                <w:sz w:val="20"/>
              </w:rPr>
              <w:t>Resident(s)</w:t>
            </w:r>
          </w:p>
        </w:tc>
        <w:tc>
          <w:tcPr>
            <w:tcW w:type="dxa" w:w="7036"/>
          </w:tcPr>
          <w:p>
            <w:r>
              <w:rPr>
                <w:sz w:val="20"/>
              </w:rPr>
              <w:t>________________________________________</w:t>
            </w:r>
          </w:p>
        </w:tc>
      </w:tr>
      <w:tr>
        <w:tc>
          <w:tcPr>
            <w:tcW w:type="dxa" w:w="2324"/>
          </w:tcPr>
          <w:p>
            <w:r>
              <w:rPr>
                <w:sz w:val="20"/>
              </w:rPr>
              <w:t>Unit</w:t>
            </w:r>
          </w:p>
        </w:tc>
        <w:tc>
          <w:tcPr>
            <w:tcW w:type="dxa" w:w="7036"/>
          </w:tcPr>
          <w:p>
            <w:r>
              <w:rPr>
                <w:sz w:val="20"/>
              </w:rPr>
              <w:t>________________</w:t>
            </w:r>
          </w:p>
        </w:tc>
      </w:tr>
      <w:tr>
        <w:tc>
          <w:tcPr>
            <w:tcW w:type="dxa" w:w="2324"/>
          </w:tcPr>
          <w:p>
            <w:r>
              <w:rPr>
                <w:sz w:val="20"/>
              </w:rPr>
              <w:t>Lease dated</w:t>
            </w:r>
          </w:p>
        </w:tc>
        <w:tc>
          <w:tcPr>
            <w:tcW w:type="dxa" w:w="7036"/>
          </w:tcPr>
          <w:p>
            <w:r>
              <w:rPr>
                <w:sz w:val="20"/>
              </w:rPr>
              <w:t>________________</w:t>
            </w:r>
          </w:p>
        </w:tc>
      </w:tr>
    </w:tbl>
    <w:p>
      <w:pPr>
        <w:spacing w:after="0"/>
      </w:pPr>
    </w:p>
    <w:p>
      <w:pPr>
        <w:pStyle w:val="Heading1"/>
      </w:pPr>
      <w:r>
        <w:t>2. Why the units are not separately metered</w:t>
      </w:r>
    </w:p>
    <w:p>
      <w:r>
        <w:rPr/>
        <w:t xml:space="preserve">Maple Court was constructed in </w:t>
      </w:r>
      <w:r>
        <w:rPr>
          <w:b/>
        </w:rPr>
        <w:t>1962</w:t>
      </w:r>
      <w:r>
        <w:rPr/>
        <w:t xml:space="preserve"> with a single service connection for water, sewer, and trash serving all four units and the shared areas. The units are not individually metered for these services and cannot be billed on measured consumption.</w:t>
      </w:r>
    </w:p>
    <w:p>
      <w:pPr>
        <w:pStyle w:val="Heading1"/>
      </w:pPr>
      <w:r>
        <w:t>3. Which utilities are allocated</w:t>
      </w:r>
    </w:p>
    <w:p>
      <w:r>
        <w:rPr/>
        <w:t>Allocated and billed through the office:</w:t>
      </w:r>
    </w:p>
    <w:p>
      <w:pPr>
        <w:pStyle w:val="ListBullet"/>
      </w:pPr>
      <w:r>
        <w:rPr/>
        <w:t>water</w:t>
      </w:r>
    </w:p>
    <w:p>
      <w:pPr>
        <w:pStyle w:val="ListBullet"/>
      </w:pPr>
      <w:r>
        <w:rPr/>
        <w:t>sewer</w:t>
      </w:r>
    </w:p>
    <w:p>
      <w:pPr>
        <w:pStyle w:val="ListBullet"/>
      </w:pPr>
      <w:r>
        <w:rPr/>
        <w:t>trash and recycling collection</w:t>
      </w:r>
    </w:p>
    <w:p>
      <w:r>
        <w:rPr/>
        <w:t>Not allocated — held in the resident's own name with the provider:</w:t>
      </w:r>
    </w:p>
    <w:p>
      <w:pPr>
        <w:pStyle w:val="ListBullet"/>
      </w:pPr>
      <w:r>
        <w:rPr/>
        <w:t>electricity</w:t>
      </w:r>
    </w:p>
    <w:p>
      <w:pPr>
        <w:pStyle w:val="ListBullet"/>
      </w:pPr>
      <w:r>
        <w:rPr/>
        <w:t>natural gas</w:t>
      </w:r>
    </w:p>
    <w:p>
      <w:pPr>
        <w:pStyle w:val="Heading1"/>
      </w:pPr>
      <w:r>
        <w:t>4. The allocation formula</w:t>
      </w:r>
    </w:p>
    <w:p>
      <w:r>
        <w:rPr>
          <w:b/>
        </w:rPr>
        <w:t>Each of the four units is billed one quarter — 25% — of the property's total water, sewer, and trash charges for the billing period.</w:t>
      </w:r>
    </w:p>
    <w:p>
      <w:r>
        <w:rPr/>
        <w:t xml:space="preserve">The allocation is a fixed equal share per unit. It does </w:t>
      </w:r>
      <w:r>
        <w:rPr>
          <w:b/>
        </w:rPr>
        <w:t>not</w:t>
      </w:r>
      <w:r>
        <w:rPr/>
        <w:t xml:space="preserve"> vary with:</w:t>
      </w:r>
    </w:p>
    <w:p>
      <w:pPr>
        <w:pStyle w:val="ListBullet"/>
      </w:pPr>
      <w:r>
        <w:rPr/>
        <w:t>the number of occupants in a unit</w:t>
      </w:r>
    </w:p>
    <w:p>
      <w:pPr>
        <w:pStyle w:val="ListBullet"/>
      </w:pPr>
      <w:r>
        <w:rPr/>
        <w:t>the square footage of a unit</w:t>
      </w:r>
    </w:p>
    <w:p>
      <w:pPr>
        <w:pStyle w:val="ListBullet"/>
      </w:pPr>
      <w:r>
        <w:rPr/>
        <w:t>measured or estimated consumption by a unit</w:t>
      </w:r>
    </w:p>
    <w:p>
      <w:pPr>
        <w:pStyle w:val="ListBullet"/>
      </w:pPr>
      <w:r>
        <w:rPr/>
        <w:t>whether a unit is occupied during the period</w:t>
      </w:r>
    </w:p>
    <w:p>
      <w:r>
        <w:rPr/>
        <w:t>The shared areas — the laundry room and the courtyard irrigation — draw on the same connection, and their usage is included in the total that is divided four ways.</w:t>
      </w:r>
    </w:p>
    <w:p>
      <w:r>
        <w:rPr/>
        <w:t>Worked example: where the property is billed $400 for water, sewer, and trash in a period, each unit is billed $100.</w:t>
      </w:r>
    </w:p>
    <w:p>
      <w:pPr>
        <w:pStyle w:val="Heading1"/>
      </w:pPr>
      <w:r>
        <w:t>5. No markup</w:t>
      </w:r>
    </w:p>
    <w:p>
      <w:r>
        <w:rPr/>
        <w:t xml:space="preserve">The total amount charged across the four units equals the amount the property is billed by the provider. </w:t>
      </w:r>
      <w:r>
        <w:rPr>
          <w:b/>
        </w:rPr>
        <w:t>The owner adds no administrative charge, service fee, or margin.</w:t>
      </w:r>
    </w:p>
    <w:p>
      <w:pPr>
        <w:pStyle w:val="Heading1"/>
      </w:pPr>
      <w:r>
        <w:t>6. Billing cycle</w:t>
      </w:r>
    </w:p>
    <w:p>
      <w:r>
        <w:rPr/>
        <w:t xml:space="preserve">Allocated utilities are billed </w:t>
      </w:r>
      <w:r>
        <w:rPr>
          <w:b/>
        </w:rPr>
        <w:t>monthly, one month in arrears</w:t>
      </w:r>
      <w:r>
        <w:rPr/>
        <w:t>, and appear as a separate line on the resident statement in the portal.</w:t>
      </w:r>
    </w:p>
    <w:p>
      <w:r>
        <w:rPr/>
        <w:t>The charge is not rent. A dispute about a utility charge does not excuse payment of rent, and a utility charge is not treated as unpaid rent.</w:t>
      </w:r>
    </w:p>
    <w:p>
      <w:pPr>
        <w:pStyle w:val="Heading1"/>
      </w:pPr>
      <w:r>
        <w:t>7. Right to see the underlying bill</w:t>
      </w:r>
    </w:p>
    <w:p>
      <w:r>
        <w:rPr>
          <w:b/>
        </w:rPr>
        <w:t>The resident may request a copy of the provider's bill for any period in which they were charged.</w:t>
      </w:r>
      <w:r>
        <w:rPr/>
        <w:t xml:space="preserve"> Requests go to the office and are provided at no cost, ordinarily within five business days.</w:t>
      </w:r>
    </w:p>
    <w:p>
      <w:pPr>
        <w:pStyle w:val="Heading1"/>
      </w:pPr>
      <w:r>
        <w:t>8. Disputes</w:t>
      </w:r>
    </w:p>
    <w:p>
      <w:r>
        <w:rPr/>
        <w:t>A resident who believes a charge is wrong should contact the office in writing, identifying the period and the reason. The office reviews the provider bill and the division, and responds in writing.</w:t>
      </w:r>
    </w:p>
    <w:p>
      <w:r>
        <w:rPr/>
        <w:t>Where an error is found, the correction is applied to the next statement.</w:t>
      </w:r>
    </w:p>
    <w:p>
      <w:pPr>
        <w:pStyle w:val="Heading1"/>
      </w:pPr>
      <w:r>
        <w:t>9. Utilities in the resident's own name</w:t>
      </w:r>
    </w:p>
    <w:p>
      <w:r>
        <w:rPr/>
        <w:t>The resident is responsible for opening electricity and gas accounts effective on the lease start date, keeping them current, and closing them at the end of the tenancy.</w:t>
      </w:r>
    </w:p>
    <w:p>
      <w:r>
        <w:rPr/>
        <w:t>Failure to keep these accounts on can damage the unit — for example through loss of refrigeration or, in winter, loss of heat — and the resident is responsible for damage that results.</w:t>
      </w:r>
    </w:p>
    <w:p>
      <w:pPr>
        <w:pStyle w:val="Heading1"/>
      </w:pPr>
      <w:r>
        <w:t>10. Signatures</w:t>
      </w:r>
    </w:p>
    <w:tbl>
      <w:tblPr>
        <w:tblStyle w:val="TableGrid"/>
        <w:tblW w:type="auto" w:w="0"/>
        <w:tblLayout w:type="fixed"/>
        <w:tblLook w:firstColumn="1" w:firstRow="1" w:lastColumn="0" w:lastRow="0" w:noHBand="0" w:noVBand="1" w:val="04A0"/>
      </w:tblPr>
      <w:tblGrid>
        <w:gridCol w:w="1917"/>
        <w:gridCol w:w="7443"/>
      </w:tblGrid>
      <w:tr>
        <w:tc>
          <w:tcPr>
            <w:tcW w:type="dxa" w:w="1917"/>
          </w:tcPr>
          <w:p>
            <w:r>
              <w:rPr>
                <w:sz w:val="20"/>
              </w:rPr>
              <w:t>Resident</w:t>
            </w:r>
          </w:p>
        </w:tc>
        <w:tc>
          <w:tcPr>
            <w:tcW w:type="dxa" w:w="7443"/>
          </w:tcPr>
          <w:p>
            <w:r>
              <w:rPr>
                <w:sz w:val="20"/>
              </w:rPr>
              <w:t>________________________________________ Date ________________</w:t>
            </w:r>
          </w:p>
        </w:tc>
      </w:tr>
      <w:tr>
        <w:tc>
          <w:tcPr>
            <w:tcW w:type="dxa" w:w="1917"/>
          </w:tcPr>
          <w:p>
            <w:r>
              <w:rPr>
                <w:sz w:val="20"/>
              </w:rPr>
              <w:t>Resident</w:t>
            </w:r>
          </w:p>
        </w:tc>
        <w:tc>
          <w:tcPr>
            <w:tcW w:type="dxa" w:w="7443"/>
          </w:tcPr>
          <w:p>
            <w:r>
              <w:rPr>
                <w:sz w:val="20"/>
              </w:rPr>
              <w:t>________________________________________ Date ________________</w:t>
            </w:r>
          </w:p>
        </w:tc>
      </w:tr>
      <w:tr>
        <w:tc>
          <w:tcPr>
            <w:tcW w:type="dxa" w:w="1917"/>
          </w:tcPr>
          <w:p>
            <w:r>
              <w:rPr>
                <w:sz w:val="20"/>
              </w:rPr>
              <w:t>For the owner</w:t>
            </w:r>
          </w:p>
        </w:tc>
        <w:tc>
          <w:tcPr>
            <w:tcW w:type="dxa" w:w="7443"/>
          </w:tcPr>
          <w:p>
            <w:r>
              <w:rPr>
                <w:sz w:val="20"/>
              </w:rPr>
              <w:t>________________________________________ Date ________________</w:t>
            </w:r>
          </w:p>
        </w:tc>
      </w:tr>
    </w:tbl>
    <w:p>
      <w:pPr>
        <w:spacing w:after="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Utility Allocation Addendum (Template) — Maple Court · Version 1 · Effective 1 April 2025</w:t>
    </w:r>
  </w:p>
  <w:p>
    <w:pPr>
      <w:jc w:val="right"/>
    </w:pPr>
    <w:r>
      <w:rPr>
        <w:sz w:val="16"/>
      </w:rPr>
      <w:t xml:space="preserve">Page </w:t>
    </w:r>
    <w:fldSimple w:instr="PAGE">
      <w:r>
        <w:rPr>
          <w:sz w:val="16"/>
        </w:rPr>
        <w:t>1</w:t>
      </w:r>
    </w:fldSimple>
    <w:r>
      <w:rPr>
        <w:sz w:val="16"/>
      </w:rPr>
      <w:t xml:space="preserve"> of </w:t>
    </w:r>
    <w:fldSimple w:instr="NUMPAGES">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Utility Allocation Addendum (Template) — Maple Court</dc:title>
  <dc:subject>addendum_utility_allocation</dc:subject>
  <dc:creator>Alder Grove Property Management</dc:creator>
  <cp:keywords/>
  <dc:description/>
  <cp:lastModifiedBy>Alder Grove Property Management</cp:lastModifiedBy>
  <cp:revision>1</cp:revision>
  <dcterms:created xsi:type="dcterms:W3CDTF">2025-04-01T00:00:00Z</dcterms:created>
  <dcterms:modified xsi:type="dcterms:W3CDTF">2025-04-01T00:00:00Z</dcterms:modified>
  <cp:category/>
</cp:coreProperties>
</file>