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Residential Lease Terms — Maple Court</w:t>
      </w:r>
    </w:p>
    <w:p>
      <w:r>
        <w:rPr>
          <w:i/>
          <w:color w:val="595959"/>
          <w:sz w:val="18"/>
        </w:rPr>
        <w:t>Version 1 · Effective 1 April 2025</w:t>
      </w:r>
    </w:p>
    <w:p>
      <w:r>
        <w:rPr>
          <w:b/>
        </w:rPr>
        <w:t>Maple Court, 3140 Roswell Avenue, Long Beach, CA 90814</w:t>
      </w:r>
      <w:r>
        <w:br/>
      </w:r>
      <w:r>
        <w:rPr/>
        <w:t>Managed by Alder Grove Property Management</w:t>
      </w:r>
    </w:p>
    <w:p>
      <w:pPr>
        <w:pStyle w:val="Heading1"/>
      </w:pPr>
      <w:r>
        <w:t>1. Scope of these terms</w:t>
      </w:r>
    </w:p>
    <w:p>
      <w:r>
        <w:rPr/>
        <w:t>This document sets out the standard lease terms offered at Maple Court. It is a template. It is not a signed agreement and it is not a record of any particular tenancy.</w:t>
      </w:r>
    </w:p>
    <w:p>
      <w:r>
        <w:rPr/>
        <w:t>An executed lease may differ from this document. Where a signed lease or an attached addendum says something different, the signed document governs. A resident who wants to know what their own lease says should consult their signed copy or contact the office.</w:t>
      </w:r>
    </w:p>
    <w:p>
      <w:pPr>
        <w:pStyle w:val="Heading1"/>
      </w:pPr>
      <w:r>
        <w:t>2. Premises and occupancy</w:t>
      </w:r>
    </w:p>
    <w:p>
      <w:r>
        <w:rPr/>
        <w:t>The premises are a single residential unit at Maple Court, identified by unit number in the signed lease. The building contains four units.</w:t>
      </w:r>
    </w:p>
    <w:p>
      <w:r>
        <w:rPr/>
        <w:t>The unit is rented for residential use only. Occupancy is limited to the persons named in the signed lease. Adding an occupant requires the owner's written consent.</w:t>
      </w:r>
    </w:p>
    <w:p>
      <w:pPr>
        <w:pStyle w:val="Heading1"/>
      </w:pPr>
      <w:r>
        <w:t>3. Term</w:t>
      </w:r>
    </w:p>
    <w:p>
      <w:r>
        <w:rPr/>
        <w:t>The initial term is stated in the signed lease and is typically twelve months. Unless the signed lease provides otherwise, the tenancy continues month to month after the initial term ends.</w:t>
      </w:r>
    </w:p>
    <w:p>
      <w:r>
        <w:rPr/>
        <w:t>Term length, start date, and end date are recorded in the signed lease: ________________.</w:t>
      </w:r>
    </w:p>
    <w:p>
      <w:pPr>
        <w:pStyle w:val="Heading1"/>
      </w:pPr>
      <w:r>
        <w:t>4. Rent</w:t>
      </w:r>
    </w:p>
    <w:p>
      <w:r>
        <w:rPr/>
        <w:t xml:space="preserve">Rent is due on the </w:t>
      </w:r>
      <w:r>
        <w:rPr>
          <w:b/>
        </w:rPr>
        <w:t>1st day of each month</w:t>
      </w:r>
      <w:r>
        <w:rPr/>
        <w:t>. Rent is payable in advance, without demand.</w:t>
      </w:r>
    </w:p>
    <w:p>
      <w:r>
        <w:rPr/>
        <w:t>The monthly rent amount is stated in the signed lease: ________________.</w:t>
      </w:r>
    </w:p>
    <w:p>
      <w:r>
        <w:rPr/>
        <w:t>Accepted payment methods are described in the Payment &amp; Billing Policy. Rent is considered paid on the date the payment is received, not the date it is sent.</w:t>
      </w:r>
    </w:p>
    <w:p>
      <w:pPr>
        <w:pStyle w:val="Heading1"/>
      </w:pPr>
      <w:r>
        <w:t>5. Late payment</w:t>
      </w:r>
    </w:p>
    <w:p>
      <w:r>
        <w:rPr>
          <w:b/>
        </w:rPr>
        <w:t>Maple Court does not offer a grace period.</w:t>
      </w:r>
      <w:r>
        <w:rPr/>
        <w:t xml:space="preserve"> Rent not received by the end of the day on the 1st is late on the 2nd.</w:t>
      </w:r>
    </w:p>
    <w:p>
      <w:r>
        <w:rPr/>
        <w:t xml:space="preserve">A late fee of </w:t>
      </w:r>
      <w:r>
        <w:rPr>
          <w:b/>
        </w:rPr>
        <w:t>$75</w:t>
      </w:r>
      <w:r>
        <w:rPr/>
        <w:t xml:space="preserve"> applies to rent received after the 1st. The fee is charged once per month in which rent is late. California does not set a statutory late fee amount or require a grace period; the fee stated here is the amount set by this lease as a reasonable estimate of the administrative cost of processing a late payment.</w:t>
      </w:r>
    </w:p>
    <w:p>
      <w:r>
        <w:rPr/>
        <w:t>Returned payments are subject to the fees in the Payment &amp; Billing Policy.</w:t>
      </w:r>
    </w:p>
    <w:p>
      <w:pPr>
        <w:pStyle w:val="Heading1"/>
      </w:pPr>
      <w:r>
        <w:t>6. Security deposit</w:t>
      </w:r>
    </w:p>
    <w:p>
      <w:r>
        <w:rPr/>
        <w:t xml:space="preserve">The security deposit may not exceed </w:t>
      </w:r>
      <w:r>
        <w:rPr>
          <w:b/>
        </w:rPr>
        <w:t>one month's rent</w:t>
      </w:r>
      <w:r>
        <w:rPr/>
        <w:t>. The deposit amount is stated in the signed lease: ________________.</w:t>
      </w:r>
    </w:p>
    <w:p>
      <w:r>
        <w:rPr/>
        <w:t>The deposit is not rent and may not be applied by the resident as the last month's rent.</w:t>
      </w:r>
    </w:p>
    <w:p>
      <w:r>
        <w:rPr/>
        <w:t>Deposit handling, itemization, and return are described in the Security Deposit Policy. Deposits are itemized and returned within 21 days after the tenancy ends.</w:t>
      </w:r>
    </w:p>
    <w:p>
      <w:pPr>
        <w:pStyle w:val="Heading1"/>
      </w:pPr>
      <w:r>
        <w:t>7. Utilities</w:t>
      </w:r>
    </w:p>
    <w:p>
      <w:r>
        <w:rPr/>
        <w:t>Water, sewer, and trash are billed to residents by allocation rather than by individual meter. Maple Court was built in 1962 and the units are not separately metered for these services.</w:t>
      </w:r>
    </w:p>
    <w:p>
      <w:r>
        <w:rPr/>
        <w:t>The allocation method, the formula, and the resident's right to request the underlying bills are described in the Required Disclosures Packet and in the Utility Allocation Addendum.</w:t>
      </w:r>
    </w:p>
    <w:p>
      <w:r>
        <w:rPr/>
        <w:t>Electricity and gas are separately metered and are held in the resident's name.</w:t>
      </w:r>
    </w:p>
    <w:p>
      <w:pPr>
        <w:pStyle w:val="Heading1"/>
      </w:pPr>
      <w:r>
        <w:t>8. Condition of the premises</w:t>
      </w:r>
    </w:p>
    <w:p>
      <w:r>
        <w:rPr/>
        <w:t>The unit is rented in the condition existing at move-in, as recorded in the move-in inspection and the accompanying photographs.</w:t>
      </w:r>
    </w:p>
    <w:p>
      <w:r>
        <w:rPr/>
        <w:t>The owner maintains the premises in a habitable condition as required by California law.</w:t>
      </w:r>
    </w:p>
    <w:p>
      <w:pPr>
        <w:pStyle w:val="Heading1"/>
      </w:pPr>
      <w:r>
        <w:t>9. Maintenance and repairs</w:t>
      </w:r>
    </w:p>
    <w:p>
      <w:r>
        <w:rPr/>
        <w:t>Residents report maintenance through the channels described in the Maintenance &amp; Repair Policy. Response priorities and target response times are set out in that document.</w:t>
      </w:r>
    </w:p>
    <w:p>
      <w:r>
        <w:rPr/>
        <w:t>Residents are responsible for damage beyond ordinary wear caused by the resident, a member of the household, or a guest.</w:t>
      </w:r>
    </w:p>
    <w:p>
      <w:r>
        <w:rPr/>
        <w:t>Residents are responsible for replacing smoke detector and carbon monoxide detector batteries during the tenancy and for reporting any detector that does not function.</w:t>
      </w:r>
    </w:p>
    <w:p>
      <w:pPr>
        <w:pStyle w:val="Heading1"/>
      </w:pPr>
      <w:r>
        <w:t>10. Owner access to the unit</w:t>
      </w:r>
    </w:p>
    <w:p>
      <w:r>
        <w:rPr/>
        <w:t>The owner or the owner's agent may enter the unit for the purposes permitted by California Civil Code section 1954, including repairs, inspections, and showing the unit.</w:t>
      </w:r>
    </w:p>
    <w:p>
      <w:r>
        <w:rPr/>
        <w:t xml:space="preserve">Except in an emergency, entry requires </w:t>
      </w:r>
      <w:r>
        <w:rPr>
          <w:b/>
        </w:rPr>
        <w:t>at least 24 hours' written notice</w:t>
      </w:r>
      <w:r>
        <w:rPr/>
        <w:t xml:space="preserve"> and occurs during normal business hours. Notice states the date, the approximate time, and the purpose of entry.</w:t>
      </w:r>
    </w:p>
    <w:p>
      <w:r>
        <w:rPr/>
        <w:t>No advance notice is required in an emergency.</w:t>
      </w:r>
    </w:p>
    <w:p>
      <w:pPr>
        <w:pStyle w:val="Heading1"/>
      </w:pPr>
      <w:r>
        <w:t>11. Alterations</w:t>
      </w:r>
    </w:p>
    <w:p>
      <w:r>
        <w:rPr/>
        <w:t>Painting, fixture changes, and any alteration to the unit require the owner's written consent. Adhesive hooks, mounted shelving, and wall anchors are alterations for this purpose.</w:t>
      </w:r>
    </w:p>
    <w:p>
      <w:pPr>
        <w:pStyle w:val="Heading1"/>
      </w:pPr>
      <w:r>
        <w:t>12. Use of shared areas</w:t>
      </w:r>
    </w:p>
    <w:p>
      <w:r>
        <w:rPr/>
        <w:t>Maple Court has a shared laundry room, a courtyard, and a trash enclosure. Hours, reservation rules, and conditions of use are in the Building Rules &amp; Shared Areas document.</w:t>
      </w:r>
    </w:p>
    <w:p>
      <w:r>
        <w:rPr/>
        <w:t>Shared areas are not storage. Personal property left in a shared area may be removed.</w:t>
      </w:r>
    </w:p>
    <w:p>
      <w:pPr>
        <w:pStyle w:val="Heading1"/>
      </w:pPr>
      <w:r>
        <w:t>13. Quiet enjoyment</w:t>
      </w:r>
    </w:p>
    <w:p>
      <w:r>
        <w:rPr/>
        <w:t>Residents are entitled to quiet enjoyment of the unit. Residents are also responsible for conducting themselves, and for their guests conducting themselves, so as not to interfere with the quiet enjoyment of the other three units.</w:t>
      </w:r>
    </w:p>
    <w:p>
      <w:r>
        <w:rPr/>
        <w:t>Quiet hours are set out in the Building Rules &amp; Shared Areas document.</w:t>
      </w:r>
    </w:p>
    <w:p>
      <w:pPr>
        <w:pStyle w:val="Heading1"/>
      </w:pPr>
      <w:r>
        <w:t>14. Animals</w:t>
      </w:r>
    </w:p>
    <w:p>
      <w:r>
        <w:rPr/>
        <w:t>Pets are permitted subject to the Pet &amp; Animal Policy, which sets limits on number, weight, and type, and states the applicable pet deposit and monthly pet rent.</w:t>
      </w:r>
    </w:p>
    <w:p>
      <w:r>
        <w:rPr>
          <w:b/>
        </w:rPr>
        <w:t>Assistance animals are not pets.</w:t>
      </w:r>
      <w:r>
        <w:rPr/>
        <w:t xml:space="preserve"> Service animals and support animals are not subject to the pet limits, pet deposit, or pet rent in this lease or in the Pet &amp; Animal Policy. Requests involving an assistance animal are handled by the office and are not decided under the pet provisions.</w:t>
      </w:r>
    </w:p>
    <w:p>
      <w:pPr>
        <w:pStyle w:val="Heading1"/>
      </w:pPr>
      <w:r>
        <w:t>15. Smoking</w:t>
      </w:r>
    </w:p>
    <w:p>
      <w:r>
        <w:rPr>
          <w:b/>
        </w:rPr>
        <w:t>Maple Court is smoke-free throughout</w:t>
      </w:r>
      <w:r>
        <w:rPr/>
        <w:t>, including inside units, on balconies and patios, in the courtyard, in the laundry room, and in the parking area.</w:t>
      </w:r>
    </w:p>
    <w:p>
      <w:r>
        <w:rPr/>
        <w:t>This includes cigarettes, cigars, pipes, hookah, and electronic cigarettes and vaporizers.</w:t>
      </w:r>
    </w:p>
    <w:p>
      <w:pPr>
        <w:pStyle w:val="Heading1"/>
      </w:pPr>
      <w:r>
        <w:t>16. Parking</w:t>
      </w:r>
    </w:p>
    <w:p>
      <w:r>
        <w:rPr/>
        <w:t>The building has four assigned parking spaces, one per unit. Assignment is recorded in the signed lease. There is no visitor parking and there is no electric vehicle charging.</w:t>
      </w:r>
    </w:p>
    <w:p>
      <w:r>
        <w:rPr/>
        <w:t>Parking rules are in the Building Rules &amp; Shared Areas document.</w:t>
      </w:r>
    </w:p>
    <w:p>
      <w:pPr>
        <w:pStyle w:val="Heading1"/>
      </w:pPr>
      <w:r>
        <w:t>17. Renters insurance</w:t>
      </w:r>
    </w:p>
    <w:p>
      <w:r>
        <w:rPr/>
        <w:t xml:space="preserve">Residents are required to maintain renters insurance with personal liability coverage of at least </w:t>
      </w:r>
      <w:r>
        <w:rPr>
          <w:b/>
        </w:rPr>
        <w:t>$100,000</w:t>
      </w:r>
      <w:r>
        <w:rPr/>
        <w:t xml:space="preserve"> and to provide proof of coverage at move-in and on renewal.</w:t>
      </w:r>
    </w:p>
    <w:p>
      <w:pPr>
        <w:pStyle w:val="Heading1"/>
      </w:pPr>
      <w:r>
        <w:t>18. Guests</w:t>
      </w:r>
    </w:p>
    <w:p>
      <w:r>
        <w:rPr/>
        <w:t xml:space="preserve">A guest may stay up to </w:t>
      </w:r>
      <w:r>
        <w:rPr>
          <w:b/>
        </w:rPr>
        <w:t>14 consecutive days</w:t>
      </w:r>
      <w:r>
        <w:rPr/>
        <w:t>. A stay beyond that period requires the owner's written consent and may require the guest to be added to the lease.</w:t>
      </w:r>
    </w:p>
    <w:p>
      <w:pPr>
        <w:pStyle w:val="Heading1"/>
      </w:pPr>
      <w:r>
        <w:t>19. Ending the tenancy</w:t>
      </w:r>
    </w:p>
    <w:p>
      <w:r>
        <w:rPr/>
        <w:t xml:space="preserve">A resident ending a month-to-month tenancy gives </w:t>
      </w:r>
      <w:r>
        <w:rPr>
          <w:b/>
        </w:rPr>
        <w:t>30 days' written notice</w:t>
      </w:r>
      <w:r>
        <w:rPr/>
        <w:t>.</w:t>
      </w:r>
    </w:p>
    <w:p>
      <w:r>
        <w:rPr/>
        <w:t>An owner ending a month-to-month tenancy gives 30 days' written notice if the resident has lived in the unit less than one year, or 60 days' written notice if the resident has lived in the unit one year or more.</w:t>
      </w:r>
    </w:p>
    <w:p>
      <w:r>
        <w:rPr/>
        <w:t xml:space="preserve">This property is subject to the just cause requirements of California Civil Code section 1946.2 and to Long Beach Municipal Code chapter 8.99. Termination, notices, and relocation assistance are handled by the office. </w:t>
      </w:r>
      <w:r>
        <w:rPr>
          <w:b/>
        </w:rPr>
        <w:t>Questions about ending a tenancy, about a notice a resident has received, or about relocation assistance are directed to staff and are not answered from this document.</w:t>
      </w:r>
    </w:p>
    <w:p>
      <w:pPr>
        <w:pStyle w:val="Heading1"/>
      </w:pPr>
      <w:r>
        <w:t>20. Rent increases and renewal</w:t>
      </w:r>
    </w:p>
    <w:p>
      <w:r>
        <w:rPr/>
        <w:t>This property is subject to the rent limits of California Civil Code section 1947.12.</w:t>
      </w:r>
    </w:p>
    <w:p>
      <w:r>
        <w:rPr/>
        <w:t>The applicable annual limit, the notice required, and the renewal process are described in the Rent Increase &amp; Renewal Policy. The amount of any increase for a particular unit is recorded in the notice sent to that unit and in the portal; it is not stated here.</w:t>
      </w:r>
    </w:p>
    <w:p>
      <w:pPr>
        <w:pStyle w:val="Heading1"/>
      </w:pPr>
      <w:r>
        <w:t>21. Addenda and disclosures</w:t>
      </w:r>
    </w:p>
    <w:p>
      <w:r>
        <w:rPr/>
        <w:t>The signed lease may include addenda that change or add to these terms. Addenda used at Maple Court include the Pet Addendum, the Smoke-Free Addendum, the Mold &amp; Moisture Addendum, the Bed Bug Addendum, and the Utility Allocation Addendum.</w:t>
      </w:r>
    </w:p>
    <w:p>
      <w:r>
        <w:rPr/>
        <w:t>Required disclosures are provided in the Required Disclosures Packet and, because this building was constructed before 1978, in the Lead-Based Paint Disclosure.</w:t>
      </w:r>
    </w:p>
    <w:p>
      <w:r>
        <w:rPr/>
        <w:t>A resident who wants to know which addenda are attached to their own lease should consult their signed copy or contact the office.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Standard Residential Lease Terms — Maple Court · Version 1 · Effective 1 April 2025</w:t>
    </w:r>
  </w:p>
  <w:p>
    <w:pPr>
      <w:jc w:val="right"/>
    </w:pPr>
    <w:r>
      <w:rPr>
        <w:sz w:val="16"/>
      </w:rPr>
      <w:t xml:space="preserve">Page </w:t>
    </w:r>
    <w:fldSimple w:instr="PAGE">
      <w:r>
        <w:rPr>
          <w:sz w:val="16"/>
        </w:rPr>
        <w:t>1</w:t>
      </w:r>
    </w:fldSimple>
    <w:r>
      <w:rPr>
        <w:sz w:val="16"/>
      </w:rPr>
      <w:t xml:space="preserve"> of </w:t>
    </w:r>
    <w:fldSimple w:instr="NUMPAGES">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Residential Lease Terms — Maple Court</dc:title>
  <dc:subject>lease_standard</dc:subject>
  <dc:creator>Alder Grove Property Management</dc:creator>
  <cp:keywords/>
  <dc:description/>
  <cp:lastModifiedBy>Alder Grove Property Management</cp:lastModifiedBy>
  <cp:revision>1</cp:revision>
  <dcterms:created xsi:type="dcterms:W3CDTF">2025-04-01T00:00:00Z</dcterms:created>
  <dcterms:modified xsi:type="dcterms:W3CDTF">2025-04-01T00:00:00Z</dcterms:modified>
  <cp:category/>
</cp:coreProperties>
</file>