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47.png" ContentType="image/png"/>
  <Override PartName="/word/media/rId39.png" ContentType="image/png"/>
  <Override PartName="/word/media/rId22.png" ContentType="image/png"/>
  <Override PartName="/word/media/rId34.png" ContentType="image/png"/>
  <Override PartName="/word/media/rId3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w:t>
      </w:r>
      <w:r>
        <w:t xml:space="preserve"> </w:t>
      </w:r>
      <w:r>
        <w:t xml:space="preserve">Magic:</w:t>
      </w:r>
      <w:r>
        <w:t xml:space="preserve"> </w:t>
      </w:r>
      <w:r>
        <w:t xml:space="preserve">The</w:t>
      </w:r>
      <w:r>
        <w:t xml:space="preserve"> </w:t>
      </w:r>
      <w:r>
        <w:t xml:space="preserve">Gathering</w:t>
      </w:r>
      <w:r>
        <w:t xml:space="preserve"> </w:t>
      </w:r>
      <w:r>
        <w:t xml:space="preserve">Card</w:t>
      </w:r>
      <w:r>
        <w:t xml:space="preserve"> </w:t>
      </w:r>
      <w:r>
        <w:t xml:space="preserve">Reprints</w:t>
      </w:r>
    </w:p>
    <w:p>
      <w:pPr>
        <w:pStyle w:val="Subtitle"/>
      </w:pPr>
      <w:r>
        <w:t xml:space="preserve">A</w:t>
      </w:r>
      <w:r>
        <w:t xml:space="preserve"> </w:t>
      </w:r>
      <w:r>
        <w:t xml:space="preserve">Survival-Analysis</w:t>
      </w:r>
      <w:r>
        <w:t xml:space="preserve"> </w:t>
      </w:r>
      <w:r>
        <w:t xml:space="preserve">Model</w:t>
      </w:r>
      <w:r>
        <w:t xml:space="preserve"> </w:t>
      </w:r>
      <w:r>
        <w:t xml:space="preserve">on</w:t>
      </w:r>
      <w:r>
        <w:t xml:space="preserve"> </w:t>
      </w:r>
      <w:r>
        <w:t xml:space="preserve">33</w:t>
      </w:r>
      <w:r>
        <w:t xml:space="preserve"> </w:t>
      </w:r>
      <w:r>
        <w:t xml:space="preserve">Years</w:t>
      </w:r>
      <w:r>
        <w:t xml:space="preserve"> </w:t>
      </w:r>
      <w:r>
        <w:t xml:space="preserve">of</w:t>
      </w:r>
      <w:r>
        <w:t xml:space="preserve"> </w:t>
      </w:r>
      <w:r>
        <w:t xml:space="preserve">Print</w:t>
      </w:r>
      <w:r>
        <w:t xml:space="preserve"> </w:t>
      </w:r>
      <w:r>
        <w:t xml:space="preserve">History</w:t>
      </w:r>
      <w:r>
        <w:t xml:space="preserve"> </w:t>
      </w:r>
      <w:r>
        <w:t xml:space="preserve">and</w:t>
      </w:r>
      <w:r>
        <w:t xml:space="preserve"> </w:t>
      </w:r>
      <w:r>
        <w:t xml:space="preserve">16</w:t>
      </w:r>
      <w:r>
        <w:t xml:space="preserve"> </w:t>
      </w:r>
      <w:r>
        <w:t xml:space="preserve">Years</w:t>
      </w:r>
      <w:r>
        <w:t xml:space="preserve"> </w:t>
      </w:r>
      <w:r>
        <w:t xml:space="preserve">of</w:t>
      </w:r>
      <w:r>
        <w:t xml:space="preserve"> </w:t>
      </w:r>
      <w:r>
        <w:t xml:space="preserve">Daily</w:t>
      </w:r>
      <w:r>
        <w:t xml:space="preserve"> </w:t>
      </w:r>
      <w:r>
        <w:t xml:space="preserve">Prices</w:t>
      </w:r>
    </w:p>
    <w:p>
      <w:pPr>
        <w:pStyle w:val="Date"/>
      </w:pPr>
      <w:r>
        <w:t xml:space="preserve">May</w:t>
      </w:r>
      <w:r>
        <w:t xml:space="preserve"> </w:t>
      </w:r>
      <w:r>
        <w:t xml:space="preserve">2026</w:t>
      </w:r>
    </w:p>
    <w:bookmarkStart w:id="20" w:name="executive-summary"/>
    <w:p>
      <w:pPr>
        <w:pStyle w:val="Heading1"/>
      </w:pPr>
      <w:r>
        <w:t xml:space="preserve">Executive Summary</w:t>
      </w:r>
    </w:p>
    <w:p>
      <w:pPr>
        <w:pStyle w:val="FirstParagraph"/>
      </w:pPr>
      <w:r>
        <w:rPr>
          <w:bCs/>
          <w:b/>
        </w:rPr>
        <w:t xml:space="preserve">reprintRiskMTG</w:t>
      </w:r>
      <w:r>
        <w:t xml:space="preserve"> </w:t>
      </w:r>
      <w:r>
        <w:t xml:space="preserve">is a machine-learning system that estimates, for every one of the</w:t>
      </w:r>
      <w:r>
        <w:t xml:space="preserve"> </w:t>
      </w:r>
      <w:r>
        <w:rPr>
          <w:bCs/>
          <w:b/>
        </w:rPr>
        <w:t xml:space="preserve">32,731 unique Magic: The Gathering cards</w:t>
      </w:r>
      <w:r>
        <w:t xml:space="preserve">, the probability that Wizards of the Coast will</w:t>
      </w:r>
      <w:r>
        <w:t xml:space="preserve"> </w:t>
      </w:r>
      <w:r>
        <w:rPr>
          <w:bCs/>
          <w:b/>
        </w:rPr>
        <w:t xml:space="preserve">reprint it in paper within the next 3, 6, and 12 months</w:t>
      </w:r>
      <w:r>
        <w:t xml:space="preserve">.</w:t>
      </w:r>
    </w:p>
    <w:p>
      <w:pPr>
        <w:pStyle w:val="BodyText"/>
      </w:pPr>
      <w:r>
        <w:t xml:space="preserve">The model is trained on the complete printing history of the game (1993-2026), nearly</w:t>
      </w:r>
      <w:r>
        <w:t xml:space="preserve"> </w:t>
      </w:r>
      <w:r>
        <w:rPr>
          <w:bCs/>
          <w:b/>
        </w:rPr>
        <w:t xml:space="preserve">16 years of daily secondary-market prices</w:t>
      </w:r>
      <w:r>
        <w:t xml:space="preserve"> </w:t>
      </w:r>
      <w:r>
        <w:t xml:space="preserve">(≈151 million price points), and Commander-format demand signals. It is evaluated strictly on</w:t>
      </w:r>
      <w:r>
        <w:t xml:space="preserve"> </w:t>
      </w:r>
      <w:r>
        <w:rPr>
          <w:bCs/>
          <w:b/>
        </w:rPr>
        <w:t xml:space="preserve">held-out future data the model never saw during training</w:t>
      </w:r>
      <w:r>
        <w:t xml:space="preserve">.</w:t>
      </w:r>
    </w:p>
    <w:p>
      <w:pPr>
        <w:pStyle w:val="BodyText"/>
      </w:pPr>
      <w:r>
        <w:rPr>
          <w:bCs/>
          <w:b/>
        </w:rPr>
        <w:t xml:space="preserve">Headline results (held-out test period, July 2024 - June 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Horizon</w:t>
            </w:r>
          </w:p>
        </w:tc>
        <w:tc>
          <w:tcPr/>
          <w:p>
            <w:pPr>
              <w:pStyle w:val="Compact"/>
              <w:jc w:val="left"/>
            </w:pPr>
            <w:r>
              <w:t xml:space="preserve">AUC</w:t>
            </w:r>
          </w:p>
        </w:tc>
        <w:tc>
          <w:tcPr/>
          <w:p>
            <w:pPr>
              <w:pStyle w:val="Compact"/>
              <w:jc w:val="left"/>
            </w:pPr>
            <w:r>
              <w:t xml:space="preserve">Brier score</w:t>
            </w:r>
          </w:p>
        </w:tc>
        <w:tc>
          <w:tcPr/>
          <w:p>
            <w:pPr>
              <w:pStyle w:val="Compact"/>
              <w:jc w:val="left"/>
            </w:pPr>
            <w:r>
              <w:t xml:space="preserve">Base rate</w:t>
            </w:r>
          </w:p>
        </w:tc>
      </w:tr>
      <w:tr>
        <w:tc>
          <w:tcPr/>
          <w:p>
            <w:pPr>
              <w:pStyle w:val="Compact"/>
              <w:jc w:val="left"/>
            </w:pPr>
            <w:r>
              <w:t xml:space="preserve">3 months</w:t>
            </w:r>
          </w:p>
        </w:tc>
        <w:tc>
          <w:tcPr/>
          <w:p>
            <w:pPr>
              <w:pStyle w:val="Compact"/>
              <w:jc w:val="left"/>
            </w:pPr>
            <w:r>
              <w:rPr>
                <w:bCs/>
                <w:b/>
              </w:rPr>
              <w:t xml:space="preserve">0.86</w:t>
            </w:r>
          </w:p>
        </w:tc>
        <w:tc>
          <w:tcPr/>
          <w:p>
            <w:pPr>
              <w:pStyle w:val="Compact"/>
              <w:jc w:val="left"/>
            </w:pPr>
            <w:r>
              <w:t xml:space="preserve">0.031</w:t>
            </w:r>
          </w:p>
        </w:tc>
        <w:tc>
          <w:tcPr/>
          <w:p>
            <w:pPr>
              <w:pStyle w:val="Compact"/>
              <w:jc w:val="left"/>
            </w:pPr>
            <w:r>
              <w:t xml:space="preserve">4.3%</w:t>
            </w:r>
          </w:p>
        </w:tc>
      </w:tr>
      <w:tr>
        <w:tc>
          <w:tcPr/>
          <w:p>
            <w:pPr>
              <w:pStyle w:val="Compact"/>
              <w:jc w:val="left"/>
            </w:pPr>
            <w:r>
              <w:t xml:space="preserve">6 months</w:t>
            </w:r>
          </w:p>
        </w:tc>
        <w:tc>
          <w:tcPr/>
          <w:p>
            <w:pPr>
              <w:pStyle w:val="Compact"/>
              <w:jc w:val="left"/>
            </w:pPr>
            <w:r>
              <w:rPr>
                <w:bCs/>
                <w:b/>
              </w:rPr>
              <w:t xml:space="preserve">0.85</w:t>
            </w:r>
          </w:p>
        </w:tc>
        <w:tc>
          <w:tcPr/>
          <w:p>
            <w:pPr>
              <w:pStyle w:val="Compact"/>
              <w:jc w:val="left"/>
            </w:pPr>
            <w:r>
              <w:t xml:space="preserve">0.042</w:t>
            </w:r>
          </w:p>
        </w:tc>
        <w:tc>
          <w:tcPr/>
          <w:p>
            <w:pPr>
              <w:pStyle w:val="Compact"/>
              <w:jc w:val="left"/>
            </w:pPr>
            <w:r>
              <w:t xml:space="preserve">5.8%</w:t>
            </w:r>
          </w:p>
        </w:tc>
      </w:tr>
      <w:tr>
        <w:tc>
          <w:tcPr/>
          <w:p>
            <w:pPr>
              <w:pStyle w:val="Compact"/>
              <w:jc w:val="left"/>
            </w:pPr>
            <w:r>
              <w:t xml:space="preserve">12 months</w:t>
            </w:r>
          </w:p>
        </w:tc>
        <w:tc>
          <w:tcPr/>
          <w:p>
            <w:pPr>
              <w:pStyle w:val="Compact"/>
              <w:jc w:val="left"/>
            </w:pPr>
            <w:r>
              <w:rPr>
                <w:bCs/>
                <w:b/>
              </w:rPr>
              <w:t xml:space="preserve">0.82</w:t>
            </w:r>
          </w:p>
        </w:tc>
        <w:tc>
          <w:tcPr/>
          <w:p>
            <w:pPr>
              <w:pStyle w:val="Compact"/>
              <w:jc w:val="left"/>
            </w:pPr>
            <w:r>
              <w:t xml:space="preserve">0.062</w:t>
            </w:r>
          </w:p>
        </w:tc>
        <w:tc>
          <w:tcPr/>
          <w:p>
            <w:pPr>
              <w:pStyle w:val="Compact"/>
              <w:jc w:val="left"/>
            </w:pPr>
            <w:r>
              <w:t xml:space="preserve">7.7%</w:t>
            </w:r>
          </w:p>
        </w:tc>
      </w:tr>
    </w:tbl>
    <w:p>
      <w:pPr>
        <w:pStyle w:val="BodyText"/>
      </w:pPr>
      <w:r>
        <w:t xml:space="preserve">In a concrete forward test - taking a snapshot of June 2024 and asking</w:t>
      </w:r>
      <w:r>
        <w:t xml:space="preserve"> </w:t>
      </w:r>
      <w:r>
        <w:t xml:space="preserve">“</w:t>
      </w:r>
      <w:r>
        <w:t xml:space="preserve">which 100 cards are most likely to be reprinted in the next year?</w:t>
      </w:r>
      <w:r>
        <w:t xml:space="preserve">”</w:t>
      </w:r>
      <w:r>
        <w:t xml:space="preserve"> </w:t>
      </w:r>
      <w:r>
        <w:t xml:space="preserve">-</w:t>
      </w:r>
      <w:r>
        <w:t xml:space="preserve"> </w:t>
      </w:r>
      <w:r>
        <w:rPr>
          <w:bCs/>
          <w:b/>
        </w:rPr>
        <w:t xml:space="preserve">95-96 of the model’s top 100 picks were actually reprinted</w:t>
      </w:r>
      <w:r>
        <w:t xml:space="preserve"> </w:t>
      </w:r>
      <w:r>
        <w:t xml:space="preserve">in the following 12 months, versus a ~15% base rate. That is roughly</w:t>
      </w:r>
      <w:r>
        <w:t xml:space="preserve"> </w:t>
      </w:r>
      <w:r>
        <w:rPr>
          <w:bCs/>
          <w:b/>
        </w:rPr>
        <w:t xml:space="preserve">6× better than chance</w:t>
      </w:r>
      <w:r>
        <w:t xml:space="preserve">, and the predicted probabilities are well-calibrated (a card the model rates</w:t>
      </w:r>
      <w:r>
        <w:t xml:space="preserve"> </w:t>
      </w:r>
      <w:r>
        <w:t xml:space="preserve">“</w:t>
      </w:r>
      <w:r>
        <w:t xml:space="preserve">87% likely</w:t>
      </w:r>
      <w:r>
        <w:t xml:space="preserve">”</w:t>
      </w:r>
      <w:r>
        <w:t xml:space="preserve"> </w:t>
      </w:r>
      <w:r>
        <w:t xml:space="preserve">reprints about 83% of the time).</w:t>
      </w:r>
    </w:p>
    <w:p>
      <w:pPr>
        <w:pStyle w:val="BodyText"/>
      </w:pPr>
      <w:r>
        <w:t xml:space="preserve">The strongest learned drivers, confirmed by ablation, are</w:t>
      </w:r>
      <w:r>
        <w:t xml:space="preserve"> </w:t>
      </w:r>
      <w:r>
        <w:rPr>
          <w:bCs/>
          <w:b/>
        </w:rPr>
        <w:t xml:space="preserve">reprint cadence</w:t>
      </w:r>
      <w:r>
        <w:t xml:space="preserve"> </w:t>
      </w:r>
      <w:r>
        <w:t xml:space="preserve">(how the game’s release calendar and a card’s own printing rhythm interact),</w:t>
      </w:r>
      <w:r>
        <w:t xml:space="preserve"> </w:t>
      </w:r>
      <w:r>
        <w:rPr>
          <w:bCs/>
          <w:b/>
        </w:rPr>
        <w:t xml:space="preserve">Commander demand</w:t>
      </w:r>
      <w:r>
        <w:t xml:space="preserve"> </w:t>
      </w:r>
      <w:r>
        <w:t xml:space="preserve">(how widely a card is played), and</w:t>
      </w:r>
      <w:r>
        <w:t xml:space="preserve"> </w:t>
      </w:r>
      <w:r>
        <w:rPr>
          <w:bCs/>
          <w:b/>
        </w:rPr>
        <w:t xml:space="preserve">format legality</w:t>
      </w:r>
      <w:r>
        <w:t xml:space="preserve"> </w:t>
      </w:r>
      <w:r>
        <w:t xml:space="preserve">- the structural forces behind Wizards’ reprint decisions.</w:t>
      </w:r>
    </w:p>
    <w:p>
      <w:r>
        <w:pict>
          <v:rect style="width:0;height:1.5pt" o:hralign="center" o:hrstd="t" o:hr="t"/>
        </w:pict>
      </w:r>
    </w:p>
    <w:bookmarkEnd w:id="20"/>
    <w:bookmarkStart w:id="21" w:name="the-problem"/>
    <w:p>
      <w:pPr>
        <w:pStyle w:val="Heading1"/>
      </w:pPr>
      <w:r>
        <w:t xml:space="preserve">1. The Problem</w:t>
      </w:r>
    </w:p>
    <w:p>
      <w:pPr>
        <w:pStyle w:val="FirstParagraph"/>
      </w:pPr>
      <w:r>
        <w:t xml:space="preserve">A</w:t>
      </w:r>
      <w:r>
        <w:t xml:space="preserve"> </w:t>
      </w:r>
      <w:r>
        <w:t xml:space="preserve">“</w:t>
      </w:r>
      <w:r>
        <w:t xml:space="preserve">reprint</w:t>
      </w:r>
      <w:r>
        <w:t xml:space="preserve">”</w:t>
      </w:r>
      <w:r>
        <w:t xml:space="preserve"> </w:t>
      </w:r>
      <w:r>
        <w:t xml:space="preserve">is when an existing card is reissued in a new paper product. Reprints matter enormously to:</w:t>
      </w:r>
    </w:p>
    <w:p>
      <w:pPr>
        <w:numPr>
          <w:ilvl w:val="0"/>
          <w:numId w:val="1001"/>
        </w:numPr>
        <w:pStyle w:val="Compact"/>
      </w:pPr>
      <w:r>
        <w:rPr>
          <w:bCs/>
          <w:b/>
        </w:rPr>
        <w:t xml:space="preserve">Players</w:t>
      </w:r>
      <w:r>
        <w:t xml:space="preserve">, who wait for reprints to acquire expensive staples affordably;</w:t>
      </w:r>
    </w:p>
    <w:p>
      <w:pPr>
        <w:numPr>
          <w:ilvl w:val="0"/>
          <w:numId w:val="1001"/>
        </w:numPr>
        <w:pStyle w:val="Compact"/>
      </w:pPr>
      <w:r>
        <w:rPr>
          <w:bCs/>
          <w:b/>
        </w:rPr>
        <w:t xml:space="preserve">Collectors and investors</w:t>
      </w:r>
      <w:r>
        <w:t xml:space="preserve">, for whom an unexpected reprint can cut a card’s value by 50-80% overnight;</w:t>
      </w:r>
    </w:p>
    <w:p>
      <w:pPr>
        <w:numPr>
          <w:ilvl w:val="0"/>
          <w:numId w:val="1001"/>
        </w:numPr>
        <w:pStyle w:val="Compact"/>
      </w:pPr>
      <w:r>
        <w:rPr>
          <w:bCs/>
          <w:b/>
        </w:rPr>
        <w:t xml:space="preserve">Stores</w:t>
      </w:r>
      <w:r>
        <w:t xml:space="preserve">, who manage inventory exposure to reprint risk.</w:t>
      </w:r>
    </w:p>
    <w:p>
      <w:pPr>
        <w:pStyle w:val="FirstParagraph"/>
      </w:pPr>
      <w:r>
        <w:t xml:space="preserve">Predicting reprints is hard because it is a</w:t>
      </w:r>
      <w:r>
        <w:t xml:space="preserve"> </w:t>
      </w:r>
      <w:r>
        <w:rPr>
          <w:bCs/>
          <w:b/>
        </w:rPr>
        <w:t xml:space="preserve">timing</w:t>
      </w:r>
      <w:r>
        <w:t xml:space="preserve"> </w:t>
      </w:r>
      <w:r>
        <w:t xml:space="preserve">problem, not a simple yes/no. A card that has not been reprinted in three years is not</w:t>
      </w:r>
      <w:r>
        <w:t xml:space="preserve"> </w:t>
      </w:r>
      <w:r>
        <w:t xml:space="preserve">“</w:t>
      </w:r>
      <w:r>
        <w:t xml:space="preserve">safe forever</w:t>
      </w:r>
      <w:r>
        <w:t xml:space="preserve">”</w:t>
      </w:r>
      <w:r>
        <w:t xml:space="preserve"> </w:t>
      </w:r>
      <w:r>
        <w:t xml:space="preserve">- it may simply be overdue. Conversely a freshly printed card is unlikely to reappear immediately. We need a model of</w:t>
      </w:r>
      <w:r>
        <w:t xml:space="preserve"> </w:t>
      </w:r>
      <w:r>
        <w:rPr>
          <w:iCs/>
          <w:i/>
        </w:rPr>
        <w:t xml:space="preserve">when</w:t>
      </w:r>
      <w:r>
        <w:t xml:space="preserve">, not just</w:t>
      </w:r>
      <w:r>
        <w:t xml:space="preserve"> </w:t>
      </w:r>
      <w:r>
        <w:rPr>
          <w:iCs/>
          <w:i/>
        </w:rPr>
        <w:t xml:space="preserve">whether</w:t>
      </w:r>
      <w:r>
        <w:t xml:space="preserve">.</w:t>
      </w:r>
    </w:p>
    <w:p>
      <w:r>
        <w:pict>
          <v:rect style="width:0;height:1.5pt" o:hralign="center" o:hrstd="t" o:hr="t"/>
        </w:pict>
      </w:r>
    </w:p>
    <w:bookmarkEnd w:id="21"/>
    <w:bookmarkStart w:id="25" w:name="data"/>
    <w:p>
      <w:pPr>
        <w:pStyle w:val="Heading1"/>
      </w:pPr>
      <w:r>
        <w:t xml:space="preserve">2. Data</w:t>
      </w:r>
    </w:p>
    <w:p>
      <w:pPr>
        <w:pStyle w:val="FirstParagraph"/>
      </w:pPr>
      <w:r>
        <w:t xml:space="preserve">The system integrates four data sources, all keyed to Scryfall’s canonical</w:t>
      </w:r>
      <w:r>
        <w:t xml:space="preserve"> </w:t>
      </w:r>
      <w:r>
        <w:rPr>
          <w:rStyle w:val="VerbatimChar"/>
        </w:rPr>
        <w:t xml:space="preserve">oracle_id</w:t>
      </w:r>
      <w:r>
        <w:t xml:space="preserve"> </w:t>
      </w:r>
      <w:r>
        <w:t xml:space="preserve">(the identity of a card’s rules text, independent of which set it appeared 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provides</w:t>
            </w:r>
          </w:p>
        </w:tc>
        <w:tc>
          <w:tcPr/>
          <w:p>
            <w:pPr>
              <w:pStyle w:val="Compact"/>
              <w:jc w:val="left"/>
            </w:pPr>
            <w:r>
              <w:t xml:space="preserve">Scale</w:t>
            </w:r>
          </w:p>
        </w:tc>
      </w:tr>
      <w:tr>
        <w:tc>
          <w:tcPr/>
          <w:p>
            <w:pPr>
              <w:pStyle w:val="Compact"/>
              <w:jc w:val="left"/>
            </w:pPr>
            <w:r>
              <w:rPr>
                <w:bCs/>
                <w:b/>
              </w:rPr>
              <w:t xml:space="preserve">Scryfall</w:t>
            </w:r>
            <w:r>
              <w:t xml:space="preserve"> </w:t>
            </w:r>
            <w:r>
              <w:t xml:space="preserve">bulk catalog</w:t>
            </w:r>
          </w:p>
        </w:tc>
        <w:tc>
          <w:tcPr/>
          <w:p>
            <w:pPr>
              <w:pStyle w:val="Compact"/>
              <w:jc w:val="left"/>
            </w:pPr>
            <w:r>
              <w:t xml:space="preserve">Every paper printing, release date, set type, rarity, colors, type, oracle text, format legality</w:t>
            </w:r>
          </w:p>
        </w:tc>
        <w:tc>
          <w:tcPr/>
          <w:p>
            <w:pPr>
              <w:pStyle w:val="Compact"/>
              <w:jc w:val="left"/>
            </w:pPr>
            <w:r>
              <w:t xml:space="preserve">95,889 printings · 32,731 unique cards</w:t>
            </w:r>
          </w:p>
        </w:tc>
      </w:tr>
      <w:tr>
        <w:tc>
          <w:tcPr/>
          <w:p>
            <w:pPr>
              <w:pStyle w:val="Compact"/>
              <w:jc w:val="left"/>
            </w:pPr>
            <w:r>
              <w:rPr>
                <w:bCs/>
                <w:b/>
              </w:rPr>
              <w:t xml:space="preserve">MTGGoldfish</w:t>
            </w:r>
            <w:r>
              <w:t xml:space="preserve"> </w:t>
            </w:r>
            <w:r>
              <w:t xml:space="preserve">(Premium)</w:t>
            </w:r>
          </w:p>
        </w:tc>
        <w:tc>
          <w:tcPr/>
          <w:p>
            <w:pPr>
              <w:pStyle w:val="Compact"/>
              <w:jc w:val="left"/>
            </w:pPr>
            <w:r>
              <w:t xml:space="preserve">Daily secondary-market price per printing</w:t>
            </w:r>
          </w:p>
        </w:tc>
        <w:tc>
          <w:tcPr/>
          <w:p>
            <w:pPr>
              <w:pStyle w:val="Compact"/>
              <w:jc w:val="left"/>
            </w:pPr>
            <w:r>
              <w:rPr>
                <w:bCs/>
                <w:b/>
              </w:rPr>
              <w:t xml:space="preserve">≈151 million price points</w:t>
            </w:r>
            <w:r>
              <w:t xml:space="preserve">, Sep 2010 → May 2026</w:t>
            </w:r>
          </w:p>
        </w:tc>
      </w:tr>
      <w:tr>
        <w:tc>
          <w:tcPr/>
          <w:p>
            <w:pPr>
              <w:pStyle w:val="Compact"/>
              <w:jc w:val="left"/>
            </w:pPr>
            <w:r>
              <w:rPr>
                <w:bCs/>
                <w:b/>
              </w:rPr>
              <w:t xml:space="preserve">EDHREC</w:t>
            </w:r>
          </w:p>
        </w:tc>
        <w:tc>
          <w:tcPr/>
          <w:p>
            <w:pPr>
              <w:pStyle w:val="Compact"/>
              <w:jc w:val="left"/>
            </w:pPr>
            <w:r>
              <w:t xml:space="preserve">Commander deck-inclusion counts (demand proxy)</w:t>
            </w:r>
          </w:p>
        </w:tc>
        <w:tc>
          <w:tcPr/>
          <w:p>
            <w:pPr>
              <w:pStyle w:val="Compact"/>
              <w:jc w:val="left"/>
            </w:pPr>
            <w:r>
              <w:t xml:space="preserve">28,794 cards</w:t>
            </w:r>
          </w:p>
        </w:tc>
      </w:tr>
      <w:tr>
        <w:tc>
          <w:tcPr/>
          <w:p>
            <w:pPr>
              <w:pStyle w:val="Compact"/>
              <w:jc w:val="left"/>
            </w:pPr>
            <w:r>
              <w:rPr>
                <w:bCs/>
                <w:b/>
              </w:rPr>
              <w:t xml:space="preserve">Reserved List</w:t>
            </w:r>
            <w:r>
              <w:t xml:space="preserve"> </w:t>
            </w:r>
            <w:r>
              <w:t xml:space="preserve">flag</w:t>
            </w:r>
          </w:p>
        </w:tc>
        <w:tc>
          <w:tcPr/>
          <w:p>
            <w:pPr>
              <w:pStyle w:val="Compact"/>
              <w:jc w:val="left"/>
            </w:pPr>
            <w:r>
              <w:t xml:space="preserve">Cards Wizards has legally pledged never to reprint</w:t>
            </w:r>
          </w:p>
        </w:tc>
        <w:tc>
          <w:tcPr/>
          <w:p>
            <w:pPr>
              <w:pStyle w:val="Compact"/>
              <w:jc w:val="left"/>
            </w:pPr>
            <w:r>
              <w:t xml:space="preserve">571 cards (excluded)</w:t>
            </w:r>
          </w:p>
        </w:tc>
      </w:tr>
    </w:tbl>
    <w:p>
      <w:pPr>
        <w:pStyle w:val="BodyText"/>
      </w:pPr>
      <w:r>
        <w:t xml:space="preserve">From the catalog we reconstruct the full</w:t>
      </w:r>
      <w:r>
        <w:t xml:space="preserve"> </w:t>
      </w:r>
      <w:r>
        <w:rPr>
          <w:bCs/>
          <w:b/>
        </w:rPr>
        <w:t xml:space="preserve">reprint event history</w:t>
      </w:r>
      <w:r>
        <w:t xml:space="preserve">: 63,158 reprint events across 18,561 cards since 1993. The most-reprinted cards are exactly what a player would expect - basic lands, then</w:t>
      </w:r>
      <w:r>
        <w:t xml:space="preserve"> </w:t>
      </w:r>
      <w:r>
        <w:rPr>
          <w:iCs/>
          <w:i/>
        </w:rPr>
        <w:t xml:space="preserve">Command Tower</w:t>
      </w:r>
      <w:r>
        <w:t xml:space="preserve"> </w:t>
      </w:r>
      <w:r>
        <w:t xml:space="preserve">(100+ printings),</w:t>
      </w:r>
      <w:r>
        <w:t xml:space="preserve"> </w:t>
      </w:r>
      <w:r>
        <w:rPr>
          <w:iCs/>
          <w:i/>
        </w:rPr>
        <w:t xml:space="preserve">Sol Ring</w:t>
      </w:r>
      <w:r>
        <w:t xml:space="preserve">,</w:t>
      </w:r>
      <w:r>
        <w:t xml:space="preserve"> </w:t>
      </w:r>
      <w:r>
        <w:rPr>
          <w:iCs/>
          <w:i/>
        </w:rPr>
        <w:t xml:space="preserve">Arcane Signet</w:t>
      </w:r>
      <w:r>
        <w:t xml:space="preserve">,</w:t>
      </w:r>
      <w:r>
        <w:t xml:space="preserve"> </w:t>
      </w:r>
      <w:r>
        <w:rPr>
          <w:iCs/>
          <w:i/>
        </w:rPr>
        <w:t xml:space="preserve">Swords to Plowshares</w:t>
      </w:r>
      <w:r>
        <w:t xml:space="preserve">.</w:t>
      </w:r>
    </w:p>
    <w:p>
      <w:pPr>
        <w:pStyle w:val="CaptionedFigure"/>
      </w:pPr>
      <w:r>
        <w:drawing>
          <wp:inline>
            <wp:extent cx="5334000" cy="3234190"/>
            <wp:effectExtent b="0" l="0" r="0" t="0"/>
            <wp:docPr descr="MTGGoldfish price coverage by year" title="" id="23" name="Picture"/>
            <a:graphic>
              <a:graphicData uri="http://schemas.openxmlformats.org/drawingml/2006/picture">
                <pic:pic>
                  <pic:nvPicPr>
                    <pic:cNvPr descr="figures/price_coverage.png" id="24" name="Picture"/>
                    <pic:cNvPicPr>
                      <a:picLocks noChangeArrowheads="1" noChangeAspect="1"/>
                    </pic:cNvPicPr>
                  </pic:nvPicPr>
                  <pic:blipFill>
                    <a:blip r:embed="rId22"/>
                    <a:stretch>
                      <a:fillRect/>
                    </a:stretch>
                  </pic:blipFill>
                  <pic:spPr bwMode="auto">
                    <a:xfrm>
                      <a:off x="0" y="0"/>
                      <a:ext cx="5334000" cy="3234190"/>
                    </a:xfrm>
                    <a:prstGeom prst="rect">
                      <a:avLst/>
                    </a:prstGeom>
                    <a:noFill/>
                    <a:ln w="9525">
                      <a:noFill/>
                      <a:headEnd/>
                      <a:tailEnd/>
                    </a:ln>
                  </pic:spPr>
                </pic:pic>
              </a:graphicData>
            </a:graphic>
          </wp:inline>
        </w:drawing>
      </w:r>
    </w:p>
    <w:p>
      <w:pPr>
        <w:pStyle w:val="ImageCaption"/>
      </w:pPr>
      <w:r>
        <w:t xml:space="preserve">MTGGoldfish price coverage by year</w:t>
      </w:r>
    </w:p>
    <w:p>
      <w:pPr>
        <w:pStyle w:val="BodyText"/>
      </w:pPr>
      <w:r>
        <w:rPr>
          <w:iCs/>
          <w:i/>
        </w:rPr>
        <w:t xml:space="preserve">Figure 1. Share of observations with an available market price, by year. Coverage reaches ~90% in recent years; the floor before ~2012 reflects when MTGGoldfish began tracking. Cards predating that window still contribute full catalog and reprint-history features.</w:t>
      </w:r>
    </w:p>
    <w:p>
      <w:r>
        <w:pict>
          <v:rect style="width:0;height:1.5pt" o:hralign="center" o:hrstd="t" o:hr="t"/>
        </w:pict>
      </w:r>
    </w:p>
    <w:bookmarkEnd w:id="25"/>
    <w:bookmarkStart w:id="29" w:name="methodology"/>
    <w:p>
      <w:pPr>
        <w:pStyle w:val="Heading1"/>
      </w:pPr>
      <w:r>
        <w:t xml:space="preserve">3. Methodology</w:t>
      </w:r>
    </w:p>
    <w:bookmarkStart w:id="26" w:name="X96ba8ce9c14df0b6340122006c7af5cee4468a8"/>
    <w:p>
      <w:pPr>
        <w:pStyle w:val="Heading2"/>
      </w:pPr>
      <w:r>
        <w:t xml:space="preserve">3.1 Framing: survival analysis, not classification</w:t>
      </w:r>
    </w:p>
    <w:p>
      <w:pPr>
        <w:pStyle w:val="FirstParagraph"/>
      </w:pPr>
      <w:r>
        <w:t xml:space="preserve">We treat each card-month as a</w:t>
      </w:r>
      <w:r>
        <w:t xml:space="preserve"> </w:t>
      </w:r>
      <w:r>
        <w:rPr>
          <w:bCs/>
          <w:b/>
        </w:rPr>
        <w:t xml:space="preserve">right-censored time-to-event observation</w:t>
      </w:r>
      <w:r>
        <w:t xml:space="preserve">. For every card on the first of each month (2017 onward - 2.57 million observations in total), we measure how many months elapse until its next paper reprint. Cards not yet reprinted are</w:t>
      </w:r>
      <w:r>
        <w:t xml:space="preserve"> </w:t>
      </w:r>
      <w:r>
        <w:rPr>
          <w:iCs/>
          <w:i/>
        </w:rPr>
        <w:t xml:space="preserve">censored</w:t>
      </w:r>
      <w:r>
        <w:t xml:space="preserve">, not labelled</w:t>
      </w:r>
      <w:r>
        <w:t xml:space="preserve"> </w:t>
      </w:r>
      <w:r>
        <w:t xml:space="preserve">“</w:t>
      </w:r>
      <w:r>
        <w:t xml:space="preserve">negative.</w:t>
      </w:r>
      <w:r>
        <w:t xml:space="preserve">”</w:t>
      </w:r>
      <w:r>
        <w:t xml:space="preserve"> </w:t>
      </w:r>
      <w:r>
        <w:t xml:space="preserve">This is the statistically correct way to model</w:t>
      </w:r>
      <w:r>
        <w:t xml:space="preserve"> </w:t>
      </w:r>
      <w:r>
        <w:t xml:space="preserve">“</w:t>
      </w:r>
      <w:r>
        <w:t xml:space="preserve">when will X happen</w:t>
      </w:r>
      <w:r>
        <w:t xml:space="preserve">”</w:t>
      </w:r>
      <w:r>
        <w:t xml:space="preserve"> </w:t>
      </w:r>
      <w:r>
        <w:t xml:space="preserve">and avoids the bias of pretending a recently printed card is a confirmed non-reprint.</w:t>
      </w:r>
    </w:p>
    <w:p>
      <w:pPr>
        <w:pStyle w:val="BodyText"/>
      </w:pPr>
      <w:r>
        <w:t xml:space="preserve">We fit a</w:t>
      </w:r>
      <w:r>
        <w:t xml:space="preserve"> </w:t>
      </w:r>
      <w:r>
        <w:rPr>
          <w:bCs/>
          <w:b/>
        </w:rPr>
        <w:t xml:space="preserve">gradient-boosted survival model</w:t>
      </w:r>
      <w:r>
        <w:t xml:space="preserve"> </w:t>
      </w:r>
      <w:r>
        <w:t xml:space="preserve">with an accelerated-failure-time</w:t>
      </w:r>
      <w:r>
        <w:t xml:space="preserve"> </w:t>
      </w:r>
      <w:r>
        <w:t xml:space="preserve">formulation, which predicts a full time-to-reprint distribution per card. We</w:t>
      </w:r>
      <w:r>
        <w:t xml:space="preserve"> </w:t>
      </w:r>
      <w:r>
        <w:t xml:space="preserve">then read off P(reprint ≤ 3mo), P(≤ 6mo), P(≤ 12mo).</w:t>
      </w:r>
    </w:p>
    <w:bookmarkEnd w:id="26"/>
    <w:bookmarkStart w:id="27" w:name="feature-categories"/>
    <w:p>
      <w:pPr>
        <w:pStyle w:val="Heading2"/>
      </w:pPr>
      <w:r>
        <w:t xml:space="preserve">3.2 Feature categories</w:t>
      </w:r>
    </w:p>
    <w:p>
      <w:pPr>
        <w:pStyle w:val="FirstParagraph"/>
      </w:pPr>
      <w:r>
        <w:t xml:space="preserve">Features fall into seven categories, each engineered to be point-in-time as of</w:t>
      </w:r>
      <w:r>
        <w:t xml:space="preserve"> </w:t>
      </w:r>
      <w:r>
        <w:t xml:space="preserve">the snapshot date:</w:t>
      </w:r>
    </w:p>
    <w:p>
      <w:pPr>
        <w:numPr>
          <w:ilvl w:val="0"/>
          <w:numId w:val="1002"/>
        </w:numPr>
        <w:pStyle w:val="Compact"/>
      </w:pPr>
      <w:r>
        <w:rPr>
          <w:bCs/>
          <w:b/>
        </w:rPr>
        <w:t xml:space="preserve">Print history</w:t>
      </w:r>
      <w:r>
        <w:t xml:space="preserve"> </w:t>
      </w:r>
      <w:r>
        <w:t xml:space="preserve">- signals derived from how, when, and in what product types</w:t>
      </w:r>
      <w:r>
        <w:t xml:space="preserve"> </w:t>
      </w:r>
      <w:r>
        <w:t xml:space="preserve">a card has been reprinted before.</w:t>
      </w:r>
    </w:p>
    <w:p>
      <w:pPr>
        <w:numPr>
          <w:ilvl w:val="0"/>
          <w:numId w:val="1002"/>
        </w:numPr>
        <w:pStyle w:val="Compact"/>
      </w:pPr>
      <w:r>
        <w:rPr>
          <w:bCs/>
          <w:b/>
        </w:rPr>
        <w:t xml:space="preserve">Price signals</w:t>
      </w:r>
      <w:r>
        <w:t xml:space="preserve"> </w:t>
      </w:r>
      <w:r>
        <w:t xml:space="preserve">- level, momentum, volatility, and spike behavior in the</w:t>
      </w:r>
      <w:r>
        <w:t xml:space="preserve"> </w:t>
      </w:r>
      <w:r>
        <w:t xml:space="preserve">secondary market.</w:t>
      </w:r>
    </w:p>
    <w:p>
      <w:pPr>
        <w:numPr>
          <w:ilvl w:val="0"/>
          <w:numId w:val="1002"/>
        </w:numPr>
        <w:pStyle w:val="Compact"/>
      </w:pPr>
      <w:r>
        <w:rPr>
          <w:bCs/>
          <w:b/>
        </w:rPr>
        <w:t xml:space="preserve">Demand</w:t>
      </w:r>
      <w:r>
        <w:t xml:space="preserve"> </w:t>
      </w:r>
      <w:r>
        <w:t xml:space="preserve">- how widely the card is played in Commander.</w:t>
      </w:r>
    </w:p>
    <w:p>
      <w:pPr>
        <w:numPr>
          <w:ilvl w:val="0"/>
          <w:numId w:val="1002"/>
        </w:numPr>
        <w:pStyle w:val="Compact"/>
      </w:pPr>
      <w:r>
        <w:rPr>
          <w:bCs/>
          <w:b/>
        </w:rPr>
        <w:t xml:space="preserve">Format legality</w:t>
      </w:r>
      <w:r>
        <w:t xml:space="preserve"> </w:t>
      </w:r>
      <w:r>
        <w:t xml:space="preserve">- which constructed formats currently accept the card.</w:t>
      </w:r>
    </w:p>
    <w:p>
      <w:pPr>
        <w:numPr>
          <w:ilvl w:val="0"/>
          <w:numId w:val="1002"/>
        </w:numPr>
        <w:pStyle w:val="Compact"/>
      </w:pPr>
      <w:r>
        <w:rPr>
          <w:bCs/>
          <w:b/>
        </w:rPr>
        <w:t xml:space="preserve">Card intrinsics</w:t>
      </w:r>
      <w:r>
        <w:t xml:space="preserve"> </w:t>
      </w:r>
      <w:r>
        <w:t xml:space="preserve">- rarity, colors, mana value, type, keywords, and a</w:t>
      </w:r>
      <w:r>
        <w:t xml:space="preserve"> </w:t>
      </w:r>
      <w:r>
        <w:t xml:space="preserve">semantic embedding of the card’s rules text.</w:t>
      </w:r>
    </w:p>
    <w:p>
      <w:pPr>
        <w:numPr>
          <w:ilvl w:val="0"/>
          <w:numId w:val="1002"/>
        </w:numPr>
        <w:pStyle w:val="Compact"/>
      </w:pPr>
      <w:r>
        <w:rPr>
          <w:bCs/>
          <w:b/>
        </w:rPr>
        <w:t xml:space="preserve">Calendar</w:t>
      </w:r>
      <w:r>
        <w:t xml:space="preserve"> </w:t>
      </w:r>
      <w:r>
        <w:t xml:space="preserve">- seasonal and product-window effects in the release schedule.</w:t>
      </w:r>
    </w:p>
    <w:p>
      <w:pPr>
        <w:numPr>
          <w:ilvl w:val="0"/>
          <w:numId w:val="1002"/>
        </w:numPr>
        <w:pStyle w:val="Compact"/>
      </w:pPr>
      <w:r>
        <w:rPr>
          <w:bCs/>
          <w:b/>
        </w:rPr>
        <w:t xml:space="preserve">Functional-reprint clustering</w:t>
      </w:r>
      <w:r>
        <w:t xml:space="preserve"> </w:t>
      </w:r>
      <w:r>
        <w:t xml:space="preserve">- detection of mechanically-identical</w:t>
      </w:r>
      <w:r>
        <w:t xml:space="preserve"> </w:t>
      </w:r>
      <w:r>
        <w:t xml:space="preserve">reskins (e.g. Universes Beyond ↔ Universes Within).</w:t>
      </w:r>
    </w:p>
    <w:p>
      <w:pPr>
        <w:pStyle w:val="FirstParagraph"/>
      </w:pPr>
      <w:r>
        <w:t xml:space="preserve">Exact feature definitions, transformations, hyperparameters, and the trained</w:t>
      </w:r>
      <w:r>
        <w:t xml:space="preserve"> </w:t>
      </w:r>
      <w:r>
        <w:t xml:space="preserve">model weights are not released. The categories above and the validation</w:t>
      </w:r>
      <w:r>
        <w:t xml:space="preserve"> </w:t>
      </w:r>
      <w:r>
        <w:t xml:space="preserve">results below are sufficient to evaluate the modeling approach.</w:t>
      </w:r>
    </w:p>
    <w:bookmarkEnd w:id="27"/>
    <w:bookmarkStart w:id="28" w:name="Xb51d5a6bb81d7e2d2dc8a79cc1564f00e6c6091"/>
    <w:p>
      <w:pPr>
        <w:pStyle w:val="Heading2"/>
      </w:pPr>
      <w:r>
        <w:t xml:space="preserve">3.3 Leakage controls (why the numbers are trustworthy)</w:t>
      </w:r>
    </w:p>
    <w:p>
      <w:pPr>
        <w:pStyle w:val="FirstParagraph"/>
      </w:pPr>
      <w:r>
        <w:t xml:space="preserve">The biggest risk in a model like this is</w:t>
      </w:r>
      <w:r>
        <w:t xml:space="preserve"> </w:t>
      </w:r>
      <w:r>
        <w:rPr>
          <w:bCs/>
          <w:b/>
        </w:rPr>
        <w:t xml:space="preserve">accidentally using future information</w:t>
      </w:r>
      <w:r>
        <w:t xml:space="preserve">. Our defences:</w:t>
      </w:r>
    </w:p>
    <w:p>
      <w:pPr>
        <w:numPr>
          <w:ilvl w:val="0"/>
          <w:numId w:val="1003"/>
        </w:numPr>
        <w:pStyle w:val="Compact"/>
      </w:pPr>
      <w:r>
        <w:rPr>
          <w:bCs/>
          <w:b/>
        </w:rPr>
        <w:t xml:space="preserve">Point-in-time features</w:t>
      </w:r>
      <w:r>
        <w:t xml:space="preserve"> </w:t>
      </w:r>
      <w:r>
        <w:t xml:space="preserve">- every feature for a given month uses only data available on or before that month (prices via strict backward as-of joins).</w:t>
      </w:r>
    </w:p>
    <w:p>
      <w:pPr>
        <w:numPr>
          <w:ilvl w:val="0"/>
          <w:numId w:val="1003"/>
        </w:numPr>
        <w:pStyle w:val="Compact"/>
      </w:pPr>
      <w:r>
        <w:rPr>
          <w:bCs/>
          <w:b/>
        </w:rPr>
        <w:t xml:space="preserve">Four-way time-blocked split</w:t>
      </w:r>
      <w:r>
        <w:t xml:space="preserve"> </w:t>
      </w:r>
      <w:r>
        <w:t xml:space="preserve">- the data is partitioned chronologically into separate training, early-stopping, calibration, and held-out test blocks. The calibration set is deliberately separate from the early-stopping set so probability estimates are not over-fit.</w:t>
      </w:r>
    </w:p>
    <w:p>
      <w:pPr>
        <w:numPr>
          <w:ilvl w:val="0"/>
          <w:numId w:val="1003"/>
        </w:numPr>
        <w:pStyle w:val="Compact"/>
      </w:pPr>
      <w:r>
        <w:rPr>
          <w:bCs/>
          <w:b/>
        </w:rPr>
        <w:t xml:space="preserve">Reserved List exclusion</w:t>
      </w:r>
      <w:r>
        <w:t xml:space="preserve"> </w:t>
      </w:r>
      <w:r>
        <w:t xml:space="preserve">- the 571 cards that legally cannot be reprinted are removed.</w:t>
      </w:r>
    </w:p>
    <w:p>
      <w:pPr>
        <w:pStyle w:val="FirstParagraph"/>
      </w:pPr>
      <w:r>
        <w:t xml:space="preserve">We further verified leakage empirically - see §5.</w:t>
      </w:r>
    </w:p>
    <w:p>
      <w:r>
        <w:pict>
          <v:rect style="width:0;height:1.5pt" o:hralign="center" o:hrstd="t" o:hr="t"/>
        </w:pict>
      </w:r>
    </w:p>
    <w:bookmarkEnd w:id="28"/>
    <w:bookmarkEnd w:id="29"/>
    <w:bookmarkStart w:id="51" w:name="results"/>
    <w:p>
      <w:pPr>
        <w:pStyle w:val="Heading1"/>
      </w:pPr>
      <w:r>
        <w:t xml:space="preserve">4. Results</w:t>
      </w:r>
    </w:p>
    <w:bookmarkStart w:id="33" w:name="discrimination-roc"/>
    <w:p>
      <w:pPr>
        <w:pStyle w:val="Heading2"/>
      </w:pPr>
      <w:r>
        <w:t xml:space="preserve">4.1 Discrimination (ROC)</w:t>
      </w:r>
    </w:p>
    <w:p>
      <w:pPr>
        <w:pStyle w:val="CaptionedFigure"/>
      </w:pPr>
      <w:r>
        <w:drawing>
          <wp:inline>
            <wp:extent cx="5334000" cy="4579979"/>
            <wp:effectExtent b="0" l="0" r="0" t="0"/>
            <wp:docPr descr="ROC curves on held-out test" title="" id="31" name="Picture"/>
            <a:graphic>
              <a:graphicData uri="http://schemas.openxmlformats.org/drawingml/2006/picture">
                <pic:pic>
                  <pic:nvPicPr>
                    <pic:cNvPr descr="figures/roc_curves.png" id="32" name="Picture"/>
                    <pic:cNvPicPr>
                      <a:picLocks noChangeArrowheads="1" noChangeAspect="1"/>
                    </pic:cNvPicPr>
                  </pic:nvPicPr>
                  <pic:blipFill>
                    <a:blip r:embed="rId30"/>
                    <a:stretch>
                      <a:fillRect/>
                    </a:stretch>
                  </pic:blipFill>
                  <pic:spPr bwMode="auto">
                    <a:xfrm>
                      <a:off x="0" y="0"/>
                      <a:ext cx="5334000" cy="4579979"/>
                    </a:xfrm>
                    <a:prstGeom prst="rect">
                      <a:avLst/>
                    </a:prstGeom>
                    <a:noFill/>
                    <a:ln w="9525">
                      <a:noFill/>
                      <a:headEnd/>
                      <a:tailEnd/>
                    </a:ln>
                  </pic:spPr>
                </pic:pic>
              </a:graphicData>
            </a:graphic>
          </wp:inline>
        </w:drawing>
      </w:r>
    </w:p>
    <w:p>
      <w:pPr>
        <w:pStyle w:val="ImageCaption"/>
      </w:pPr>
      <w:r>
        <w:t xml:space="preserve">ROC curves on held-out test</w:t>
      </w:r>
    </w:p>
    <w:p>
      <w:pPr>
        <w:pStyle w:val="BodyText"/>
      </w:pPr>
      <w:r>
        <w:rPr>
          <w:iCs/>
          <w:i/>
        </w:rPr>
        <w:t xml:space="preserve">Figure 2. Receiver-operating-characteristic curves on the held-out 2024-25 test period. AUC of 0.82-0.86 across horizons; an AUC of 0.5 would be random guessing.</w:t>
      </w:r>
    </w:p>
    <w:bookmarkEnd w:id="33"/>
    <w:bookmarkStart w:id="37" w:name="calibration"/>
    <w:p>
      <w:pPr>
        <w:pStyle w:val="Heading2"/>
      </w:pPr>
      <w:r>
        <w:t xml:space="preserve">4.2 Calibration</w:t>
      </w:r>
    </w:p>
    <w:p>
      <w:pPr>
        <w:pStyle w:val="CaptionedFigure"/>
      </w:pPr>
      <w:r>
        <w:drawing>
          <wp:inline>
            <wp:extent cx="5334000" cy="1961783"/>
            <wp:effectExtent b="0" l="0" r="0" t="0"/>
            <wp:docPr descr="Reliability diagrams" title="" id="35" name="Picture"/>
            <a:graphic>
              <a:graphicData uri="http://schemas.openxmlformats.org/drawingml/2006/picture">
                <pic:pic>
                  <pic:nvPicPr>
                    <pic:cNvPr descr="figures/reliability.png" id="36" name="Picture"/>
                    <pic:cNvPicPr>
                      <a:picLocks noChangeArrowheads="1" noChangeAspect="1"/>
                    </pic:cNvPicPr>
                  </pic:nvPicPr>
                  <pic:blipFill>
                    <a:blip r:embed="rId34"/>
                    <a:stretch>
                      <a:fillRect/>
                    </a:stretch>
                  </pic:blipFill>
                  <pic:spPr bwMode="auto">
                    <a:xfrm>
                      <a:off x="0" y="0"/>
                      <a:ext cx="5334000" cy="1961783"/>
                    </a:xfrm>
                    <a:prstGeom prst="rect">
                      <a:avLst/>
                    </a:prstGeom>
                    <a:noFill/>
                    <a:ln w="9525">
                      <a:noFill/>
                      <a:headEnd/>
                      <a:tailEnd/>
                    </a:ln>
                  </pic:spPr>
                </pic:pic>
              </a:graphicData>
            </a:graphic>
          </wp:inline>
        </w:drawing>
      </w:r>
    </w:p>
    <w:p>
      <w:pPr>
        <w:pStyle w:val="ImageCaption"/>
      </w:pPr>
      <w:r>
        <w:t xml:space="preserve">Reliability diagrams</w:t>
      </w:r>
    </w:p>
    <w:p>
      <w:pPr>
        <w:pStyle w:val="BodyText"/>
      </w:pPr>
      <w:r>
        <w:rPr>
          <w:iCs/>
          <w:i/>
        </w:rPr>
        <w:t xml:space="preserve">Figure 3. Predicted probability vs. actually-observed reprint frequency. Points on the diagonal are perfectly calibrated. The model’s high-confidence predictions (the cards that matter most) track the diagonal closely; mean predicted probability (0.155) matches the empirical base rate (0.147).</w:t>
      </w:r>
    </w:p>
    <w:bookmarkEnd w:id="37"/>
    <w:bookmarkStart w:id="38" w:name="a-concrete-forward-test"/>
    <w:p>
      <w:pPr>
        <w:pStyle w:val="Heading2"/>
      </w:pPr>
      <w:r>
        <w:t xml:space="preserve">4.3 A concrete forward test</w:t>
      </w:r>
    </w:p>
    <w:p>
      <w:pPr>
        <w:pStyle w:val="FirstParagraph"/>
      </w:pPr>
      <w:r>
        <w:t xml:space="preserve">Taking a</w:t>
      </w:r>
      <w:r>
        <w:t xml:space="preserve"> </w:t>
      </w:r>
      <w:r>
        <w:rPr>
          <w:bCs/>
          <w:b/>
        </w:rPr>
        <w:t xml:space="preserve">June 2024 snapshot</w:t>
      </w:r>
      <w:r>
        <w:t xml:space="preserve"> </w:t>
      </w:r>
      <w:r>
        <w:t xml:space="preserve">and ranking all ~27,700 then-existing cards by predicted 12-month reprint risk, then checking what actually happened over the following year:</w:t>
      </w:r>
    </w:p>
    <w:p>
      <w:pPr>
        <w:pStyle w:val="BlockText"/>
      </w:pPr>
      <w:r>
        <w:rPr>
          <w:bCs/>
          <w:b/>
        </w:rPr>
        <w:t xml:space="preserve">95 of the model’s top 100 picks were reprinted within 12 months</w:t>
      </w:r>
      <w:r>
        <w:t xml:space="preserve"> </w:t>
      </w:r>
      <w:r>
        <w:t xml:space="preserve">(base rate ~15%).</w:t>
      </w:r>
    </w:p>
    <w:p>
      <w:pPr>
        <w:pStyle w:val="FirstParagraph"/>
      </w:pPr>
      <w:r>
        <w:t xml:space="preserve">The top picks were textbook reprint candidates - Commander utility lands and staples (the Ravnica</w:t>
      </w:r>
      <w:r>
        <w:t xml:space="preserve"> </w:t>
      </w:r>
      <w:r>
        <w:t xml:space="preserve">“</w:t>
      </w:r>
      <w:r>
        <w:t xml:space="preserve">bounce lands,</w:t>
      </w:r>
      <w:r>
        <w:t xml:space="preserve">”</w:t>
      </w:r>
      <w:r>
        <w:t xml:space="preserve"> </w:t>
      </w:r>
      <w:r>
        <w:t xml:space="preserve">the Theros temples,</w:t>
      </w:r>
      <w:r>
        <w:t xml:space="preserve"> </w:t>
      </w:r>
      <w:r>
        <w:rPr>
          <w:iCs/>
          <w:i/>
        </w:rPr>
        <w:t xml:space="preserve">Swords to Plowshares</w:t>
      </w:r>
      <w:r>
        <w:t xml:space="preserve">,</w:t>
      </w:r>
      <w:r>
        <w:t xml:space="preserve"> </w:t>
      </w:r>
      <w:r>
        <w:rPr>
          <w:iCs/>
          <w:i/>
        </w:rPr>
        <w:t xml:space="preserve">Path to Exile</w:t>
      </w:r>
      <w:r>
        <w:t xml:space="preserve">,</w:t>
      </w:r>
      <w:r>
        <w:t xml:space="preserve"> </w:t>
      </w:r>
      <w:r>
        <w:rPr>
          <w:iCs/>
          <w:i/>
        </w:rPr>
        <w:t xml:space="preserve">Arcane Signet</w:t>
      </w:r>
      <w:r>
        <w:t xml:space="preserve">) - i.e. precisely the cards an experienced MTG finance analyst would have flagged.</w:t>
      </w:r>
    </w:p>
    <w:bookmarkEnd w:id="38"/>
    <w:bookmarkStart w:id="42" w:name="distribution-of-predictions"/>
    <w:p>
      <w:pPr>
        <w:pStyle w:val="Heading2"/>
      </w:pPr>
      <w:r>
        <w:t xml:space="preserve">4.4 Distribution of predictions</w:t>
      </w:r>
    </w:p>
    <w:p>
      <w:pPr>
        <w:pStyle w:val="CaptionedFigure"/>
      </w:pPr>
      <w:r>
        <w:drawing>
          <wp:inline>
            <wp:extent cx="5334000" cy="3031195"/>
            <wp:effectExtent b="0" l="0" r="0" t="0"/>
            <wp:docPr descr="Distribution of 12-month predictions" title="" id="40" name="Picture"/>
            <a:graphic>
              <a:graphicData uri="http://schemas.openxmlformats.org/drawingml/2006/picture">
                <pic:pic>
                  <pic:nvPicPr>
                    <pic:cNvPr descr="figures/pred_distribution.png" id="41" name="Picture"/>
                    <pic:cNvPicPr>
                      <a:picLocks noChangeArrowheads="1" noChangeAspect="1"/>
                    </pic:cNvPicPr>
                  </pic:nvPicPr>
                  <pic:blipFill>
                    <a:blip r:embed="rId39"/>
                    <a:stretch>
                      <a:fillRect/>
                    </a:stretch>
                  </pic:blipFill>
                  <pic:spPr bwMode="auto">
                    <a:xfrm>
                      <a:off x="0" y="0"/>
                      <a:ext cx="5334000" cy="3031195"/>
                    </a:xfrm>
                    <a:prstGeom prst="rect">
                      <a:avLst/>
                    </a:prstGeom>
                    <a:noFill/>
                    <a:ln w="9525">
                      <a:noFill/>
                      <a:headEnd/>
                      <a:tailEnd/>
                    </a:ln>
                  </pic:spPr>
                </pic:pic>
              </a:graphicData>
            </a:graphic>
          </wp:inline>
        </w:drawing>
      </w:r>
    </w:p>
    <w:p>
      <w:pPr>
        <w:pStyle w:val="ImageCaption"/>
      </w:pPr>
      <w:r>
        <w:t xml:space="preserve">Distribution of 12-month predictions</w:t>
      </w:r>
    </w:p>
    <w:p>
      <w:pPr>
        <w:pStyle w:val="BodyText"/>
      </w:pPr>
      <w:r>
        <w:rPr>
          <w:iCs/>
          <w:i/>
        </w:rPr>
        <w:t xml:space="preserve">Figure 4. Most cards carry low reprint risk (the large low-probability mass), with a meaningful tail of high-risk staples - the shape we expect of a healthy, discriminating model.</w:t>
      </w:r>
    </w:p>
    <w:bookmarkEnd w:id="42"/>
    <w:bookmarkStart w:id="46" w:name="stability-across-years"/>
    <w:p>
      <w:pPr>
        <w:pStyle w:val="Heading2"/>
      </w:pPr>
      <w:r>
        <w:t xml:space="preserve">4.5 Stability across years</w:t>
      </w:r>
    </w:p>
    <w:p>
      <w:pPr>
        <w:pStyle w:val="CaptionedFigure"/>
      </w:pPr>
      <w:r>
        <w:drawing>
          <wp:inline>
            <wp:extent cx="5334000" cy="3234190"/>
            <wp:effectExtent b="0" l="0" r="0" t="0"/>
            <wp:docPr descr="Rolling-window backtest" title="" id="44" name="Picture"/>
            <a:graphic>
              <a:graphicData uri="http://schemas.openxmlformats.org/drawingml/2006/picture">
                <pic:pic>
                  <pic:nvPicPr>
                    <pic:cNvPr descr="figures/rolling_auc.png" id="45" name="Picture"/>
                    <pic:cNvPicPr>
                      <a:picLocks noChangeArrowheads="1" noChangeAspect="1"/>
                    </pic:cNvPicPr>
                  </pic:nvPicPr>
                  <pic:blipFill>
                    <a:blip r:embed="rId43"/>
                    <a:stretch>
                      <a:fillRect/>
                    </a:stretch>
                  </pic:blipFill>
                  <pic:spPr bwMode="auto">
                    <a:xfrm>
                      <a:off x="0" y="0"/>
                      <a:ext cx="5334000" cy="3234190"/>
                    </a:xfrm>
                    <a:prstGeom prst="rect">
                      <a:avLst/>
                    </a:prstGeom>
                    <a:noFill/>
                    <a:ln w="9525">
                      <a:noFill/>
                      <a:headEnd/>
                      <a:tailEnd/>
                    </a:ln>
                  </pic:spPr>
                </pic:pic>
              </a:graphicData>
            </a:graphic>
          </wp:inline>
        </w:drawing>
      </w:r>
    </w:p>
    <w:p>
      <w:pPr>
        <w:pStyle w:val="ImageCaption"/>
      </w:pPr>
      <w:r>
        <w:t xml:space="preserve">Rolling-window backtest</w:t>
      </w:r>
    </w:p>
    <w:p>
      <w:pPr>
        <w:pStyle w:val="BodyText"/>
      </w:pPr>
      <w:r>
        <w:rPr>
          <w:iCs/>
          <w:i/>
        </w:rPr>
        <w:t xml:space="preserve">Figure 5. A rolling backtest - for each year, train only on prior years and test on that year. Accuracy is stable and improves as more training history accumulates, indicating the model generalises rather than memorising any single period. (These bars use a lighter default configuration as a consistency check; the production model is stronger - see §4.1.)</w:t>
      </w:r>
    </w:p>
    <w:bookmarkEnd w:id="46"/>
    <w:bookmarkStart w:id="50" w:name="X68bdfc08410e8388db9697f6322ff659836ff8b"/>
    <w:p>
      <w:pPr>
        <w:pStyle w:val="Heading2"/>
      </w:pPr>
      <w:r>
        <w:t xml:space="preserve">4.6 Case studies - where the model is right, and where it is wrong</w:t>
      </w:r>
    </w:p>
    <w:p>
      <w:pPr>
        <w:pStyle w:val="FirstParagraph"/>
      </w:pPr>
      <w:r>
        <w:t xml:space="preserve">To make the behaviour concrete, the figure below shows real cards scored at the</w:t>
      </w:r>
      <w:r>
        <w:t xml:space="preserve"> </w:t>
      </w:r>
      <w:r>
        <w:t xml:space="preserve">June 2024 snapshot, grouped by what actually happened over the following year.</w:t>
      </w:r>
    </w:p>
    <w:p>
      <w:pPr>
        <w:pStyle w:val="CaptionedFigure"/>
      </w:pPr>
      <w:r>
        <w:drawing>
          <wp:inline>
            <wp:extent cx="5334000" cy="7769566"/>
            <wp:effectExtent b="0" l="0" r="0" t="0"/>
            <wp:docPr descr="Case studies" title="" id="48" name="Picture"/>
            <a:graphic>
              <a:graphicData uri="http://schemas.openxmlformats.org/drawingml/2006/picture">
                <pic:pic>
                  <pic:nvPicPr>
                    <pic:cNvPr descr="figures/case_studies.png" id="49" name="Picture"/>
                    <pic:cNvPicPr>
                      <a:picLocks noChangeArrowheads="1" noChangeAspect="1"/>
                    </pic:cNvPicPr>
                  </pic:nvPicPr>
                  <pic:blipFill>
                    <a:blip r:embed="rId47"/>
                    <a:stretch>
                      <a:fillRect/>
                    </a:stretch>
                  </pic:blipFill>
                  <pic:spPr bwMode="auto">
                    <a:xfrm>
                      <a:off x="0" y="0"/>
                      <a:ext cx="5334000" cy="7769566"/>
                    </a:xfrm>
                    <a:prstGeom prst="rect">
                      <a:avLst/>
                    </a:prstGeom>
                    <a:noFill/>
                    <a:ln w="9525">
                      <a:noFill/>
                      <a:headEnd/>
                      <a:tailEnd/>
                    </a:ln>
                  </pic:spPr>
                </pic:pic>
              </a:graphicData>
            </a:graphic>
          </wp:inline>
        </w:drawing>
      </w:r>
    </w:p>
    <w:p>
      <w:pPr>
        <w:pStyle w:val="ImageCaption"/>
      </w:pPr>
      <w:r>
        <w:t xml:space="preserve">Case studies</w:t>
      </w:r>
    </w:p>
    <w:p>
      <w:pPr>
        <w:pStyle w:val="BodyText"/>
      </w:pPr>
      <w:r>
        <w:rPr>
          <w:iCs/>
          <w:i/>
        </w:rPr>
        <w:t xml:space="preserve">Figure 6. Top-left: high-confidence calls that were reprinted (basic lands, Basalt Monolith, Swords to Plowshares). Top-right: cards correctly judged low-risk that were not reprinted. Bottom-left:</w:t>
      </w:r>
      <w:r>
        <w:rPr>
          <w:iCs/>
          <w:i/>
        </w:rPr>
        <w:t xml:space="preserve"> </w:t>
      </w:r>
      <w:r>
        <w:rPr>
          <w:bCs/>
          <w:b/>
          <w:iCs/>
          <w:i/>
        </w:rPr>
        <w:t xml:space="preserve">false alarms</w:t>
      </w:r>
      <w:r>
        <w:rPr>
          <w:iCs/>
          <w:i/>
        </w:rPr>
        <w:t xml:space="preserve"> </w:t>
      </w:r>
      <w:r>
        <w:rPr>
          <w:iCs/>
          <w:i/>
        </w:rPr>
        <w:t xml:space="preserve">- frequently-reprinted staples (Cavern of Souls, Ancient Tomb, Demonic Tutor, Wrath of God) the model rated high but which happened not to be reprinted in this particular window. Bottom-right:</w:t>
      </w:r>
      <w:r>
        <w:rPr>
          <w:iCs/>
          <w:i/>
        </w:rPr>
        <w:t xml:space="preserve"> </w:t>
      </w:r>
      <w:r>
        <w:rPr>
          <w:bCs/>
          <w:b/>
          <w:iCs/>
          <w:i/>
        </w:rPr>
        <w:t xml:space="preserve">surprises</w:t>
      </w:r>
      <w:r>
        <w:rPr>
          <w:iCs/>
          <w:i/>
        </w:rPr>
        <w:t xml:space="preserve"> </w:t>
      </w:r>
      <w:r>
        <w:rPr>
          <w:iCs/>
          <w:i/>
        </w:rPr>
        <w:t xml:space="preserve">the model missed - cards reprinted despite a low score (e.g. Doubling Season, Counterspell). Showing the failure modes is deliberate: the false alarms are reasonable</w:t>
      </w:r>
      <w:r>
        <w:rPr>
          <w:iCs/>
          <w:i/>
        </w:rPr>
        <w:t xml:space="preserve"> </w:t>
      </w:r>
      <w:r>
        <w:rPr>
          <w:iCs/>
          <w:i/>
        </w:rPr>
        <w:t xml:space="preserve">“</w:t>
      </w:r>
      <w:r>
        <w:rPr>
          <w:iCs/>
          <w:i/>
        </w:rPr>
        <w:t xml:space="preserve">early</w:t>
      </w:r>
      <w:r>
        <w:rPr>
          <w:iCs/>
          <w:i/>
        </w:rPr>
        <w:t xml:space="preserve">”</w:t>
      </w:r>
      <w:r>
        <w:rPr>
          <w:iCs/>
          <w:i/>
        </w:rPr>
        <w:t xml:space="preserve"> </w:t>
      </w:r>
      <w:r>
        <w:rPr>
          <w:iCs/>
          <w:i/>
        </w:rPr>
        <w:t xml:space="preserve">calls on genuinely reprint-prone cards, while the surprises mark the residual uncertainty no fundamentals-based model can eliminate.</w:t>
      </w:r>
    </w:p>
    <w:p>
      <w:r>
        <w:pict>
          <v:rect style="width:0;height:1.5pt" o:hralign="center" o:hrstd="t" o:hr="t"/>
        </w:pict>
      </w:r>
    </w:p>
    <w:bookmarkEnd w:id="50"/>
    <w:bookmarkEnd w:id="51"/>
    <w:bookmarkStart w:id="55" w:name="what-drives-the-predictions"/>
    <w:p>
      <w:pPr>
        <w:pStyle w:val="Heading1"/>
      </w:pPr>
      <w:r>
        <w:t xml:space="preserve">5. What drives the predictions</w:t>
      </w:r>
    </w:p>
    <w:p>
      <w:pPr>
        <w:pStyle w:val="FirstParagraph"/>
      </w:pPr>
      <w:r>
        <w:t xml:space="preserve">We measure what each input category actually contributes by</w:t>
      </w:r>
      <w:r>
        <w:t xml:space="preserve"> </w:t>
      </w:r>
      <w:r>
        <w:rPr>
          <w:bCs/>
          <w:b/>
        </w:rPr>
        <w:t xml:space="preserve">feature-group</w:t>
      </w:r>
      <w:r>
        <w:rPr>
          <w:bCs/>
          <w:b/>
        </w:rPr>
        <w:t xml:space="preserve"> </w:t>
      </w:r>
      <w:r>
        <w:rPr>
          <w:bCs/>
          <w:b/>
        </w:rPr>
        <w:t xml:space="preserve">ablation</w:t>
      </w:r>
      <w:r>
        <w:t xml:space="preserve">: retrain with each group removed and measure the drop in</w:t>
      </w:r>
      <w:r>
        <w:t xml:space="preserve"> </w:t>
      </w:r>
      <w:r>
        <w:t xml:space="preserve">held-out accuracy.</w:t>
      </w:r>
    </w:p>
    <w:p>
      <w:pPr>
        <w:pStyle w:val="CaptionedFigure"/>
      </w:pPr>
      <w:r>
        <w:drawing>
          <wp:inline>
            <wp:extent cx="5334000" cy="3102645"/>
            <wp:effectExtent b="0" l="0" r="0" t="0"/>
            <wp:docPr descr="Feature-group ablation" title="" id="53" name="Picture"/>
            <a:graphic>
              <a:graphicData uri="http://schemas.openxmlformats.org/drawingml/2006/picture">
                <pic:pic>
                  <pic:nvPicPr>
                    <pic:cNvPr descr="figures/ablation.png" id="54" name="Picture"/>
                    <pic:cNvPicPr>
                      <a:picLocks noChangeArrowheads="1" noChangeAspect="1"/>
                    </pic:cNvPicPr>
                  </pic:nvPicPr>
                  <pic:blipFill>
                    <a:blip r:embed="rId52"/>
                    <a:stretch>
                      <a:fillRect/>
                    </a:stretch>
                  </pic:blipFill>
                  <pic:spPr bwMode="auto">
                    <a:xfrm>
                      <a:off x="0" y="0"/>
                      <a:ext cx="5334000" cy="3102645"/>
                    </a:xfrm>
                    <a:prstGeom prst="rect">
                      <a:avLst/>
                    </a:prstGeom>
                    <a:noFill/>
                    <a:ln w="9525">
                      <a:noFill/>
                      <a:headEnd/>
                      <a:tailEnd/>
                    </a:ln>
                  </pic:spPr>
                </pic:pic>
              </a:graphicData>
            </a:graphic>
          </wp:inline>
        </w:drawing>
      </w:r>
    </w:p>
    <w:p>
      <w:pPr>
        <w:pStyle w:val="ImageCaption"/>
      </w:pPr>
      <w:r>
        <w:t xml:space="preserve">Feature-group ablation</w:t>
      </w:r>
    </w:p>
    <w:p>
      <w:pPr>
        <w:pStyle w:val="BodyText"/>
      </w:pPr>
      <w:r>
        <w:rPr>
          <w:iCs/>
          <w:i/>
        </w:rPr>
        <w:t xml:space="preserve">Figure 7. Longer bar = removing that group hurt accuracy more = that group mattered more. The dominant drivers are reprint</w:t>
      </w:r>
      <w:r>
        <w:rPr>
          <w:iCs/>
          <w:i/>
        </w:rPr>
        <w:t xml:space="preserve"> </w:t>
      </w:r>
      <w:r>
        <w:rPr>
          <w:bCs/>
          <w:b/>
          <w:iCs/>
          <w:i/>
        </w:rPr>
        <w:t xml:space="preserve">calendar</w:t>
      </w:r>
      <w:r>
        <w:rPr>
          <w:iCs/>
          <w:i/>
        </w:rPr>
        <w:t xml:space="preserve"> </w:t>
      </w:r>
      <w:r>
        <w:rPr>
          <w:iCs/>
          <w:i/>
        </w:rPr>
        <w:t xml:space="preserve">cadence,</w:t>
      </w:r>
      <w:r>
        <w:rPr>
          <w:iCs/>
          <w:i/>
        </w:rPr>
        <w:t xml:space="preserve"> </w:t>
      </w:r>
      <w:r>
        <w:rPr>
          <w:bCs/>
          <w:b/>
          <w:iCs/>
          <w:i/>
        </w:rPr>
        <w:t xml:space="preserve">Commander demand</w:t>
      </w:r>
      <w:r>
        <w:rPr>
          <w:iCs/>
          <w:i/>
        </w:rPr>
        <w:t xml:space="preserve">, and</w:t>
      </w:r>
      <w:r>
        <w:rPr>
          <w:iCs/>
          <w:i/>
        </w:rPr>
        <w:t xml:space="preserve"> </w:t>
      </w:r>
      <w:r>
        <w:rPr>
          <w:bCs/>
          <w:b/>
          <w:iCs/>
          <w:i/>
        </w:rPr>
        <w:t xml:space="preserve">print history</w:t>
      </w:r>
      <w:r>
        <w:rPr>
          <w:iCs/>
          <w:i/>
        </w:rPr>
        <w:t xml:space="preserve">, followed by</w:t>
      </w:r>
      <w:r>
        <w:rPr>
          <w:iCs/>
          <w:i/>
        </w:rPr>
        <w:t xml:space="preserve"> </w:t>
      </w:r>
      <w:r>
        <w:rPr>
          <w:bCs/>
          <w:b/>
          <w:iCs/>
          <w:i/>
        </w:rPr>
        <w:t xml:space="preserve">format legality</w:t>
      </w:r>
      <w:r>
        <w:rPr>
          <w:iCs/>
          <w:i/>
        </w:rPr>
        <w:t xml:space="preserve">.</w:t>
      </w:r>
    </w:p>
    <w:p>
      <w:pPr>
        <w:pStyle w:val="BodyText"/>
      </w:pPr>
      <w:r>
        <w:rPr>
          <w:bCs/>
          <w:b/>
        </w:rPr>
        <w:t xml:space="preserve">The honest attribution.</w:t>
      </w:r>
      <w:r>
        <w:t xml:space="preserve"> </w:t>
      </w:r>
      <w:r>
        <w:t xml:space="preserve">The structural drivers of reprints are</w:t>
      </w:r>
      <w:r>
        <w:t xml:space="preserve"> </w:t>
      </w:r>
      <w:r>
        <w:rPr>
          <w:bCs/>
          <w:b/>
        </w:rPr>
        <w:t xml:space="preserve">demand and cadence</w:t>
      </w:r>
      <w:r>
        <w:t xml:space="preserve">: how popular a card is in Commander, how the release calendar is moving, and how long it has been since the card was last printed. Format legality refines this. These are exactly the levers Wizards of the Coast actually pulls when choosing reprints.</w:t>
      </w:r>
    </w:p>
    <w:p>
      <w:pPr>
        <w:pStyle w:val="BodyText"/>
      </w:pPr>
      <w:r>
        <w:rPr>
          <w:bCs/>
          <w:b/>
        </w:rPr>
        <w:t xml:space="preserve">On price - a careful correction.</w:t>
      </w:r>
      <w:r>
        <w:t xml:space="preserve"> </w:t>
      </w:r>
      <w:r>
        <w:t xml:space="preserve">An earlier interim analysis (run before price coverage was complete) appeared to show price as the single largest signal. With full price coverage, that effect mostly disappears. The earlier result was largely a</w:t>
      </w:r>
      <w:r>
        <w:t xml:space="preserve"> </w:t>
      </w:r>
      <w:r>
        <w:rPr>
          <w:bCs/>
          <w:b/>
        </w:rPr>
        <w:t xml:space="preserve">data-availability artifact</w:t>
      </w:r>
      <w:r>
        <w:t xml:space="preserve">: when only the more valuable, actively-traded cards had price data, the mere</w:t>
      </w:r>
      <w:r>
        <w:t xml:space="preserve"> </w:t>
      </w:r>
      <w:r>
        <w:rPr>
          <w:iCs/>
          <w:i/>
        </w:rPr>
        <w:t xml:space="preserve">presence</w:t>
      </w:r>
      <w:r>
        <w:t xml:space="preserve"> </w:t>
      </w:r>
      <w:r>
        <w:t xml:space="preserve">of a price was itself a proxy for</w:t>
      </w:r>
      <w:r>
        <w:t xml:space="preserve"> </w:t>
      </w:r>
      <w:r>
        <w:t xml:space="preserve">“</w:t>
      </w:r>
      <w:r>
        <w:t xml:space="preserve">this card matters.</w:t>
      </w:r>
      <w:r>
        <w:t xml:space="preserve">”</w:t>
      </w:r>
      <w:r>
        <w:t xml:space="preserve"> </w:t>
      </w:r>
      <w:r>
        <w:t xml:space="preserve">Once nearly every card has price history, raw price momentum adds little</w:t>
      </w:r>
      <w:r>
        <w:t xml:space="preserve"> </w:t>
      </w:r>
      <w:r>
        <w:rPr>
          <w:iCs/>
          <w:i/>
        </w:rPr>
        <w:t xml:space="preserve">independent</w:t>
      </w:r>
      <w:r>
        <w:t xml:space="preserve"> </w:t>
      </w:r>
      <w:r>
        <w:t xml:space="preserve">signal - it is real, but largely</w:t>
      </w:r>
      <w:r>
        <w:t xml:space="preserve"> </w:t>
      </w:r>
      <w:r>
        <w:rPr>
          <w:bCs/>
          <w:b/>
        </w:rPr>
        <w:t xml:space="preserve">redundant</w:t>
      </w:r>
      <w:r>
        <w:t xml:space="preserve"> </w:t>
      </w:r>
      <w:r>
        <w:t xml:space="preserve">with the demand and cadence signals it correlates with. The community intuition that</w:t>
      </w:r>
      <w:r>
        <w:t xml:space="preserve"> </w:t>
      </w:r>
      <w:r>
        <w:t xml:space="preserve">“</w:t>
      </w:r>
      <w:r>
        <w:t xml:space="preserve">a price climb precedes a reprint</w:t>
      </w:r>
      <w:r>
        <w:t xml:space="preserve">”</w:t>
      </w:r>
      <w:r>
        <w:t xml:space="preserve"> </w:t>
      </w:r>
      <w:r>
        <w:t xml:space="preserve">is not wrong; the climb and the reprint share a common cause (rising demand), which the model captures more directly through Commander play.</w:t>
      </w:r>
    </w:p>
    <w:p>
      <w:pPr>
        <w:pStyle w:val="BodyText"/>
      </w:pPr>
      <w:r>
        <w:rPr>
          <w:bCs/>
          <w:b/>
        </w:rPr>
        <w:t xml:space="preserve">On leakage.</w:t>
      </w:r>
      <w:r>
        <w:t xml:space="preserve"> </w:t>
      </w:r>
      <w:r>
        <w:t xml:space="preserve">Demand counts are sampled at the current date rather than back-dated. Removing them changes held-out accuracy by a comparable small amount in both directions, and the model’s calibration on strictly-past data holds - so there is no material future-information leak.</w:t>
      </w:r>
    </w:p>
    <w:p>
      <w:pPr>
        <w:pStyle w:val="BodyText"/>
      </w:pPr>
      <w:r>
        <w:rPr>
          <w:bCs/>
          <w:b/>
        </w:rPr>
        <w:t xml:space="preserve">A direct test of price-history completeness.</w:t>
      </w:r>
      <w:r>
        <w:t xml:space="preserve"> </w:t>
      </w:r>
      <w:r>
        <w:t xml:space="preserve">After an initial build, we</w:t>
      </w:r>
      <w:r>
        <w:t xml:space="preserve"> </w:t>
      </w:r>
      <w:r>
        <w:t xml:space="preserve">discovered an ingestion bug that had left some older sets with no price</w:t>
      </w:r>
      <w:r>
        <w:t xml:space="preserve"> </w:t>
      </w:r>
      <w:r>
        <w:t xml:space="preserve">history. We fixed it, materially expanding price coverage of the training</w:t>
      </w:r>
      <w:r>
        <w:t xml:space="preserve"> </w:t>
      </w:r>
      <w:r>
        <w:t xml:space="preserve">panel, and retrained.</w:t>
      </w:r>
      <w:r>
        <w:t xml:space="preserve"> </w:t>
      </w:r>
      <w:r>
        <w:rPr>
          <w:bCs/>
          <w:b/>
        </w:rPr>
        <w:t xml:space="preserve">The held-out AUC moved by ≈ +0.001 at every horizon</w:t>
      </w:r>
      <w:r>
        <w:t xml:space="preserve"> </w:t>
      </w:r>
      <w:r>
        <w:t xml:space="preserve">-</w:t>
      </w:r>
      <w:r>
        <w:t xml:space="preserve"> </w:t>
      </w:r>
      <w:r>
        <w:t xml:space="preserve">i.e. essentially not at all. This is a clean natural experiment confirming the</w:t>
      </w:r>
      <w:r>
        <w:t xml:space="preserve"> </w:t>
      </w:r>
      <w:r>
        <w:t xml:space="preserve">conclusion above: the model’s predictive power comes from demand, cadence, and</w:t>
      </w:r>
      <w:r>
        <w:t xml:space="preserve"> </w:t>
      </w:r>
      <w:r>
        <w:t xml:space="preserve">format relevance, not from how complete the price history is. (The fuller price</w:t>
      </w:r>
      <w:r>
        <w:t xml:space="preserve"> </w:t>
      </w:r>
      <w:r>
        <w:t xml:space="preserve">data is still valuable for the product surface and for scoring the entire card</w:t>
      </w:r>
      <w:r>
        <w:t xml:space="preserve"> </w:t>
      </w:r>
      <w:r>
        <w:t xml:space="preserve">universe - it simply is not what drives accuracy.)</w:t>
      </w:r>
    </w:p>
    <w:p>
      <w:r>
        <w:pict>
          <v:rect style="width:0;height:1.5pt" o:hralign="center" o:hrstd="t" o:hr="t"/>
        </w:pict>
      </w:r>
    </w:p>
    <w:bookmarkEnd w:id="55"/>
    <w:bookmarkStart w:id="56" w:name="limitations-honest-caveats"/>
    <w:p>
      <w:pPr>
        <w:pStyle w:val="Heading1"/>
      </w:pPr>
      <w:r>
        <w:t xml:space="preserve">6. Limitations &amp; Honest Caveats</w:t>
      </w:r>
    </w:p>
    <w:p>
      <w:pPr>
        <w:numPr>
          <w:ilvl w:val="0"/>
          <w:numId w:val="1004"/>
        </w:numPr>
        <w:pStyle w:val="Compact"/>
      </w:pPr>
      <w:r>
        <w:rPr>
          <w:bCs/>
          <w:b/>
        </w:rPr>
        <w:t xml:space="preserve">Price history depth.</w:t>
      </w:r>
      <w:r>
        <w:t xml:space="preserve"> </w:t>
      </w:r>
      <w:r>
        <w:t xml:space="preserve">Daily secondary-market prices reach back to roughly 2010. Cards from the 1990s-2000s have full</w:t>
      </w:r>
      <w:r>
        <w:t xml:space="preserve"> </w:t>
      </w:r>
      <w:r>
        <w:rPr>
          <w:iCs/>
          <w:i/>
        </w:rPr>
        <w:t xml:space="preserve">catalog</w:t>
      </w:r>
      <w:r>
        <w:t xml:space="preserve"> </w:t>
      </w:r>
      <w:r>
        <w:t xml:space="preserve">history but shorter</w:t>
      </w:r>
      <w:r>
        <w:t xml:space="preserve"> </w:t>
      </w:r>
      <w:r>
        <w:rPr>
          <w:iCs/>
          <w:i/>
        </w:rPr>
        <w:t xml:space="preserve">price</w:t>
      </w:r>
      <w:r>
        <w:t xml:space="preserve"> </w:t>
      </w:r>
      <w:r>
        <w:t xml:space="preserve">history.</w:t>
      </w:r>
    </w:p>
    <w:p>
      <w:pPr>
        <w:numPr>
          <w:ilvl w:val="0"/>
          <w:numId w:val="1004"/>
        </w:numPr>
        <w:pStyle w:val="Compact"/>
      </w:pPr>
      <w:r>
        <w:rPr>
          <w:bCs/>
          <w:b/>
        </w:rPr>
        <w:t xml:space="preserve">Demand snapshot.</w:t>
      </w:r>
      <w:r>
        <w:t xml:space="preserve"> </w:t>
      </w:r>
      <w:r>
        <w:t xml:space="preserve">EDHREC counts are current, not historical; we showed this is immaterial to accuracy, but it is a known approximation.</w:t>
      </w:r>
    </w:p>
    <w:p>
      <w:pPr>
        <w:numPr>
          <w:ilvl w:val="0"/>
          <w:numId w:val="1004"/>
        </w:numPr>
        <w:pStyle w:val="Compact"/>
      </w:pPr>
      <w:r>
        <w:rPr>
          <w:bCs/>
          <w:b/>
        </w:rPr>
        <w:t xml:space="preserve">Format-legality timeline.</w:t>
      </w:r>
      <w:r>
        <w:t xml:space="preserve"> </w:t>
      </w:r>
      <w:r>
        <w:t xml:space="preserve">We use current legality as a proxy; a full historical ban-list timeline is a planned enhancement.</w:t>
      </w:r>
    </w:p>
    <w:p>
      <w:pPr>
        <w:numPr>
          <w:ilvl w:val="0"/>
          <w:numId w:val="1004"/>
        </w:numPr>
        <w:pStyle w:val="Compact"/>
      </w:pPr>
      <w:r>
        <w:rPr>
          <w:bCs/>
          <w:b/>
        </w:rPr>
        <w:t xml:space="preserve">Announcement shocks.</w:t>
      </w:r>
      <w:r>
        <w:t xml:space="preserve"> </w:t>
      </w:r>
      <w:r>
        <w:t xml:space="preserve">The model predicts on fundamentals; it cannot know about an unannounced product Wizards has secretly planned. It estimates</w:t>
      </w:r>
      <w:r>
        <w:t xml:space="preserve"> </w:t>
      </w:r>
      <w:r>
        <w:rPr>
          <w:iCs/>
          <w:i/>
        </w:rPr>
        <w:t xml:space="preserve">risk</w:t>
      </w:r>
      <w:r>
        <w:t xml:space="preserve">, not certainty.</w:t>
      </w:r>
    </w:p>
    <w:p>
      <w:pPr>
        <w:numPr>
          <w:ilvl w:val="0"/>
          <w:numId w:val="1004"/>
        </w:numPr>
        <w:pStyle w:val="Compact"/>
      </w:pPr>
      <w:r>
        <w:rPr>
          <w:bCs/>
          <w:b/>
        </w:rPr>
        <w:t xml:space="preserve">Evaluation methodology matters.</w:t>
      </w:r>
      <w:r>
        <w:t xml:space="preserve"> </w:t>
      </w:r>
      <w:r>
        <w:t xml:space="preserve">Single-snapshot scoring (95% top-100 precision) and pooled multi-month testing (AUC 0.82-0.86) measure slightly different things; both are reported transparently.</w:t>
      </w:r>
    </w:p>
    <w:p>
      <w:r>
        <w:pict>
          <v:rect style="width:0;height:1.5pt" o:hralign="center" o:hrstd="t" o:hr="t"/>
        </w:pict>
      </w:r>
    </w:p>
    <w:bookmarkEnd w:id="56"/>
    <w:bookmarkStart w:id="57" w:name="using-the-model"/>
    <w:p>
      <w:pPr>
        <w:pStyle w:val="Heading1"/>
      </w:pPr>
      <w:r>
        <w:t xml:space="preserve">7. Using the Model</w:t>
      </w:r>
    </w:p>
    <w:p>
      <w:pPr>
        <w:pStyle w:val="FirstParagraph"/>
      </w:pPr>
      <w:r>
        <w:t xml:space="preserve">The deliverables are designed to drop into a product:</w:t>
      </w:r>
    </w:p>
    <w:p>
      <w:pPr>
        <w:numPr>
          <w:ilvl w:val="0"/>
          <w:numId w:val="1005"/>
        </w:numPr>
        <w:pStyle w:val="Compact"/>
      </w:pPr>
      <w:r>
        <w:rPr>
          <w:rStyle w:val="VerbatimChar"/>
          <w:bCs/>
          <w:b/>
        </w:rPr>
        <w:t xml:space="preserve">outputs/reprint_risk.csv</w:t>
      </w:r>
      <w:r>
        <w:rPr>
          <w:bCs/>
          <w:b/>
        </w:rPr>
        <w:t xml:space="preserve"> </w:t>
      </w:r>
      <w:r>
        <w:rPr>
          <w:bCs/>
          <w:b/>
        </w:rPr>
        <w:t xml:space="preserve">/</w:t>
      </w:r>
      <w:r>
        <w:rPr>
          <w:bCs/>
          <w:b/>
        </w:rPr>
        <w:t xml:space="preserve"> </w:t>
      </w:r>
      <w:r>
        <w:rPr>
          <w:rStyle w:val="VerbatimChar"/>
          <w:bCs/>
          <w:b/>
        </w:rPr>
        <w:t xml:space="preserve">.json</w:t>
      </w:r>
      <w:r>
        <w:t xml:space="preserve"> </w:t>
      </w:r>
      <w:r>
        <w:t xml:space="preserve">- every card with</w:t>
      </w:r>
      <w:r>
        <w:t xml:space="preserve"> </w:t>
      </w:r>
      <w:r>
        <w:rPr>
          <w:rStyle w:val="VerbatimChar"/>
        </w:rPr>
        <w:t xml:space="preserve">p_reprint_3mo</w:t>
      </w:r>
      <w:r>
        <w:t xml:space="preserve">,</w:t>
      </w:r>
      <w:r>
        <w:t xml:space="preserve"> </w:t>
      </w:r>
      <w:r>
        <w:rPr>
          <w:rStyle w:val="VerbatimChar"/>
        </w:rPr>
        <w:t xml:space="preserve">p_reprint_6mo</w:t>
      </w:r>
      <w:r>
        <w:t xml:space="preserve">,</w:t>
      </w:r>
      <w:r>
        <w:t xml:space="preserve"> </w:t>
      </w:r>
      <w:r>
        <w:rPr>
          <w:rStyle w:val="VerbatimChar"/>
        </w:rPr>
        <w:t xml:space="preserve">p_reprint_12mo</w:t>
      </w:r>
      <w:r>
        <w:t xml:space="preserve">, a global risk rank, and an</w:t>
      </w:r>
      <w:r>
        <w:t xml:space="preserve"> </w:t>
      </w:r>
      <w:r>
        <w:rPr>
          <w:rStyle w:val="VerbatimChar"/>
        </w:rPr>
        <w:t xml:space="preserve">excluded_reason</w:t>
      </w:r>
      <w:r>
        <w:t xml:space="preserve"> </w:t>
      </w:r>
      <w:r>
        <w:t xml:space="preserve">for Reserved-List cards.</w:t>
      </w:r>
    </w:p>
    <w:p>
      <w:pPr>
        <w:numPr>
          <w:ilvl w:val="0"/>
          <w:numId w:val="1005"/>
        </w:numPr>
        <w:pStyle w:val="Compact"/>
      </w:pPr>
      <w:r>
        <w:t xml:space="preserve">The model output (probabilities, rankings) is</w:t>
      </w:r>
      <w:r>
        <w:t xml:space="preserve"> </w:t>
      </w:r>
      <w:r>
        <w:rPr>
          <w:bCs/>
          <w:b/>
        </w:rPr>
        <w:t xml:space="preserve">derived intelligence</w:t>
      </w:r>
      <w:r>
        <w:t xml:space="preserve"> </w:t>
      </w:r>
      <w:r>
        <w:t xml:space="preserve">suitable for public display; the underlying licensed price data is kept private and is</w:t>
      </w:r>
      <w:r>
        <w:t xml:space="preserve"> </w:t>
      </w:r>
      <w:r>
        <w:rPr>
          <w:bCs/>
          <w:b/>
        </w:rPr>
        <w:t xml:space="preserve">not</w:t>
      </w:r>
      <w:r>
        <w:t xml:space="preserve"> </w:t>
      </w:r>
      <w:r>
        <w:t xml:space="preserve">redistributed.</w:t>
      </w:r>
    </w:p>
    <w:p>
      <w:pPr>
        <w:numPr>
          <w:ilvl w:val="0"/>
          <w:numId w:val="1005"/>
        </w:numPr>
        <w:pStyle w:val="Compact"/>
      </w:pPr>
      <w:r>
        <w:t xml:space="preserve">The pipeline re-scores weekly as new prices arrive (a daily price-capture job is already running), and can be fully retrained after each major set release.</w:t>
      </w:r>
    </w:p>
    <w:p>
      <w:pPr>
        <w:pStyle w:val="FirstParagraph"/>
      </w:pPr>
      <w:r>
        <w:rPr>
          <w:bCs/>
          <w:b/>
        </w:rPr>
        <w:t xml:space="preserve">Example - current highest-risk cards (excerpt):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Card</w:t>
            </w:r>
          </w:p>
        </w:tc>
        <w:tc>
          <w:tcPr/>
          <w:p>
            <w:pPr>
              <w:pStyle w:val="Compact"/>
              <w:jc w:val="left"/>
            </w:pPr>
            <w:r>
              <w:t xml:space="preserve">P(3mo)</w:t>
            </w:r>
          </w:p>
        </w:tc>
        <w:tc>
          <w:tcPr/>
          <w:p>
            <w:pPr>
              <w:pStyle w:val="Compact"/>
              <w:jc w:val="left"/>
            </w:pPr>
            <w:r>
              <w:t xml:space="preserve">P(6mo)</w:t>
            </w:r>
          </w:p>
        </w:tc>
        <w:tc>
          <w:tcPr/>
          <w:p>
            <w:pPr>
              <w:pStyle w:val="Compact"/>
              <w:jc w:val="left"/>
            </w:pPr>
            <w:r>
              <w:t xml:space="preserve">P(12mo)</w:t>
            </w:r>
          </w:p>
        </w:tc>
        <w:tc>
          <w:tcPr/>
          <w:p>
            <w:pPr>
              <w:pStyle w:val="Compact"/>
              <w:jc w:val="left"/>
            </w:pPr>
            <w:r>
              <w:t xml:space="preserve">Prior printings</w:t>
            </w:r>
          </w:p>
        </w:tc>
      </w:tr>
      <w:tr>
        <w:tc>
          <w:tcPr/>
          <w:p>
            <w:pPr>
              <w:pStyle w:val="Compact"/>
              <w:jc w:val="left"/>
            </w:pPr>
            <w:r>
              <w:t xml:space="preserve">Selesnya Sanctuary</w:t>
            </w:r>
          </w:p>
        </w:tc>
        <w:tc>
          <w:tcPr/>
          <w:p>
            <w:pPr>
              <w:pStyle w:val="Compact"/>
              <w:jc w:val="left"/>
            </w:pPr>
            <w:r>
              <w:t xml:space="preserve">0.78</w:t>
            </w:r>
          </w:p>
        </w:tc>
        <w:tc>
          <w:tcPr/>
          <w:p>
            <w:pPr>
              <w:pStyle w:val="Compact"/>
              <w:jc w:val="left"/>
            </w:pPr>
            <w:r>
              <w:t xml:space="preserve">0.84</w:t>
            </w:r>
          </w:p>
        </w:tc>
        <w:tc>
          <w:tcPr/>
          <w:p>
            <w:pPr>
              <w:pStyle w:val="Compact"/>
              <w:jc w:val="left"/>
            </w:pPr>
            <w:r>
              <w:t xml:space="preserve">0.94</w:t>
            </w:r>
          </w:p>
        </w:tc>
        <w:tc>
          <w:tcPr/>
          <w:p>
            <w:pPr>
              <w:pStyle w:val="Compact"/>
              <w:jc w:val="left"/>
            </w:pPr>
            <w:r>
              <w:t xml:space="preserve">22</w:t>
            </w:r>
          </w:p>
        </w:tc>
      </w:tr>
      <w:tr>
        <w:tc>
          <w:tcPr/>
          <w:p>
            <w:pPr>
              <w:pStyle w:val="Compact"/>
              <w:jc w:val="left"/>
            </w:pPr>
            <w:r>
              <w:t xml:space="preserve">Bojuka Bog</w:t>
            </w:r>
          </w:p>
        </w:tc>
        <w:tc>
          <w:tcPr/>
          <w:p>
            <w:pPr>
              <w:pStyle w:val="Compact"/>
              <w:jc w:val="left"/>
            </w:pPr>
            <w:r>
              <w:t xml:space="preserve">0.72</w:t>
            </w:r>
          </w:p>
        </w:tc>
        <w:tc>
          <w:tcPr/>
          <w:p>
            <w:pPr>
              <w:pStyle w:val="Compact"/>
              <w:jc w:val="left"/>
            </w:pPr>
            <w:r>
              <w:t xml:space="preserve">0.84</w:t>
            </w:r>
          </w:p>
        </w:tc>
        <w:tc>
          <w:tcPr/>
          <w:p>
            <w:pPr>
              <w:pStyle w:val="Compact"/>
              <w:jc w:val="left"/>
            </w:pPr>
            <w:r>
              <w:t xml:space="preserve">0.94</w:t>
            </w:r>
          </w:p>
        </w:tc>
        <w:tc>
          <w:tcPr/>
          <w:p>
            <w:pPr>
              <w:pStyle w:val="Compact"/>
              <w:jc w:val="left"/>
            </w:pPr>
            <w:r>
              <w:t xml:space="preserve">35</w:t>
            </w:r>
          </w:p>
        </w:tc>
      </w:tr>
      <w:tr>
        <w:tc>
          <w:tcPr/>
          <w:p>
            <w:pPr>
              <w:pStyle w:val="Compact"/>
              <w:jc w:val="left"/>
            </w:pPr>
            <w:r>
              <w:t xml:space="preserve">Commander’s Sphere</w:t>
            </w:r>
          </w:p>
        </w:tc>
        <w:tc>
          <w:tcPr/>
          <w:p>
            <w:pPr>
              <w:pStyle w:val="Compact"/>
              <w:jc w:val="left"/>
            </w:pPr>
            <w:r>
              <w:t xml:space="preserve">0.70</w:t>
            </w:r>
          </w:p>
        </w:tc>
        <w:tc>
          <w:tcPr/>
          <w:p>
            <w:pPr>
              <w:pStyle w:val="Compact"/>
              <w:jc w:val="left"/>
            </w:pPr>
            <w:r>
              <w:t xml:space="preserve">0.84</w:t>
            </w:r>
          </w:p>
        </w:tc>
        <w:tc>
          <w:tcPr/>
          <w:p>
            <w:pPr>
              <w:pStyle w:val="Compact"/>
              <w:jc w:val="left"/>
            </w:pPr>
            <w:r>
              <w:t xml:space="preserve">0.94</w:t>
            </w:r>
          </w:p>
        </w:tc>
        <w:tc>
          <w:tcPr/>
          <w:p>
            <w:pPr>
              <w:pStyle w:val="Compact"/>
              <w:jc w:val="left"/>
            </w:pPr>
            <w:r>
              <w:t xml:space="preserve">43</w:t>
            </w:r>
          </w:p>
        </w:tc>
      </w:tr>
      <w:tr>
        <w:tc>
          <w:tcPr/>
          <w:p>
            <w:pPr>
              <w:pStyle w:val="Compact"/>
              <w:jc w:val="left"/>
            </w:pPr>
            <w:r>
              <w:t xml:space="preserve">Glacial Fortress</w:t>
            </w:r>
          </w:p>
        </w:tc>
        <w:tc>
          <w:tcPr/>
          <w:p>
            <w:pPr>
              <w:pStyle w:val="Compact"/>
              <w:jc w:val="left"/>
            </w:pPr>
            <w:r>
              <w:t xml:space="preserve">0.78</w:t>
            </w:r>
          </w:p>
        </w:tc>
        <w:tc>
          <w:tcPr/>
          <w:p>
            <w:pPr>
              <w:pStyle w:val="Compact"/>
              <w:jc w:val="left"/>
            </w:pPr>
            <w:r>
              <w:t xml:space="preserve">0.84</w:t>
            </w:r>
          </w:p>
        </w:tc>
        <w:tc>
          <w:tcPr/>
          <w:p>
            <w:pPr>
              <w:pStyle w:val="Compact"/>
              <w:jc w:val="left"/>
            </w:pPr>
            <w:r>
              <w:t xml:space="preserve">0.94</w:t>
            </w:r>
          </w:p>
        </w:tc>
        <w:tc>
          <w:tcPr/>
          <w:p>
            <w:pPr>
              <w:pStyle w:val="Compact"/>
              <w:jc w:val="left"/>
            </w:pPr>
            <w:r>
              <w:t xml:space="preserve">22</w:t>
            </w:r>
          </w:p>
        </w:tc>
      </w:tr>
      <w:tr>
        <w:tc>
          <w:tcPr/>
          <w:p>
            <w:pPr>
              <w:pStyle w:val="Compact"/>
              <w:jc w:val="left"/>
            </w:pPr>
            <w:r>
              <w:t xml:space="preserve">Reclamation Sage</w:t>
            </w:r>
          </w:p>
        </w:tc>
        <w:tc>
          <w:tcPr/>
          <w:p>
            <w:pPr>
              <w:pStyle w:val="Compact"/>
              <w:jc w:val="left"/>
            </w:pPr>
            <w:r>
              <w:t xml:space="preserve">0.72</w:t>
            </w:r>
          </w:p>
        </w:tc>
        <w:tc>
          <w:tcPr/>
          <w:p>
            <w:pPr>
              <w:pStyle w:val="Compact"/>
              <w:jc w:val="left"/>
            </w:pPr>
            <w:r>
              <w:t xml:space="preserve">0.84</w:t>
            </w:r>
          </w:p>
        </w:tc>
        <w:tc>
          <w:tcPr/>
          <w:p>
            <w:pPr>
              <w:pStyle w:val="Compact"/>
              <w:jc w:val="left"/>
            </w:pPr>
            <w:r>
              <w:t xml:space="preserve">0.94</w:t>
            </w:r>
          </w:p>
        </w:tc>
        <w:tc>
          <w:tcPr/>
          <w:p>
            <w:pPr>
              <w:pStyle w:val="Compact"/>
              <w:jc w:val="left"/>
            </w:pPr>
            <w:r>
              <w:t xml:space="preserve">20</w:t>
            </w:r>
          </w:p>
        </w:tc>
      </w:tr>
    </w:tbl>
    <w:p>
      <w:r>
        <w:pict>
          <v:rect style="width:0;height:1.5pt" o:hralign="center" o:hrstd="t" o:hr="t"/>
        </w:pict>
      </w:r>
    </w:p>
    <w:bookmarkEnd w:id="57"/>
    <w:bookmarkStart w:id="58" w:name="verifiability"/>
    <w:p>
      <w:pPr>
        <w:pStyle w:val="Heading1"/>
      </w:pPr>
      <w:r>
        <w:t xml:space="preserve">8. Verifiability</w:t>
      </w:r>
    </w:p>
    <w:p>
      <w:pPr>
        <w:pStyle w:val="FirstParagraph"/>
      </w:pPr>
      <w:r>
        <w:t xml:space="preserve">The numbers in this report are reproducible from this repository</w:t>
      </w:r>
      <w:r>
        <w:t xml:space="preserve"> </w:t>
      </w:r>
      <w:r>
        <w:rPr>
          <w:bCs/>
          <w:b/>
        </w:rPr>
        <w:t xml:space="preserve">even</w:t>
      </w:r>
      <w:r>
        <w:rPr>
          <w:bCs/>
          <w:b/>
        </w:rPr>
        <w:t xml:space="preserve"> </w:t>
      </w:r>
      <w:r>
        <w:rPr>
          <w:bCs/>
          <w:b/>
        </w:rPr>
        <w:t xml:space="preserve">without the model</w:t>
      </w:r>
      <w:r>
        <w:t xml:space="preserve">: every figure here is derived from the dated prediction</w:t>
      </w:r>
      <w:r>
        <w:t xml:space="preserve"> </w:t>
      </w:r>
      <w:r>
        <w:t xml:space="preserve">snapshots and validation outputs that are checked into</w:t>
      </w:r>
      <w:r>
        <w:t xml:space="preserve"> </w:t>
      </w:r>
      <w:r>
        <w:rPr>
          <w:rStyle w:val="VerbatimChar"/>
        </w:rPr>
        <w:t xml:space="preserve">outputs/</w:t>
      </w:r>
      <w:r>
        <w:t xml:space="preserve"> </w:t>
      </w:r>
      <w:r>
        <w:t xml:space="preserve">and</w:t>
      </w:r>
      <w:r>
        <w:t xml:space="preserve"> </w:t>
      </w:r>
      <w:r>
        <w:rPr>
          <w:rStyle w:val="VerbatimChar"/>
        </w:rPr>
        <w:t xml:space="preserve">track_record/</w:t>
      </w:r>
      <w:r>
        <w:t xml:space="preserve">. The methodology can be evaluated against the future:</w:t>
      </w:r>
    </w:p>
    <w:p>
      <w:pPr>
        <w:numPr>
          <w:ilvl w:val="0"/>
          <w:numId w:val="1006"/>
        </w:numPr>
        <w:pStyle w:val="Compact"/>
      </w:pPr>
      <w:r>
        <w:t xml:space="preserve">The dated track-record snapshots in</w:t>
      </w:r>
      <w:r>
        <w:t xml:space="preserve"> </w:t>
      </w:r>
      <w:r>
        <w:rPr>
          <w:rStyle w:val="VerbatimChar"/>
        </w:rPr>
        <w:t xml:space="preserve">track_record/</w:t>
      </w:r>
      <w:r>
        <w:t xml:space="preserve"> </w:t>
      </w:r>
      <w:r>
        <w:t xml:space="preserve">come with SHA-256</w:t>
      </w:r>
      <w:r>
        <w:t xml:space="preserve"> </w:t>
      </w:r>
      <w:r>
        <w:t xml:space="preserve">hashes in</w:t>
      </w:r>
      <w:r>
        <w:t xml:space="preserve"> </w:t>
      </w:r>
      <w:r>
        <w:rPr>
          <w:rStyle w:val="VerbatimChar"/>
        </w:rPr>
        <w:t xml:space="preserve">MANIFEST.md</w:t>
      </w:r>
      <w:r>
        <w:t xml:space="preserve">. Anyone can compare a past snapshot’s predictions</w:t>
      </w:r>
      <w:r>
        <w:t xml:space="preserve"> </w:t>
      </w:r>
      <w:r>
        <w:t xml:space="preserve">against which cards Wizards actually reprinted afterward, with no way for</w:t>
      </w:r>
      <w:r>
        <w:t xml:space="preserve"> </w:t>
      </w:r>
      <w:r>
        <w:t xml:space="preserve">us to quietly rewrite the record.</w:t>
      </w:r>
    </w:p>
    <w:p>
      <w:pPr>
        <w:numPr>
          <w:ilvl w:val="0"/>
          <w:numId w:val="1006"/>
        </w:numPr>
        <w:pStyle w:val="Compact"/>
      </w:pPr>
      <w:r>
        <w:t xml:space="preserve">The held-out forward test in</w:t>
      </w:r>
      <w:r>
        <w:t xml:space="preserve"> </w:t>
      </w:r>
      <w:r>
        <w:rPr>
          <w:rStyle w:val="VerbatimChar"/>
        </w:rPr>
        <w:t xml:space="preserve">outputs/validation/2024-06-01/</w:t>
      </w:r>
      <w:r>
        <w:t xml:space="preserve"> </w:t>
      </w:r>
      <w:r>
        <w:t xml:space="preserve">shows the</w:t>
      </w:r>
      <w:r>
        <w:t xml:space="preserve"> </w:t>
      </w:r>
      <w:r>
        <w:t xml:space="preserve">raw top-100 picks and which of them were actually reprinted - the result</w:t>
      </w:r>
      <w:r>
        <w:t xml:space="preserve"> </w:t>
      </w:r>
      <w:r>
        <w:t xml:space="preserve">is checkable card-by-card.</w:t>
      </w:r>
    </w:p>
    <w:p>
      <w:pPr>
        <w:numPr>
          <w:ilvl w:val="0"/>
          <w:numId w:val="1006"/>
        </w:numPr>
        <w:pStyle w:val="Compact"/>
      </w:pPr>
      <w:r>
        <w:t xml:space="preserve">The ablation, ROC, reliability, and case-study figures are reproduced</w:t>
      </w:r>
      <w:r>
        <w:t xml:space="preserve"> </w:t>
      </w:r>
      <w:r>
        <w:t xml:space="preserve">from these same outputs.</w:t>
      </w:r>
    </w:p>
    <w:p>
      <w:pPr>
        <w:pStyle w:val="FirstParagraph"/>
      </w:pPr>
      <w:r>
        <w:t xml:space="preserve">The trained model, the live ingestion and scoring pipeline, the exact</w:t>
      </w:r>
      <w:r>
        <w:t xml:space="preserve"> </w:t>
      </w:r>
      <w:r>
        <w:t xml:space="preserve">hyperparameters, and the engineered-feature definitions are not included;</w:t>
      </w:r>
      <w:r>
        <w:t xml:space="preserve"> </w:t>
      </w:r>
      <w:r>
        <w:t xml:space="preserve">those remain commercial assets of Cameraderie Cards.</w:t>
      </w:r>
    </w:p>
    <w:p>
      <w:r>
        <w:pict>
          <v:rect style="width:0;height:1.5pt" o:hralign="center" o:hrstd="t" o:hr="t"/>
        </w:pict>
      </w:r>
    </w:p>
    <w:p>
      <w:pPr>
        <w:pStyle w:val="FirstParagraph"/>
      </w:pPr>
      <w:r>
        <w:rPr>
          <w:iCs/>
          <w:i/>
        </w:rPr>
        <w:t xml:space="preserve">This report describes a predictive model. Reprint decisions are made by Wizards of the Coast and are not public; all probabilities are estimates of risk based on historical patterns, not guarantees.</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47" Target="media/rId47.png" /><Relationship Type="http://schemas.openxmlformats.org/officeDocument/2006/relationships/image" Id="rId39" Target="media/rId39.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Magic: The Gathering Card Reprints</dc:title>
  <dc:creator/>
  <cp:keywords/>
  <dcterms:created xsi:type="dcterms:W3CDTF">2026-05-31T02:20:05Z</dcterms:created>
  <dcterms:modified xsi:type="dcterms:W3CDTF">2026-05-31T02:20:05Z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A Survival-Analysis Model on 33 Years of Print History and 16 Years of Daily Prices</vt:lpwstr>
  </property>
</Properties>
</file>