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2026-06-08.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26.2%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0.411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0.188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46.5%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21.0%</w:t>
      </w:r>
      <w:r>
        <w:t xml:space="preserve">, 6-month</w:t>
      </w:r>
      <w:r>
        <w:t xml:space="preserve"> </w:t>
      </w:r>
      <w:r>
        <w:rPr>
          <w:bCs/>
          <w:b/>
        </w:rPr>
        <w:t xml:space="preserve">30.9%</w:t>
      </w:r>
      <w:r>
        <w:t xml:space="preserve">).</w:t>
      </w:r>
    </w:p>
    <w:p>
      <w:pPr>
        <w:pStyle w:val="CaptionedFigure"/>
      </w:pPr>
      <w:r>
        <w:drawing>
          <wp:inline>
            <wp:extent cx="5334000" cy="3045405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54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5,634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9,685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8.9%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0.188),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2026-06-09T11:14:59Z</dcterms:created>
  <dcterms:modified xsi:type="dcterms:W3CDTF">2026-06-09T11:14:59Z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