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8.png" ContentType="image/png"/>
  <Override PartName="/word/media/rId31.png" ContentType="image/png"/>
  <Override PartName="/word/media/rId24.png" ContentType="image/png"/>
  <Override PartName="/word/media/rId3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735959691b547d4417fabbf29ad42d30ac68ea8"/>
    <w:p>
      <w:pPr>
        <w:pStyle w:val="Heading1"/>
      </w:pPr>
      <w:r>
        <w:t xml:space="preserve">mtg-volatility-signal: the Current Volatility index</w:t>
      </w:r>
    </w:p>
    <w:p>
      <w:pPr>
        <w:pStyle w:val="FirstParagraph"/>
      </w:pPr>
      <w:r>
        <w:rPr>
          <w:bCs/>
          <w:b/>
        </w:rPr>
        <w:t xml:space="preserve">Snapshot 2026-10-15. By Cameraderie Cards. Informational only, not financial advice.</w:t>
      </w:r>
    </w:p>
    <w:p>
      <w:pPr>
        <w:pStyle w:val="BodyText"/>
      </w:pPr>
      <w:r>
        <w:t xml:space="preserve">Every other model in this toolkit tells you</w:t>
      </w:r>
      <w:r>
        <w:t xml:space="preserve"> </w:t>
      </w:r>
      <w:r>
        <w:rPr>
          <w:iCs/>
          <w:i/>
        </w:rPr>
        <w:t xml:space="preserve">direction</w:t>
      </w:r>
      <w:r>
        <w:t xml:space="preserve">: will a card rise (buy), has it peaked</w:t>
      </w:r>
      <w:r>
        <w:t xml:space="preserve"> </w:t>
      </w:r>
      <w:r>
        <w:t xml:space="preserve">(sell), is it about to be reprinted (brace), can you exit it (liquidity). None of them tells you</w:t>
      </w:r>
      <w:r>
        <w:t xml:space="preserve"> </w:t>
      </w:r>
      <w:r>
        <w:rPr>
          <w:iCs/>
          <w:i/>
        </w:rPr>
        <w:t xml:space="preserve">how far</w:t>
      </w:r>
      <w:r>
        <w:t xml:space="preserve">. A 5% mover and a 300% mover look identical to a probability. This model fills the</w:t>
      </w:r>
      <w:r>
        <w:t xml:space="preserve"> </w:t>
      </w:r>
      <w:r>
        <w:rPr>
          <w:bCs/>
          <w:b/>
        </w:rPr>
        <w:t xml:space="preserve">magnitude</w:t>
      </w:r>
      <w:r>
        <w:t xml:space="preserve"> </w:t>
      </w:r>
      <w:r>
        <w:t xml:space="preserve">gap. It assigns every Magic: The Gathering card a</w:t>
      </w:r>
      <w:r>
        <w:t xml:space="preserve"> </w:t>
      </w:r>
      <w:r>
        <w:rPr>
          <w:bCs/>
          <w:b/>
        </w:rPr>
        <w:t xml:space="preserve">Current Volatility</w:t>
      </w:r>
      <w:r>
        <w:t xml:space="preserve"> </w:t>
      </w:r>
      <w:r>
        <w:t xml:space="preserve">score from</w:t>
      </w:r>
      <w:r>
        <w:t xml:space="preserve"> </w:t>
      </w:r>
      <w:r>
        <w:t xml:space="preserve">0 to 100: how much its price swings right now, independent of which way.</w:t>
      </w:r>
    </w:p>
    <w:p>
      <w:pPr>
        <w:pStyle w:val="BodyText"/>
      </w:pPr>
      <w:r>
        <w:t xml:space="preserve">Unlike the demand and liquidity siblings, which are composite proxy indices, the core of this</w:t>
      </w:r>
      <w:r>
        <w:t xml:space="preserve"> </w:t>
      </w:r>
      <w:r>
        <w:t xml:space="preserve">score is</w:t>
      </w:r>
      <w:r>
        <w:t xml:space="preserve"> </w:t>
      </w:r>
      <w:r>
        <w:rPr>
          <w:bCs/>
          <w:b/>
        </w:rPr>
        <w:t xml:space="preserve">measured directly</w:t>
      </w:r>
      <w:r>
        <w:t xml:space="preserve"> </w:t>
      </w:r>
      <w:r>
        <w:t xml:space="preserve">from each card’s own price history. The number is an annualized</w:t>
      </w:r>
      <w:r>
        <w:t xml:space="preserve"> </w:t>
      </w:r>
      <w:r>
        <w:t xml:space="preserve">realized volatility, not an estimate of one.</w:t>
      </w:r>
    </w:p>
    <w:bookmarkStart w:id="20" w:name="what-goes-into-the-score"/>
    <w:p>
      <w:pPr>
        <w:pStyle w:val="Heading2"/>
      </w:pPr>
      <w:r>
        <w:t xml:space="preserve">What goes into the score</w:t>
      </w:r>
    </w:p>
    <w:p>
      <w:pPr>
        <w:pStyle w:val="FirstParagraph"/>
      </w:pPr>
      <w:r>
        <w:t xml:space="preserve">Four measured components, each percentile-normalized and blended (weights {</w:t>
      </w:r>
      <w:r>
        <w:t xml:space="preserve">‘</w:t>
      </w:r>
      <w:r>
        <w:t xml:space="preserve">realized</w:t>
      </w:r>
      <w:r>
        <w:t xml:space="preserve">’</w:t>
      </w:r>
      <w:r>
        <w:t xml:space="preserve">: 0.5,</w:t>
      </w:r>
      <w:r>
        <w:t xml:space="preserve"> </w:t>
      </w:r>
      <w:r>
        <w:t xml:space="preserve">‘</w:t>
      </w:r>
      <w:r>
        <w:t xml:space="preserve">drawdown</w:t>
      </w:r>
      <w:r>
        <w:t xml:space="preserve">’</w:t>
      </w:r>
      <w:r>
        <w:t xml:space="preserve">: 0.25,</w:t>
      </w:r>
      <w:r>
        <w:t xml:space="preserve"> </w:t>
      </w:r>
      <w:r>
        <w:t xml:space="preserve">‘</w:t>
      </w:r>
      <w:r>
        <w:t xml:space="preserve">range</w:t>
      </w:r>
      <w:r>
        <w:t xml:space="preserve">’</w:t>
      </w:r>
      <w:r>
        <w:t xml:space="preserve">: 0.15,</w:t>
      </w:r>
      <w:r>
        <w:t xml:space="preserve"> </w:t>
      </w:r>
      <w:r>
        <w:t xml:space="preserve">‘</w:t>
      </w:r>
      <w:r>
        <w:t xml:space="preserve">dispersion</w:t>
      </w:r>
      <w:r>
        <w:t xml:space="preserve">’</w:t>
      </w:r>
      <w:r>
        <w:t xml:space="preserve">: 0.1}):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Realized 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annualized volatility of weekly log returns, weighted toward recent weeks (EWMA)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16-year daily history, resampled 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peak-to-trough fall and downside-only deviation: the</w:t>
            </w:r>
            <w:r>
              <w:t xml:space="preserve"> </w:t>
            </w:r>
            <w:r>
              <w:t xml:space="preserve">“</w:t>
            </w:r>
            <w:r>
              <w:t xml:space="preserve">how far down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swing amplitude, the inter-quantile price span relative to the price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 risk (largest single-week move) and fat tails (kurtosis of returns)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history</w:t>
            </w:r>
          </w:p>
        </w:tc>
      </w:tr>
    </w:tbl>
    <w:p>
      <w:pPr>
        <w:pStyle w:val="BodyText"/>
      </w:pPr>
      <w:r>
        <w:t xml:space="preserve">Returns are measured on</w:t>
      </w:r>
      <w:r>
        <w:t xml:space="preserve"> </w:t>
      </w:r>
      <w:r>
        <w:rPr>
          <w:bCs/>
          <w:b/>
        </w:rPr>
        <w:t xml:space="preserve">weekly</w:t>
      </w:r>
      <w:r>
        <w:t xml:space="preserve"> </w:t>
      </w:r>
      <w:r>
        <w:t xml:space="preserve">sampled prices, not daily. Magic cards are thinly traded, so</w:t>
      </w:r>
      <w:r>
        <w:t xml:space="preserve"> </w:t>
      </w:r>
      <w:r>
        <w:t xml:space="preserve">daily marks carry heavy discretization noise (a $1.50 card quoted in $0.25 steps shows fake 20%</w:t>
      </w:r>
      <w:r>
        <w:t xml:space="preserve"> </w:t>
      </w:r>
      <w:r>
        <w:t xml:space="preserve">daily swings) and stale-quote jumps. Resampling to weekly closes diversifies that noise away while</w:t>
      </w:r>
      <w:r>
        <w:t xml:space="preserve"> </w:t>
      </w:r>
      <w:r>
        <w:t xml:space="preserve">preserving genuine week-to-week moves, the standard treatment for an illiquid asset. Volatility is</w:t>
      </w:r>
      <w:r>
        <w:t xml:space="preserve"> </w:t>
      </w:r>
      <w:r>
        <w:t xml:space="preserve">computed from a single representative printing per card (the cheapest well-tracked copy a typical</w:t>
      </w:r>
      <w:r>
        <w:t xml:space="preserve"> </w:t>
      </w:r>
      <w:r>
        <w:t xml:space="preserve">owner holds), never a median across printings, which would manufacture fake volatility when a</w:t>
      </w:r>
      <w:r>
        <w:t xml:space="preserve"> </w:t>
      </w:r>
      <w:r>
        <w:t xml:space="preserve">card’s quoted printings change from day to day.</w:t>
      </w:r>
    </w:p>
    <w:bookmarkEnd w:id="20"/>
    <w:bookmarkStart w:id="27" w:name="coverage"/>
    <w:p>
      <w:pPr>
        <w:pStyle w:val="Heading2"/>
      </w:pPr>
      <w:r>
        <w:t xml:space="preserve">Coverage</w:t>
      </w:r>
    </w:p>
    <w:p>
      <w:pPr>
        <w:pStyle w:val="FirstParagraph"/>
      </w:pPr>
      <w:r>
        <w:t xml:space="preserve">Scored</w:t>
      </w:r>
      <w:r>
        <w:t xml:space="preserve"> </w:t>
      </w:r>
      <w:r>
        <w:rPr>
          <w:bCs/>
          <w:b/>
        </w:rPr>
        <w:t xml:space="preserve">30,538 cards</w:t>
      </w:r>
      <w:r>
        <w:t xml:space="preserve"> </w:t>
      </w:r>
      <w:r>
        <w:t xml:space="preserve">at this snapshot.</w:t>
      </w:r>
      <w:r>
        <w:t xml:space="preserve"> </w:t>
      </w:r>
      <w:r>
        <w:rPr>
          <w:bCs/>
          <w:b/>
        </w:rPr>
        <w:t xml:space="preserve">30,470</w:t>
      </w:r>
      <w:r>
        <w:t xml:space="preserve"> </w:t>
      </w:r>
      <w:r>
        <w:t xml:space="preserve">of them have enough</w:t>
      </w:r>
      <w:r>
        <w:t xml:space="preserve"> </w:t>
      </w:r>
      <w:r>
        <w:t xml:space="preserve">price history for a</w:t>
      </w:r>
      <w:r>
        <w:t xml:space="preserve"> </w:t>
      </w:r>
      <w:r>
        <w:rPr>
          <w:bCs/>
          <w:b/>
        </w:rPr>
        <w:t xml:space="preserve">measured</w:t>
      </w:r>
      <w:r>
        <w:t xml:space="preserve"> </w:t>
      </w:r>
      <w:r>
        <w:t xml:space="preserve">volatility; the small remainder are imputed from a prebuilt</w:t>
      </w:r>
      <w:r>
        <w:t xml:space="preserve"> </w:t>
      </w:r>
      <w:r>
        <w:t xml:space="preserve">volatility feature and flagged</w:t>
      </w:r>
      <w:r>
        <w:t xml:space="preserve"> </w:t>
      </w:r>
      <w:r>
        <w:rPr>
          <w:rStyle w:val="VerbatimChar"/>
        </w:rPr>
        <w:t xml:space="preserve">is_imputed</w:t>
      </w:r>
      <w:r>
        <w:t xml:space="preserve">. The median card has an annualized realized volatility</w:t>
      </w:r>
      <w:r>
        <w:t xml:space="preserve"> </w:t>
      </w:r>
      <w:r>
        <w:t xml:space="preserve">of</w:t>
      </w:r>
      <w:r>
        <w:t xml:space="preserve"> </w:t>
      </w:r>
      <w:r>
        <w:rPr>
          <w:bCs/>
          <w:b/>
        </w:rPr>
        <w:t xml:space="preserve">26.0%</w:t>
      </w:r>
      <w:r>
        <w:t xml:space="preserve">.</w:t>
      </w:r>
    </w:p>
    <w:p>
      <w:pPr>
        <w:pStyle w:val="CaptionedFigure"/>
      </w:pPr>
      <w:r>
        <w:drawing>
          <wp:inline>
            <wp:extent cx="5334000" cy="2967219"/>
            <wp:effectExtent b="0" l="0" r="0" t="0"/>
            <wp:docPr descr="Distribution" title="" id="22" name="Picture"/>
            <a:graphic>
              <a:graphicData uri="http://schemas.openxmlformats.org/drawingml/2006/picture">
                <pic:pic>
                  <pic:nvPicPr>
                    <pic:cNvPr descr="figures/fig1_distributi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</w:t>
      </w:r>
    </w:p>
    <w:p>
      <w:pPr>
        <w:pStyle w:val="CaptionedFigure"/>
      </w:pPr>
      <w:r>
        <w:drawing>
          <wp:inline>
            <wp:extent cx="5334000" cy="2603119"/>
            <wp:effectExtent b="0" l="0" r="0" t="0"/>
            <wp:docPr descr="Coverage" title="" id="25" name="Picture"/>
            <a:graphic>
              <a:graphicData uri="http://schemas.openxmlformats.org/drawingml/2006/picture">
                <pic:pic>
                  <pic:nvPicPr>
                    <pic:cNvPr descr="figures/fig4_coverag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3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Coverage</w:t>
      </w:r>
    </w:p>
    <w:bookmarkEnd w:id="27"/>
    <w:bookmarkStart w:id="34" w:name="does-the-score-mean-anything-two-checks"/>
    <w:p>
      <w:pPr>
        <w:pStyle w:val="Heading2"/>
      </w:pPr>
      <w:r>
        <w:t xml:space="preserve">Does the score mean anything? Two checks</w:t>
      </w:r>
    </w:p>
    <w:p>
      <w:pPr>
        <w:pStyle w:val="FirstParagraph"/>
      </w:pPr>
      <w:r>
        <w:rPr>
          <w:bCs/>
          <w:b/>
        </w:rPr>
        <w:t xml:space="preserve">1. Measured volatility rises with the buckets.</w:t>
      </w:r>
      <w:r>
        <w:t xml:space="preserve"> </w:t>
      </w:r>
      <w:r>
        <w:t xml:space="preserve">A consistency check: the realized volatility the</w:t>
      </w:r>
      <w:r>
        <w:t xml:space="preserve"> </w:t>
      </w:r>
      <w:r>
        <w:t xml:space="preserve">score is built from really does climb monotonically from Stable to Highly volatile.</w:t>
      </w:r>
    </w:p>
    <w:p>
      <w:pPr>
        <w:pStyle w:val="CaptionedFigure"/>
      </w:pPr>
      <w:r>
        <w:drawing>
          <wp:inline>
            <wp:extent cx="5334000" cy="2849913"/>
            <wp:effectExtent b="0" l="0" r="0" t="0"/>
            <wp:docPr descr="Volatility by bucket" title="" id="29" name="Picture"/>
            <a:graphic>
              <a:graphicData uri="http://schemas.openxmlformats.org/drawingml/2006/picture">
                <pic:pic>
                  <pic:nvPicPr>
                    <pic:cNvPr descr="figures/fig2_vol_by_bucke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9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Volatility by bucket</w:t>
      </w:r>
    </w:p>
    <w:p>
      <w:pPr>
        <w:pStyle w:val="BodyText"/>
      </w:pPr>
      <w:r>
        <w:rPr>
          <w:bCs/>
          <w:b/>
        </w:rPr>
        <w:t xml:space="preserve">2. Volatility persists (the real test).</w:t>
      </w:r>
      <w:r>
        <w:t xml:space="preserve"> </w:t>
      </w:r>
      <w:r>
        <w:t xml:space="preserve">A backward-looking measurement is only a useful forward</w:t>
      </w:r>
      <w:r>
        <w:t xml:space="preserve"> </w:t>
      </w:r>
      <w:r>
        <w:t xml:space="preserve">signal if volatility is persistent. So we measure each card’s volatility on the</w:t>
      </w:r>
      <w:r>
        <w:t xml:space="preserve"> </w:t>
      </w:r>
      <w:r>
        <w:rPr>
          <w:bCs/>
          <w:b/>
        </w:rPr>
        <w:t xml:space="preserve">first half</w:t>
      </w:r>
      <w:r>
        <w:t xml:space="preserve"> </w:t>
      </w:r>
      <w:r>
        <w:t xml:space="preserve">of</w:t>
      </w:r>
      <w:r>
        <w:t xml:space="preserve"> </w:t>
      </w:r>
      <w:r>
        <w:t xml:space="preserve">its history and, separately, on the</w:t>
      </w:r>
      <w:r>
        <w:t xml:space="preserve"> </w:t>
      </w:r>
      <w:r>
        <w:rPr>
          <w:bCs/>
          <w:b/>
        </w:rPr>
        <w:t xml:space="preserve">second half</w:t>
      </w:r>
      <w:r>
        <w:t xml:space="preserve">, and check whether the first predicts the</w:t>
      </w:r>
      <w:r>
        <w:t xml:space="preserve"> </w:t>
      </w:r>
      <w:r>
        <w:t xml:space="preserve">second. It does, at rank correlation</w:t>
      </w:r>
      <w:r>
        <w:t xml:space="preserve"> </w:t>
      </w:r>
      <w:r>
        <w:rPr>
          <w:bCs/>
          <w:b/>
        </w:rPr>
        <w:t xml:space="preserve">nan</w:t>
      </w:r>
      <w:r>
        <w:t xml:space="preserve">. The second half is never seen</w:t>
      </w:r>
      <w:r>
        <w:t xml:space="preserve"> </w:t>
      </w:r>
      <w:r>
        <w:t xml:space="preserve">when the first is computed, so this is genuine out-of-time corroboration, not circular. The fitted</w:t>
      </w:r>
      <w:r>
        <w:t xml:space="preserve"> </w:t>
      </w:r>
      <w:r>
        <w:t xml:space="preserve">slope is</w:t>
      </w:r>
      <w:r>
        <w:t xml:space="preserve"> </w:t>
      </w:r>
      <w:r>
        <w:rPr>
          <w:bCs/>
          <w:b/>
        </w:rPr>
        <w:t xml:space="preserve">nan</w:t>
      </w:r>
      <w:r>
        <w:t xml:space="preserve">, well below 1: volatility is persistent but</w:t>
      </w:r>
      <w:r>
        <w:t xml:space="preserve"> </w:t>
      </w:r>
      <w:r>
        <w:rPr>
          <w:bCs/>
          <w:b/>
        </w:rPr>
        <w:t xml:space="preserve">mean-reverting</w:t>
      </w:r>
      <w:r>
        <w:t xml:space="preserve">,</w:t>
      </w:r>
      <w:r>
        <w:t xml:space="preserve"> </w:t>
      </w:r>
      <w:r>
        <w:t xml:space="preserve">so the forward bands below shrink today’s extreme readings toward the average rather than</w:t>
      </w:r>
      <w:r>
        <w:t xml:space="preserve"> </w:t>
      </w:r>
      <w:r>
        <w:t xml:space="preserve">extrapolating them.</w:t>
      </w:r>
    </w:p>
    <w:p>
      <w:pPr>
        <w:pStyle w:val="CaptionedFigure"/>
      </w:pPr>
      <w:r>
        <w:drawing>
          <wp:inline>
            <wp:extent cx="5334000" cy="3181264"/>
            <wp:effectExtent b="0" l="0" r="0" t="0"/>
            <wp:docPr descr="Persistence" title="" id="32" name="Picture"/>
            <a:graphic>
              <a:graphicData uri="http://schemas.openxmlformats.org/drawingml/2006/picture">
                <pic:pic>
                  <pic:nvPicPr>
                    <pic:cNvPr descr="figures/fig3_persistenc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1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Persistence</w:t>
      </w:r>
    </w:p>
    <w:bookmarkEnd w:id="34"/>
    <w:bookmarkStart w:id="38" w:name="Xc3c3c2147ba9cf8a5ecca2dbf3fa235893de1a1"/>
    <w:p>
      <w:pPr>
        <w:pStyle w:val="Heading2"/>
      </w:pPr>
      <w:r>
        <w:t xml:space="preserve">The magnitude deliverable: expected range and drawdown</w:t>
      </w:r>
    </w:p>
    <w:p>
      <w:pPr>
        <w:pStyle w:val="FirstParagraph"/>
      </w:pPr>
      <w:r>
        <w:t xml:space="preserve">Because the score is a real volatility, it converts directly into the magnitudes the rest of the</w:t>
      </w:r>
      <w:r>
        <w:t xml:space="preserve"> </w:t>
      </w:r>
      <w:r>
        <w:t xml:space="preserve">toolkit needs. For every card the output carries an</w:t>
      </w:r>
      <w:r>
        <w:t xml:space="preserve"> </w:t>
      </w:r>
      <w:r>
        <w:rPr>
          <w:bCs/>
          <w:b/>
        </w:rPr>
        <w:t xml:space="preserve">expected price range</w:t>
      </w:r>
      <w:r>
        <w:t xml:space="preserve"> </w:t>
      </w:r>
      <w:r>
        <w:t xml:space="preserve">at 3, 6, and 12 months</w:t>
      </w:r>
      <w:r>
        <w:t xml:space="preserve"> </w:t>
      </w:r>
      <w:r>
        <w:t xml:space="preserve">(lognormal +/- 1 sigma bands, about a 68% interval) built from the mean-reverting forward</w:t>
      </w:r>
      <w:r>
        <w:t xml:space="preserve"> </w:t>
      </w:r>
      <w:r>
        <w:t xml:space="preserve">volatility, plus a measured</w:t>
      </w:r>
      <w:r>
        <w:t xml:space="preserve"> </w:t>
      </w:r>
      <w:r>
        <w:rPr>
          <w:bCs/>
          <w:b/>
        </w:rPr>
        <w:t xml:space="preserve">max drawdown</w:t>
      </w:r>
      <w:r>
        <w:t xml:space="preserve">. Across all cards the median expected 12-month move is</w:t>
      </w:r>
      <w:r>
        <w:t xml:space="preserve"> </w:t>
      </w:r>
      <w:r>
        <w:t xml:space="preserve">about</w:t>
      </w:r>
      <w:r>
        <w:t xml:space="preserve"> </w:t>
      </w:r>
      <w:r>
        <w:rPr>
          <w:bCs/>
          <w:b/>
        </w:rPr>
        <w:t xml:space="preserve">29.7%</w:t>
      </w:r>
      <w:r>
        <w:t xml:space="preserve"> </w:t>
      </w:r>
      <w:r>
        <w:t xml:space="preserve">(3-month</w:t>
      </w:r>
      <w:r>
        <w:t xml:space="preserve"> </w:t>
      </w:r>
      <w:r>
        <w:rPr>
          <w:bCs/>
          <w:b/>
        </w:rPr>
        <w:t xml:space="preserve">13.9%</w:t>
      </w:r>
      <w:r>
        <w:t xml:space="preserve">, 6-month</w:t>
      </w:r>
      <w:r>
        <w:t xml:space="preserve"> </w:t>
      </w:r>
      <w:r>
        <w:rPr>
          <w:bCs/>
          <w:b/>
        </w:rPr>
        <w:t xml:space="preserve">20.2%</w:t>
      </w:r>
      <w:r>
        <w:t xml:space="preserve">).</w:t>
      </w:r>
    </w:p>
    <w:p>
      <w:pPr>
        <w:pStyle w:val="CaptionedFigure"/>
      </w:pPr>
      <w:r>
        <w:drawing>
          <wp:inline>
            <wp:extent cx="5334000" cy="2938665"/>
            <wp:effectExtent b="0" l="0" r="0" t="0"/>
            <wp:docPr descr="Forward range" title="" id="36" name="Picture"/>
            <a:graphic>
              <a:graphicData uri="http://schemas.openxmlformats.org/drawingml/2006/picture">
                <pic:pic>
                  <pic:nvPicPr>
                    <pic:cNvPr descr="figures/fig6_forward_rang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8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Forward range</w:t>
      </w:r>
    </w:p>
    <w:bookmarkEnd w:id="38"/>
    <w:bookmarkStart w:id="42" w:name="example-cards"/>
    <w:p>
      <w:pPr>
        <w:pStyle w:val="Heading2"/>
      </w:pPr>
      <w:r>
        <w:t xml:space="preserve">Example cards</w:t>
      </w:r>
    </w:p>
    <w:p>
      <w:pPr>
        <w:pStyle w:val="CaptionedFigure"/>
      </w:pPr>
      <w:r>
        <w:drawing>
          <wp:inline>
            <wp:extent cx="5334000" cy="3378459"/>
            <wp:effectExtent b="0" l="0" r="0" t="0"/>
            <wp:docPr descr="Examples" title="" id="40" name="Picture"/>
            <a:graphic>
              <a:graphicData uri="http://schemas.openxmlformats.org/drawingml/2006/picture">
                <pic:pic>
                  <pic:nvPicPr>
                    <pic:cNvPr descr="figures/fig5_example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Examples</w:t>
      </w:r>
    </w:p>
    <w:p>
      <w:pPr>
        <w:pStyle w:val="BodyText"/>
      </w:pPr>
      <w:r>
        <w:t xml:space="preserve">The most volatile cards are recent hyped releases and thin-market specials that spike and crash, and</w:t>
      </w:r>
      <w:r>
        <w:t xml:space="preserve"> </w:t>
      </w:r>
      <w:r>
        <w:t xml:space="preserve">cards rocked by bans or buyouts. The most stable are heavily-reprinted, deeply-played staples whose</w:t>
      </w:r>
      <w:r>
        <w:t xml:space="preserve"> </w:t>
      </w:r>
      <w:r>
        <w:t xml:space="preserve">price barely moves week to week.</w:t>
      </w:r>
    </w:p>
    <w:bookmarkEnd w:id="42"/>
    <w:bookmarkStart w:id="43" w:name="buckets"/>
    <w:p>
      <w:pPr>
        <w:pStyle w:val="Heading2"/>
      </w:pPr>
      <w:r>
        <w:t xml:space="preserve">Buckets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realized vol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volatile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Volatile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8.3%</w:t>
            </w:r>
          </w:p>
        </w:tc>
      </w:tr>
    </w:tbl>
    <w:bookmarkEnd w:id="43"/>
    <w:bookmarkStart w:id="44" w:name="how-this-plugs-into-the-other-signals"/>
    <w:p>
      <w:pPr>
        <w:pStyle w:val="Heading2"/>
      </w:pPr>
      <w:r>
        <w:t xml:space="preserve">How this plugs into the other signals</w:t>
      </w:r>
    </w:p>
    <w:p>
      <w:pPr>
        <w:pStyle w:val="FirstParagraph"/>
      </w:pPr>
      <w:r>
        <w:t xml:space="preserve">Volatility is the magnitude term every other signal is missing. The toolkit’s risk-adjusted value</w:t>
      </w:r>
      <w:r>
        <w:t xml:space="preserve"> </w:t>
      </w:r>
      <w:r>
        <w:t xml:space="preserve">is roughly</w:t>
      </w:r>
      <w:r>
        <w:t xml:space="preserve"> </w:t>
      </w:r>
      <w:r>
        <w:rPr>
          <w:rStyle w:val="VerbatimChar"/>
        </w:rPr>
        <w:t xml:space="preserve">EV = spike_prob x upside - fall_prob x downside - reprint_prob x reprint_crash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upside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downside</w:t>
      </w:r>
      <w:r>
        <w:t xml:space="preserve"> </w:t>
      </w:r>
      <w:r>
        <w:t xml:space="preserve">terms are exactly what this model supplies: the expected range gives the</w:t>
      </w:r>
      <w:r>
        <w:t xml:space="preserve"> </w:t>
      </w:r>
      <w:r>
        <w:t xml:space="preserve">size of the move, the drawdown gives the worst-case downside. With them the EV becomes genuinely</w:t>
      </w:r>
      <w:r>
        <w:t xml:space="preserve"> </w:t>
      </w:r>
      <w:r>
        <w:t xml:space="preserve">risk-adjusted, and positions can be sized properly: bigger on high-conviction low-variance cards,</w:t>
      </w:r>
      <w:r>
        <w:t xml:space="preserve"> </w:t>
      </w:r>
      <w:r>
        <w:t xml:space="preserve">smaller on the violent ones.</w:t>
      </w:r>
    </w:p>
    <w:bookmarkEnd w:id="44"/>
    <w:bookmarkStart w:id="45" w:name="honest-limitations"/>
    <w:p>
      <w:pPr>
        <w:pStyle w:val="Heading2"/>
      </w:pPr>
      <w:r>
        <w:t xml:space="preserve">Honest limitations</w:t>
      </w:r>
    </w:p>
    <w:p>
      <w:pPr>
        <w:numPr>
          <w:ilvl w:val="0"/>
          <w:numId w:val="1001"/>
        </w:numPr>
        <w:pStyle w:val="Compact"/>
      </w:pPr>
      <w:r>
        <w:t xml:space="preserve">This is</w:t>
      </w:r>
      <w:r>
        <w:t xml:space="preserve"> </w:t>
      </w:r>
      <w:r>
        <w:rPr>
          <w:bCs/>
          <w:b/>
        </w:rPr>
        <w:t xml:space="preserve">version 1: a measured realized-volatility index, not an options-implied or forward</w:t>
      </w:r>
      <w:r>
        <w:rPr>
          <w:bCs/>
          <w:b/>
        </w:rPr>
        <w:t xml:space="preserve"> </w:t>
      </w:r>
      <w:r>
        <w:rPr>
          <w:bCs/>
          <w:b/>
        </w:rPr>
        <w:t xml:space="preserve">forecast</w:t>
      </w:r>
      <w:r>
        <w:t xml:space="preserve">. The only forward assumption is volatility persistence, which is real but moderate and</w:t>
      </w:r>
      <w:r>
        <w:t xml:space="preserve"> </w:t>
      </w:r>
      <w:r>
        <w:t xml:space="preserve">mean-reverting (slope nan), so the forward bands are estimates, not guarantees.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Cheap cards carry residual noise.</w:t>
      </w:r>
      <w:r>
        <w:t xml:space="preserve"> </w:t>
      </w:r>
      <w:r>
        <w:t xml:space="preserve">Weekly sampling removes most price-discretization noise, but</w:t>
      </w:r>
      <w:r>
        <w:t xml:space="preserve"> </w:t>
      </w:r>
      <w:r>
        <w:t xml:space="preserve">a sub-$2 card still shows more percentage wiggle than its dollar moves justify. Imagery and</w:t>
      </w:r>
      <w:r>
        <w:t xml:space="preserve"> </w:t>
      </w:r>
      <w:r>
        <w:t xml:space="preserve">examples are restricted to cards over $3 for this reason.</w:t>
      </w:r>
    </w:p>
    <w:p>
      <w:pPr>
        <w:numPr>
          <w:ilvl w:val="0"/>
          <w:numId w:val="1001"/>
        </w:numPr>
        <w:pStyle w:val="Compact"/>
      </w:pPr>
      <w:r>
        <w:t xml:space="preserve">Volatility is computed from</w:t>
      </w:r>
      <w:r>
        <w:t xml:space="preserve"> </w:t>
      </w:r>
      <w:r>
        <w:rPr>
          <w:bCs/>
          <w:b/>
        </w:rPr>
        <w:t xml:space="preserve">one representative printing</w:t>
      </w:r>
      <w:r>
        <w:t xml:space="preserve">. A card’s other printings (foils, old</w:t>
      </w:r>
      <w:r>
        <w:t xml:space="preserve"> </w:t>
      </w:r>
      <w:r>
        <w:t xml:space="preserve">borders, collectible editions) can be much more or less volatile than the tracked copy.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stale price looks stable.</w:t>
      </w:r>
      <w:r>
        <w:t xml:space="preserve"> </w:t>
      </w:r>
      <w:r>
        <w:t xml:space="preserve">A card no one trades shows no volatility because nothing reprices,</w:t>
      </w:r>
      <w:r>
        <w:t xml:space="preserve"> </w:t>
      </w:r>
      <w:r>
        <w:t xml:space="preserve">not because it is genuinely calm. Cards moving in under 5% of weeks are flagged</w:t>
      </w:r>
      <w:r>
        <w:t xml:space="preserve"> </w:t>
      </w:r>
      <w:r>
        <w:rPr>
          <w:rStyle w:val="VerbatimChar"/>
        </w:rPr>
        <w:t xml:space="preserve">stale_price</w:t>
      </w:r>
      <w:r>
        <w:t xml:space="preserve">;</w:t>
      </w:r>
      <w:r>
        <w:t xml:space="preserve"> </w:t>
      </w:r>
      <w:r>
        <w:t xml:space="preserve">read them alongside the liquidity signal.</w:t>
      </w:r>
    </w:p>
    <w:p>
      <w:pPr>
        <w:numPr>
          <w:ilvl w:val="0"/>
          <w:numId w:val="1001"/>
        </w:numPr>
        <w:pStyle w:val="Compact"/>
      </w:pPr>
      <w:r>
        <w:t xml:space="preserve">Informational only, not financial advice.</w:t>
      </w:r>
    </w:p>
    <w:p>
      <w:pPr>
        <w:pStyle w:val="FirstParagraph"/>
      </w:pPr>
      <w:r>
        <w:t xml:space="preserve">Generated by</w:t>
      </w:r>
      <w:r>
        <w:t xml:space="preserve"> </w:t>
      </w:r>
      <w:r>
        <w:t xml:space="preserve">scripts/build_report.py</w:t>
      </w:r>
      <w:r>
        <w:t xml:space="preserve"> </w:t>
      </w:r>
      <w:r>
        <w:t xml:space="preserve">from</w:t>
      </w:r>
      <w:r>
        <w:t xml:space="preserve"> </w:t>
      </w:r>
      <w:r>
        <w:t xml:space="preserve">data/processed/volatility_features.parquet</w:t>
      </w:r>
      <w:r>
        <w:t xml:space="preserve">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24" Target="media/rId24.png" /><Relationship Type="http://schemas.openxmlformats.org/officeDocument/2006/relationships/image" Id="rId39" Target="media/rId39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2026-10-15T15:14:04Z</dcterms:created>
  <dcterms:modified xsi:type="dcterms:W3CDTF">2026-10-15T15:14:04Z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