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2026-09-25.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25.6%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579946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99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29.2%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13.6%</w:t>
      </w:r>
      <w:r>
        <w:t xml:space="preserve">, 6-month</w:t>
      </w:r>
      <w:r>
        <w:t xml:space="preserve"> </w:t>
      </w:r>
      <w:r>
        <w:rPr>
          <w:bCs/>
          <w:b/>
        </w:rPr>
        <w:t xml:space="preserve">19.8%</w:t>
      </w:r>
      <w:r>
        <w:t xml:space="preserve">).</w:t>
      </w:r>
    </w:p>
    <w:p>
      <w:pPr>
        <w:pStyle w:val="CaptionedFigure"/>
      </w:pPr>
      <w:r>
        <w:drawing>
          <wp:inline>
            <wp:extent cx="5334000" cy="2967922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9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2026-09-28T11:10:16Z</dcterms:created>
  <dcterms:modified xsi:type="dcterms:W3CDTF">2026-09-28T11:10:16Z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