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2026-10-07.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30,471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25.8%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nan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29.5%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13.8%</w:t>
      </w:r>
      <w:r>
        <w:t xml:space="preserve">, 6-month</w:t>
      </w:r>
      <w:r>
        <w:t xml:space="preserve"> </w:t>
      </w:r>
      <w:r>
        <w:rPr>
          <w:bCs/>
          <w:b/>
        </w:rPr>
        <w:t xml:space="preserve">20.0%</w:t>
      </w:r>
      <w:r>
        <w:t xml:space="preserve">).</w:t>
      </w:r>
    </w:p>
    <w:p>
      <w:pPr>
        <w:pStyle w:val="CaptionedFigure"/>
      </w:pPr>
      <w:r>
        <w:drawing>
          <wp:inline>
            <wp:extent cx="5334000" cy="3007849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7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9,582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9,227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5,966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8.3%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2026-10-08T05:45:06Z</dcterms:created>
  <dcterms:modified xsi:type="dcterms:W3CDTF">2026-10-08T05:45:06Z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