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2026-06-17.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26.2%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0.474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30.0%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14.0%</w:t>
      </w:r>
      <w:r>
        <w:t xml:space="preserve">, 6-month</w:t>
      </w:r>
      <w:r>
        <w:t xml:space="preserve"> </w:t>
      </w:r>
      <w:r>
        <w:rPr>
          <w:bCs/>
          <w:b/>
        </w:rPr>
        <w:t xml:space="preserve">20.3%</w:t>
      </w:r>
      <w:r>
        <w:t xml:space="preserve">).</w:t>
      </w:r>
    </w:p>
    <w:p>
      <w:pPr>
        <w:pStyle w:val="CaptionedFigure"/>
      </w:pPr>
      <w:r>
        <w:drawing>
          <wp:inline>
            <wp:extent cx="5334000" cy="300784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7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5,698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66.3%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9,665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8.8%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2026-06-17T11:19:34Z</dcterms:created>
  <dcterms:modified xsi:type="dcterms:W3CDTF">2026-06-17T11:19:34Z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