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2026-09-14.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25.9%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29.6%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13.8%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20.1%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2026-09-16T02:01:08Z</dcterms:created>
  <dcterms:modified xsi:type="dcterms:W3CDTF">2026-09-16T02:01:08Z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