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2026-06-14.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26.1%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0.479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0.158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40.5%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18.5%</w:t>
      </w:r>
      <w:r>
        <w:t xml:space="preserve">, 6-month</w:t>
      </w:r>
      <w:r>
        <w:t xml:space="preserve"> </w:t>
      </w:r>
      <w:r>
        <w:rPr>
          <w:bCs/>
          <w:b/>
        </w:rPr>
        <w:t xml:space="preserve">27.2%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784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7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5,632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9,626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0.158),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2026-06-14T13:03:35Z</dcterms:created>
  <dcterms:modified xsi:type="dcterms:W3CDTF">2026-06-14T13:03:35Z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