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2026-06-14.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26.1%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0.479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0.158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40.5%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18.5%</w:t>
      </w:r>
      <w:r>
        <w:t xml:space="preserve">, 6-month</w:t>
      </w:r>
      <w:r>
        <w:t xml:space="preserve"> </w:t>
      </w:r>
      <w:r>
        <w:rPr>
          <w:bCs/>
          <w:b/>
        </w:rPr>
        <w:t xml:space="preserve">27.2%</w:t>
      </w:r>
      <w:r>
        <w:t xml:space="preserve">).</w:t>
      </w:r>
    </w:p>
    <w:p>
      <w:pPr>
        <w:pStyle w:val="CaptionedFigure"/>
      </w:pPr>
      <w:r>
        <w:drawing>
          <wp:inline>
            <wp:extent cx="5334000" cy="3007849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7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5,632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9,626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0.158),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2026-06-14T13:04:27Z</dcterms:created>
  <dcterms:modified xsi:type="dcterms:W3CDTF">2026-06-14T13:04:27Z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