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2026-08-21.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25.7%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29.4%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13.7%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20.0%</w:t>
      </w:r>
      <w:r>
        <w:t xml:space="preserve">).</w:t>
      </w:r>
    </w:p>
    <w:p>
      <w:pPr>
        <w:pStyle w:val="CaptionedFigure"/>
      </w:pPr>
      <w:r>
        <w:drawing>
          <wp:inline>
            <wp:extent cx="5334000" cy="297120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1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2026-08-22T23:44:31Z</dcterms:created>
  <dcterms:modified xsi:type="dcterms:W3CDTF">2026-08-22T23:44:31Z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