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color w:val="313233"/>
          <w:sz w:val="34"/>
          <w:szCs w:val="34"/>
          <w:rtl w:val="0"/>
        </w:rPr>
        <w:t xml:space="preserve">Try these apps from Oculus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British Museum (Boulevard)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seems very tricky to enter in the scene. Please take a look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how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Native American Museum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The Unknown Photographer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Douarnenez 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COLOSSE: A Story in Virtual 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Raven 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In.block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V.Art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ARTAAL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AVOlight.Space (Multi-Screen Media Player)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Red Bull Doodle Art - Global VR 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VR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color w:val="313233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color w:val="313233"/>
          <w:sz w:val="34"/>
          <w:szCs w:val="34"/>
          <w:rtl w:val="0"/>
        </w:rPr>
        <w:t xml:space="preserve">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Prep 1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5865"/>
        <w:tblGridChange w:id="0">
          <w:tblGrid>
            <w:gridCol w:w="3255"/>
            <w:gridCol w:w="586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 your best 3 apps from the above, and answer for the followings: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410"/>
        <w:tblGridChange w:id="0">
          <w:tblGrid>
            <w:gridCol w:w="1710"/>
            <w:gridCol w:w="741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App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to describe what this app is about.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good things about this app 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improvements to suggest.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of ideas how to apply to the goals of our stream.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410"/>
        <w:tblGridChange w:id="0">
          <w:tblGrid>
            <w:gridCol w:w="1710"/>
            <w:gridCol w:w="741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App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to describe what this app is about.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good things about this app 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improvements to suggest.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of ideas how to apply to the goals of our stream.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410"/>
        <w:tblGridChange w:id="0">
          <w:tblGrid>
            <w:gridCol w:w="1710"/>
            <w:gridCol w:w="741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App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to describe what this app is about.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good things about this app 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two or more</w:t>
            </w:r>
            <w:r w:rsidDel="00000000" w:rsidR="00000000" w:rsidRPr="00000000">
              <w:rPr>
                <w:rtl w:val="0"/>
              </w:rPr>
              <w:t xml:space="preserve"> improvements to suggest.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one/two</w:t>
            </w:r>
            <w:r w:rsidDel="00000000" w:rsidR="00000000" w:rsidRPr="00000000">
              <w:rPr>
                <w:rtl w:val="0"/>
              </w:rPr>
              <w:t xml:space="preserve"> sentence(s) of ideas how to apply to the goals of our stream.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­­­­­­­­­­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Lab Prep 1</w:t>
      <w:tab/>
      <w:tab/>
      <w:t xml:space="preserve"> </w:t>
      <w:tab/>
      <w:tab/>
      <w:tab/>
      <w:tab/>
      <w:tab/>
      <w:tab/>
      <w:t xml:space="preserve">   UMD FIRE170 Spring 2018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oculus.com/experiences/rift/1001270106613504/" TargetMode="External"/><Relationship Id="rId10" Type="http://schemas.openxmlformats.org/officeDocument/2006/relationships/hyperlink" Target="https://www.oculus.com/experiences/rift/1582165348500402/" TargetMode="External"/><Relationship Id="rId13" Type="http://schemas.openxmlformats.org/officeDocument/2006/relationships/hyperlink" Target="https://www.oculus.com/experiences/rift/954124114686124/" TargetMode="External"/><Relationship Id="rId12" Type="http://schemas.openxmlformats.org/officeDocument/2006/relationships/hyperlink" Target="https://www.oculus.com/experiences/rift/117307970273917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culus.com/experiences/rift/1518300411544900/" TargetMode="External"/><Relationship Id="rId15" Type="http://schemas.openxmlformats.org/officeDocument/2006/relationships/hyperlink" Target="https://www.oculus.com/experiences/rift/1325000794283821/" TargetMode="External"/><Relationship Id="rId14" Type="http://schemas.openxmlformats.org/officeDocument/2006/relationships/hyperlink" Target="https://www.oculus.com/experiences/rift/1127998673964713/" TargetMode="External"/><Relationship Id="rId17" Type="http://schemas.openxmlformats.org/officeDocument/2006/relationships/hyperlink" Target="https://www.oculus.com/experiences/rift/1174371059345457/" TargetMode="External"/><Relationship Id="rId16" Type="http://schemas.openxmlformats.org/officeDocument/2006/relationships/hyperlink" Target="https://www.oculus.com/experiences/rift/131306740537348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culus.com/experiences/rift/1432150526836829/" TargetMode="External"/><Relationship Id="rId6" Type="http://schemas.openxmlformats.org/officeDocument/2006/relationships/hyperlink" Target="https://www.oculus.com/experiences/rift/1177199742298383/" TargetMode="External"/><Relationship Id="rId18" Type="http://schemas.openxmlformats.org/officeDocument/2006/relationships/hyperlink" Target="https://www.oculus.com/experiences/rift/1769076079774153/" TargetMode="External"/><Relationship Id="rId7" Type="http://schemas.openxmlformats.org/officeDocument/2006/relationships/hyperlink" Target="https://forums.oculusvr.com/community/discussion/59057/blvrd-how-to" TargetMode="External"/><Relationship Id="rId8" Type="http://schemas.openxmlformats.org/officeDocument/2006/relationships/hyperlink" Target="https://www.oculus.com/experiences/rift/13689335031490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