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lhzlzspn2gis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dbaaq92867ip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ui6edsn5nzq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h1h5b2yol1z0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7l56at78ulz2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g20nvhrh308v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