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ПРИЈАВА ЗА ЗАШТИТУ ПРОНАЛАСКА</w:t>
      </w:r>
    </w:p>
    <w:p>
      <w:pPr>
        <w:spacing w:after="9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ПАТЕНТОМ</w:t>
      </w:r>
    </w:p>
    <w:p>
      <w:pPr>
        <w:spacing w:before="1440" w:after="480"/>
        <w:jc w:val="center"/>
      </w:pPr>
      <w:r>
        <w:rPr>
          <w:b/>
          <w:bCs/>
          <w:sz w:val="24"/>
          <w:szCs w:val="24"/>
        </w:rPr>
        <w:t xml:space="preserve">НАЗИВ ПРОНАЛАСКА:</w:t>
      </w:r>
    </w:p>
    <w:p>
      <w:pPr>
        <w:spacing w:after="14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МОДУЛАРНИ СИСТЕМИ ЗА НАПРЕДНЕ ЕНЕРГЕТСКЕ И РАЧУНАРСКЕ ТЕХНОЛОГИЈЕ</w:t>
      </w:r>
    </w:p>
    <w:p>
      <w:pPr>
        <w:spacing w:before="960" w:after="240"/>
        <w:jc w:val="left"/>
      </w:pPr>
      <w:r>
        <w:rPr>
          <w:b/>
          <w:bCs/>
          <w:sz w:val="24"/>
          <w:szCs w:val="24"/>
        </w:rPr>
        <w:t xml:space="preserve">Област технике: </w:t>
      </w:r>
      <w:r>
        <w:rPr>
          <w:sz w:val="24"/>
          <w:szCs w:val="24"/>
        </w:rPr>
        <w:t xml:space="preserve">Енергетика, физика честица, рачунарске технологије, аерокосмички системи</w:t>
      </w:r>
    </w:p>
    <w:p>
      <w:pPr>
        <w:spacing w:after="240"/>
        <w:jc w:val="left"/>
      </w:pPr>
      <w:r>
        <w:rPr>
          <w:b/>
          <w:bCs/>
          <w:sz w:val="24"/>
          <w:szCs w:val="24"/>
        </w:rPr>
        <w:t xml:space="preserve">Проналазач: </w:t>
      </w:r>
      <w:r>
        <w:rPr>
          <w:sz w:val="24"/>
          <w:szCs w:val="24"/>
        </w:rPr>
        <w:t xml:space="preserve">Aethyr Global</w:t>
      </w:r>
    </w:p>
    <w:p>
      <w:pPr>
        <w:spacing w:after="1440"/>
        <w:jc w:val="left"/>
      </w:pPr>
      <w:r>
        <w:rPr>
          <w:b/>
          <w:bCs/>
          <w:sz w:val="24"/>
          <w:szCs w:val="24"/>
        </w:rPr>
        <w:t xml:space="preserve">Датум подношења: </w:t>
      </w:r>
      <w:r>
        <w:rPr>
          <w:sz w:val="24"/>
          <w:szCs w:val="24"/>
        </w:rPr>
        <w:t xml:space="preserve">Фебруар 2026</w:t>
      </w:r>
    </w:p>
    <w:p>
      <w:r>
        <w:br/>
        <w:br/>
        <w:br/>
        <w:t xml:space="preserve"/>
      </w:r>
    </w:p>
    <w:p>
      <w:pPr>
        <w:pStyle w:val="Heading1"/>
        <w:pageBreakBefore/>
      </w:pPr>
      <w:r>
        <w:t xml:space="preserve">I. ОПИС ПРОНАЛАСКА</w:t>
      </w:r>
    </w:p>
    <w:p>
      <w:pPr>
        <w:pStyle w:val="Heading2"/>
      </w:pPr>
      <w:r>
        <w:t xml:space="preserve">1. Област технике на коју се проналазак односи</w:t>
      </w:r>
    </w:p>
    <w:p>
      <w:pPr>
        <w:spacing w:before="240" w:after="240"/>
        <w:jc w:val="both"/>
      </w:pPr>
      <w:r>
        <w:rPr>
          <w:sz w:val="24"/>
          <w:szCs w:val="24"/>
        </w:rPr>
        <w:t xml:space="preserve">Овај проналазак припада области напредних енергетских технологија, физике честица, рачунарства високих перформанси и аерокосмичких система. Конкретно, проналазак обухвата четири међусобно повезана технолошка система који заједно формирају јединствену проналаз ачку целину: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4"/>
          <w:szCs w:val="24"/>
        </w:rPr>
        <w:t xml:space="preserve">GIPPC (Global Industrial Positron Production Complex) - Модуларна производња антиматерије помоћу фотона коришћењем laser-wakefield акцелерације и наноструктурисаних високо-Z аерогел мета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4"/>
          <w:szCs w:val="24"/>
        </w:rPr>
        <w:t xml:space="preserve">ORRT (Orbital Radial Ring Tether) - Орбитални радијални прстенасти систем за генерисање енергије користећи тетер структуре и соларне панеле на LEO орбити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  <w:sz w:val="24"/>
          <w:szCs w:val="24"/>
        </w:rPr>
        <w:t xml:space="preserve">HST (Hierarchical Sparse Transformers) - Хијерархијски ретки трансформери за AI рачунање са редукцијом сложености attention механизма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sz w:val="24"/>
          <w:szCs w:val="24"/>
        </w:rPr>
        <w:t xml:space="preserve">CIAMTCS (Continuously Injected Angular Momentum Transmission Control System) - Систем за континуирану трансмисију угаоног момента у возилима</w:t>
      </w:r>
    </w:p>
    <w:p>
      <w:pPr>
        <w:spacing w:after="480"/>
        <w:jc w:val="both"/>
      </w:pPr>
      <w:r>
        <w:rPr>
          <w:sz w:val="24"/>
          <w:szCs w:val="24"/>
        </w:rPr>
        <w:t xml:space="preserve">Ови системи решавају фундаменталне техничке изазове у областима производње чисте енергије, примене антиматерије за научне и индустријске сврхе, ефикасности рачунарских система за обраду великих података и оптимизације трансмисије снаге у моторним возилима.</w:t>
      </w:r>
    </w:p>
    <w:p>
      <w:pPr>
        <w:pStyle w:val="Heading2"/>
        <w:pageBreakBefore/>
      </w:pPr>
      <w:r>
        <w:t xml:space="preserve">2. Технички проблем</w:t>
      </w:r>
    </w:p>
    <w:p>
      <w:pPr>
        <w:spacing w:before="240" w:after="240"/>
        <w:jc w:val="both"/>
      </w:pPr>
      <w:r>
        <w:rPr>
          <w:sz w:val="24"/>
          <w:szCs w:val="24"/>
        </w:rPr>
        <w:t xml:space="preserve">Савремена технологија суочава се са низом критичних ограничења у областима енергетике, производње антиматерије, рачунарства и аерокосмичких система. Овај проналазак адресира следеће техничке проблеме: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Проблем 1: Производња антиматерије</w:t>
      </w:r>
    </w:p>
    <w:p>
      <w:pPr>
        <w:spacing w:after="240"/>
        <w:jc w:val="both"/>
      </w:pPr>
      <w:r>
        <w:rPr>
          <w:sz w:val="24"/>
          <w:szCs w:val="24"/>
        </w:rPr>
        <w:t xml:space="preserve">Тренутна производња антиматерије користи велике акцелераторе честица (попут CERN-овог Antiproton Decelerator или SLAC позитронских извора) који захтевају мулти-километарске акцелераторске прстенове, TeV-scale енергије, капитална улагања која превазилазе $10 милијарди и производе само nanograms антиматерије годишње. Ефикасност конверзије енергије је екстремно ниска (&lt; 0.0001% net conversion), што чини производњу антиматерије економски неодрживом за индустријску примену. Додатно, архитектура circular accelerator-а захтева обимну подземну инфраструктуру, синхронизоване магнетне array-е, ultra-high vacuum системе који се протежу километрима и collision енергије далеко изнад pair-production threshold-а, при чему већина улазне енергије се дисипира као топлота или синхротронско зрачење.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Проблем 2: Орбитална енергетска инфраструктура</w:t>
      </w:r>
    </w:p>
    <w:p>
      <w:pPr>
        <w:spacing w:after="240"/>
        <w:jc w:val="both"/>
      </w:pPr>
      <w:r>
        <w:rPr>
          <w:sz w:val="24"/>
          <w:szCs w:val="24"/>
        </w:rPr>
        <w:t xml:space="preserve">Савремени сателити са соларним панелима производе ограничену количину енергије (типично 1-15 kW по сателиту), захтевају константно одржавање орбиталне висине због атмосферског отпора и имају ограничен радни век (10-15 година). Системи за беспилотни пренос енергије са орбите на Земљу су неефикасни због атмосферске апсорпције и захтевају огромне површине пријемних антена (rectenna fields од 50-100 km² за GW-scale снагу). Постојећи тетер системи (TSS-1, ProSEDS) су имали ограничене дужине (10-20 km) и производили су само kW-scale снагу кроз интеракцију са Земљиним магнетним пољем.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Проблем 3: Рачунарска ефикасност AI модела</w:t>
      </w:r>
    </w:p>
    <w:p>
      <w:pPr>
        <w:spacing w:after="240"/>
        <w:jc w:val="both"/>
      </w:pPr>
      <w:r>
        <w:rPr>
          <w:sz w:val="24"/>
          <w:szCs w:val="24"/>
        </w:rPr>
        <w:t xml:space="preserve">Традиционални Transformer модели (GPT, BERT, T5) имају квадратну сложеност O(n²) у attention механизму у односу на дужину секвенце n, што резултира експоненцијалним растом потребне меморије и рачунарске снаге приликом обраде дугих context windows. За секвенцу од 100,000 tokens, self-attention матрица захтева 10 милијарди елемената (100k × 100k), што је неизводљиво за real-time inference чак и на најмоћнијем hardware-у. Ова ограничења онемогућавају обраду entire code repositories, comprehensive legal documents, complete medical patient histories и друге апликације које захтевају million-token context windows. Додатно, latency при inference-у расте линеарно са дужином context-а, чинећи conversational AI системе споре за корисничку интеракцију.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Проблем 4: Аутомобилска трансмисија</w:t>
      </w:r>
    </w:p>
    <w:p>
      <w:pPr>
        <w:spacing w:after="480"/>
        <w:jc w:val="both"/>
      </w:pPr>
      <w:r>
        <w:rPr>
          <w:sz w:val="24"/>
          <w:szCs w:val="24"/>
        </w:rPr>
        <w:t xml:space="preserve">Традиционалне аутоматске и мануелне трансмисије имају дискретне преносне односе (типично 5-10 брзина) са прекидима момента током мењања степена, што резултира губицима ефикасности (5-15% energy loss per shift), нелинеарним убрзањем, shift shock-ovima који утичу на comfort возача и повећаном потрошњом горива. CVT (Continuously Variable Transmission) системи користе belt-and-pulley или toroidal механизме који имају ограничену издржљивост (typično 150,000-200,000 km), мању ефикасност (85-90% vs 95-97% за савремене planetary automatic трансмисије) и не могу да подрже високе torque level-e потребне за performance или тешка возила. Dual-clutch трансмисије (DCT) нуде брзе shift-ове али и даље имају дискретне преносне односе и захтевају сложене хидрауличне контролне системе.</w:t>
      </w:r>
    </w:p>
    <w:p>
      <w:pPr>
        <w:pStyle w:val="Heading2"/>
        <w:pageBreakBefore/>
      </w:pPr>
      <w:r>
        <w:t xml:space="preserve">3. Стање технике</w:t>
      </w:r>
    </w:p>
    <w:p>
      <w:pPr>
        <w:pStyle w:val="Heading3"/>
      </w:pPr>
      <w:r>
        <w:t xml:space="preserve">3.1 Производња антиматерије - постојећа решења</w:t>
      </w:r>
    </w:p>
    <w:p>
      <w:pPr>
        <w:spacing w:before="240" w:after="240"/>
        <w:jc w:val="both"/>
      </w:pPr>
      <w:r>
        <w:rPr>
          <w:sz w:val="24"/>
          <w:szCs w:val="24"/>
        </w:rPr>
        <w:t xml:space="preserve">Тренутна производња позитрона (антиматерије) базира се на следећим приступима: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A) CERN Antiproton Decelerator (AD):</w:t>
      </w:r>
    </w:p>
    <w:p>
      <w:pPr>
        <w:spacing w:after="240"/>
        <w:jc w:val="both"/>
      </w:pPr>
      <w:r>
        <w:rPr>
          <w:sz w:val="24"/>
          <w:szCs w:val="24"/>
        </w:rPr>
        <w:t xml:space="preserve">Користи 26 km Large Hadron Collider за креирање антипротона судара протона при енергијама од 14 TeV. Процес укључује: (1) убрзање протонских снопова до близу брзине светлости, (2) сударе високоенергетских протона са фиксним метама, (3) creation of particle showers укључујући неколико антипротона по судару, (4) колекцију и decelerацију антипротона у AD ring-у од 182 m circumference. Производња: ~10⁷ антипротона по пулсу, ~3×10⁷ антипротона по минути, што одговара ~nanogram годишње. Енергетска ефикасност &lt; 10⁻⁹. Капитални трошкови: &gt;$10 милијарди за LHC инфраструктуру.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B) SLAC позитронски извори:</w:t>
      </w:r>
    </w:p>
    <w:p>
      <w:pPr>
        <w:spacing w:after="240"/>
        <w:jc w:val="both"/>
      </w:pPr>
      <w:r>
        <w:rPr>
          <w:sz w:val="24"/>
          <w:szCs w:val="24"/>
        </w:rPr>
        <w:t xml:space="preserve">Користе електронске линеарне акцелераторе који производе високоенергетске електроне (50 GeV) који затим генеришу позитроне кроз bremsstrahlung и pair production у tungsten метама. Процес: (1) electron beam acceleration у 3 km linac-у, (2) beam impinges on tungsten target creating electromagnetic showers, (3) позитрони се selectively collect magnetically. Конверзиона ефикасност електрона→позитрони: 10⁻⁶ до 10⁻⁵. Продукција rate: 10¹¹-10¹² позитрона по секунди током beam operation, али са duty cycle-ом &lt; 1%. Годишња производња: sub-nanogram quantities.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C) Радиоизотопни извори:</w:t>
      </w:r>
    </w:p>
    <w:p>
      <w:pPr>
        <w:spacing w:after="360"/>
        <w:jc w:val="both"/>
      </w:pPr>
      <w:r>
        <w:rPr>
          <w:sz w:val="24"/>
          <w:szCs w:val="24"/>
        </w:rPr>
        <w:t xml:space="preserve">Користе beta-plus (β⁺) radioactive decay изотопа као што су ²²Na (половни живот 2.6 година), ⁶⁴Cu (12.7 часова), ⁵⁸Co (70.9 дана). Emission rate зависи од активности: типично 1 Curie източник емитује ~3.7×10¹⁰ disintegrations per second. За ²²Na са 90% β⁺ branching ratio, то даје ~3.3×10¹⁰ позитрона по секунди. Међутим, укупан yield је ограничен масом изотопа који може бити безбедно handled (miligram quantities) и релативно кратким half-lives-има. Додатно, неmoderirana позитрони из radioactive decay имају energy spectra са peak-ом ~few hundred keV, захтевају moderaciju и magnetic confinement, а efficiency од creation до usable trapped positrons је типично &lt; 1%.</w:t>
      </w:r>
    </w:p>
    <w:p>
      <w:pPr>
        <w:spacing w:after="180"/>
        <w:jc w:val="both"/>
      </w:pPr>
      <w:r>
        <w:rPr>
          <w:b/>
          <w:bCs/>
          <w:sz w:val="24"/>
          <w:szCs w:val="24"/>
        </w:rPr>
        <w:t xml:space="preserve">Недостаци постојећих решења: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Масивна инфраструктура - захтевају километарске акцелераторе, подземне тунеле, extensive civil engineering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Капитални трошкови &gt; $10 милијарди за facilities (LHC, SLAC linac)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Енергетска неефикасност - већина улазне енергије се губи као топлота, synchrotron radiation, unwanted particle channels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Нескалабилност - немогућност инкременталног повећања производње без потпуне реконструкције facility-a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Екстремно ниски production rates - nanogram quantities годишње недовољне за macroscopic applications</w:t>
      </w:r>
    </w:p>
    <w:p>
      <w:pPr>
        <w:pStyle w:val="ListParagraph"/>
        <w:numPr>
          <w:ilvl w:val="0"/>
          <w:numId w:val="3"/>
        </w:numPr>
        <w:spacing w:after="480"/>
      </w:pPr>
      <w:r>
        <w:rPr>
          <w:sz w:val="24"/>
          <w:szCs w:val="24"/>
        </w:rPr>
        <w:t xml:space="preserve">Потреба за continuous operation специјализованих научних facility-a са ограниченом availability-ом за antimatter production</w:t>
      </w:r>
    </w:p>
    <w:p>
      <w:pPr>
        <w:pStyle w:val="Heading3"/>
        <w:pageBreakBefore/>
      </w:pPr>
      <w:r>
        <w:t xml:space="preserve">3.2 Орбитални енергетски системи - постојећа решења</w:t>
      </w:r>
    </w:p>
    <w:p>
      <w:pPr>
        <w:spacing w:before="240" w:after="240"/>
        <w:jc w:val="both"/>
      </w:pPr>
      <w:r>
        <w:rPr>
          <w:sz w:val="24"/>
          <w:szCs w:val="24"/>
        </w:rPr>
        <w:t xml:space="preserve">Тренутни концепти орбиталне енергије обухватају: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A) Соларни сателити (Solar Power Satellites - SPS):</w:t>
      </w:r>
    </w:p>
    <w:p>
      <w:pPr>
        <w:spacing w:after="240"/>
        <w:jc w:val="both"/>
      </w:pPr>
      <w:r>
        <w:rPr>
          <w:sz w:val="24"/>
          <w:szCs w:val="24"/>
        </w:rPr>
        <w:t xml:space="preserve">Концепти развијени од strane NASA, JAXA (Japan), и CNSA (China) за large-scale orbital solar power. Дизајн типично укључује geosynchronous orbit (GEO at 35,786 km altitude) са kilometарским соларним array-има (1-10 km²), multi-junction photovoltaic cells (30-40% efficiency), microwave или laser wireless power transmission. JAXA-ин roadmap predicts 1 GW demonstration by 2030s. Недостаци: (1) екстремни launch costs - типично 100,000-500,000 тона material за GW-scale power plant, (2) assembly complexity у орбити requiring hundreds of launch missions, (3) wireless transmission losses (atmospheric absorption, beam spreading - typically 40-60% end-to-end efficiency), (4) massive ground-based rectenna requirements, (5) GEO altitude удаљеност requiring large antenna apertures.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B) Електродинамички тетер системи:</w:t>
      </w:r>
    </w:p>
    <w:p>
      <w:pPr>
        <w:spacing w:after="240"/>
        <w:jc w:val="both"/>
      </w:pPr>
      <w:r>
        <w:rPr>
          <w:sz w:val="24"/>
          <w:szCs w:val="24"/>
        </w:rPr>
        <w:t xml:space="preserve">TSS-1 (Tethered Satellite System-1, 1992) и TSS-1R (1996) demonstrирали су electrodynamic tether concept са 20 km проводним tether-ом deploying-ом од Space Shuttle. ProSEDS (Propulsive Small Expendable Deployer System, 2003 - canceled before flight) планирао је 15 km tether. Принцип: проводни tether који се креће кроз Земљино магнетно поље генерише Lorentz EMF: V = (v × B) · L, где је v орбитална брзина (~7.8 km/s), B magnetic field (~0.3 Gauss at LEO), L tether length. За 20 km tether, voltage ~5 kV. Current collection на tether ends (electron collection на anodic end, ion emission на cathodic end) омогућава power generation или propulsion. Недостаци: (1) ограничена power generation (typically kW-scale), (2) orbital drag from current flow requiring propulsion compensation, (3) tether deployment and stability challenges, (4) micrometeorite and debris collision risks.</w:t>
      </w:r>
    </w:p>
    <w:p>
      <w:pPr>
        <w:spacing w:after="180"/>
        <w:jc w:val="both"/>
      </w:pPr>
      <w:r>
        <w:rPr>
          <w:b/>
          <w:bCs/>
          <w:sz w:val="24"/>
          <w:szCs w:val="24"/>
        </w:rPr>
        <w:t xml:space="preserve">Недостаци постојећих орбиталних система: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Ограничена снага по јединици (MW-scale за појединачне сателите, проектована GW-scale захтева massive infrastructure)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Орбитални распад услед атмосферског отпора на LEO (требају station-keeping propulsion са значајним propellant requirements)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Неефикасан wireless power transmission (40-60% end-to-end efficiency у best case scenarios)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Масивне ground-based rectenna field requirements (50-100 km² за GW power reception)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Екстремни launch costs и assembly complexity за large-scale implementation</w:t>
      </w:r>
    </w:p>
    <w:p>
      <w:pPr>
        <w:pStyle w:val="ListParagraph"/>
        <w:numPr>
          <w:ilvl w:val="0"/>
          <w:numId w:val="3"/>
        </w:numPr>
        <w:spacing w:after="480"/>
      </w:pPr>
      <w:r>
        <w:rPr>
          <w:sz w:val="24"/>
          <w:szCs w:val="24"/>
        </w:rPr>
        <w:t xml:space="preserve">Ограничен радни век (10-20 година типично) услед degradације соларних ћелија cosmic radiation-ом и thermal cycling-ом</w:t>
      </w:r>
    </w:p>
    <w:p>
      <w:pPr>
        <w:pStyle w:val="Heading3"/>
        <w:pageBreakBefore/>
      </w:pPr>
      <w:r>
        <w:t xml:space="preserve">3.3 AI Transformer архитектуре - постојећа решења</w:t>
      </w:r>
    </w:p>
    <w:p>
      <w:pPr>
        <w:spacing w:before="240" w:after="240"/>
        <w:jc w:val="both"/>
      </w:pPr>
      <w:r>
        <w:rPr>
          <w:sz w:val="24"/>
          <w:szCs w:val="24"/>
        </w:rPr>
        <w:t xml:space="preserve">Савремени large language models (LLMs) базирани на Transformer архитектури (Vaswani et al., 2017) доминирају областима natural language processing, computer vision и multi-modal AI. Постојећа решења укључују: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A) Standard Dense Transformers (GPT, BERT, T5):</w:t>
      </w:r>
    </w:p>
    <w:p>
      <w:pPr>
        <w:spacing w:after="240"/>
        <w:jc w:val="both"/>
      </w:pPr>
      <w:r>
        <w:rPr>
          <w:sz w:val="24"/>
          <w:szCs w:val="24"/>
        </w:rPr>
        <w:t xml:space="preserve">Користе full self-attention mechanism где свака token позиција attend-ује to све остале позиције, креирајући attention matrix димензија n×n за sequence length n. Computational complexity: O(n²d) за n tokens and d-dimensional embeddings. Memory requirements: O(n²) за attention matrix плус O(nd) за activations. Ово limitation ограничава context windows: GPT-3 (2020) подржава 2048 tokens, GPT-4 (2023) 128K tokens. За n=100,000, attention matrix захтева 100K × 100K = 10 billion float32 entries = 40 GB само за single attention head, escalating linearly са бројем heads и layers. Inference latency скалира као O(n²), чинећи real-time response prohibitively slow за długе contexts.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B) Partial Sparse Attention Methods:</w:t>
      </w:r>
    </w:p>
    <w:p>
      <w:pPr>
        <w:spacing w:after="240"/>
        <w:jc w:val="both"/>
      </w:pPr>
      <w:r>
        <w:rPr>
          <w:sz w:val="24"/>
          <w:szCs w:val="24"/>
        </w:rPr>
        <w:t xml:space="preserve">Longformer (Beltagy et al., 2020) користи sliding window attention (локална attention у limited radius) plus global attention за selective tokens, reducing complexity to O(n×w) где је w window size. BigBird (Zaheer et al., 2020) комбинује random attention, window attention, и global attention са theoretical claims O(n) complexity. Sparse Transformers (Child et al., 2019) користе strided or fixed attention patterns. Reformer (Kitaev et al., 2020) користи locality-sensitive hashing за aproximate nearest-neighbor attention. Недостаци: (1) ови методи trade-off performance за efficiency - typically 2-5% worse perplexity than dense models, (2) arbitrary sparsity patterns не adapt-ују се to actual token importance, (3) implementation complexity са marginal real-world speedups услед hardware inefficiency sparse operations на GPUs.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C) Retrieval-Augmented Models:</w:t>
      </w:r>
    </w:p>
    <w:p>
      <w:pPr>
        <w:spacing w:after="360"/>
        <w:jc w:val="both"/>
      </w:pPr>
      <w:r>
        <w:rPr>
          <w:sz w:val="24"/>
          <w:szCs w:val="24"/>
        </w:rPr>
        <w:t xml:space="preserve">RETRO (Borgeaud et al., 2022) and Atlas користе external memory bases са retrieval mechanism, allowing effectively infinite context by retrieving relevant chunks. Недостатак: latency overhead од retrieval process (typically 100-500ms per query to vector database), dependency on retrieval quality, и inability to reason over entire context simultaneously.</w:t>
      </w:r>
    </w:p>
    <w:p>
      <w:pPr>
        <w:spacing w:after="180"/>
        <w:jc w:val="both"/>
      </w:pPr>
      <w:r>
        <w:rPr>
          <w:b/>
          <w:bCs/>
          <w:sz w:val="24"/>
          <w:szCs w:val="24"/>
        </w:rPr>
        <w:t xml:space="preserve">Недостаци постојећих решења: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Квадратна сложеност O(n²) у attention механизму за dense models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Недостатак adaptivности - fixed sparsity patterns не узимају у обзир actual content importance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Перформанс degradација при scaling context windows beyond training distribution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Inference latency exponentially increasing са context length</w:t>
      </w:r>
    </w:p>
    <w:p>
      <w:pPr>
        <w:pStyle w:val="ListParagraph"/>
        <w:numPr>
          <w:ilvl w:val="0"/>
          <w:numId w:val="3"/>
        </w:numPr>
        <w:spacing w:after="480"/>
      </w:pPr>
      <w:r>
        <w:rPr>
          <w:sz w:val="24"/>
          <w:szCs w:val="24"/>
        </w:rPr>
        <w:t xml:space="preserve">Memory requirements prohibiting million-token contexts на standard hardware (would require terabytes of VRAM)</w:t>
      </w:r>
    </w:p>
    <w:p>
      <w:pPr>
        <w:pStyle w:val="Heading3"/>
        <w:pageBreakBefore/>
      </w:pPr>
      <w:r>
        <w:t xml:space="preserve">3.4 Аутомобилске трансмисије - постојећа решења</w:t>
      </w:r>
    </w:p>
    <w:p>
      <w:pPr>
        <w:spacing w:before="240" w:after="240"/>
        <w:jc w:val="both"/>
      </w:pPr>
      <w:r>
        <w:rPr>
          <w:sz w:val="24"/>
          <w:szCs w:val="24"/>
        </w:rPr>
        <w:t xml:space="preserve">Савремене трансмисије за моторна возила обухватају: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A) Мануелне трансмисије:</w:t>
      </w:r>
    </w:p>
    <w:p>
      <w:pPr>
        <w:spacing w:after="240"/>
        <w:jc w:val="both"/>
      </w:pPr>
      <w:r>
        <w:rPr>
          <w:sz w:val="24"/>
          <w:szCs w:val="24"/>
        </w:rPr>
        <w:t xml:space="preserve">Користе sliding-gear или constant-mesh design са driver-controlled clutch. Предности: механичка једноставност, висока ефикасност (95-97%), lower cost. Недостаци: require driver skill и attention, complete torque interruption during shifts (typically 200-500ms), shift shock depending on driver technique, не може да continuously optimize gear ratio за ефикасност.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B) Conventional Automatic Transmissions (Planetary Gear Sets):</w:t>
      </w:r>
    </w:p>
    <w:p>
      <w:pPr>
        <w:spacing w:after="240"/>
        <w:jc w:val="both"/>
      </w:pPr>
      <w:r>
        <w:rPr>
          <w:sz w:val="24"/>
          <w:szCs w:val="24"/>
        </w:rPr>
        <w:t xml:space="preserve">Користе torque converter са planetary gearsets и hydraulic control system. Modern 8-10 speed automatics achieve 95-97% efficiency. Предности: smooth operation, driver convenience. Недостаци: torque converter parasitic losses (especially у city driving), discrete gear ratios са step changes у engine RPM during shifts, weight penalty (typically 20-40 kg више него manual), higher cost.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C) Dual-Clutch Transmissions (DCT):</w:t>
      </w:r>
    </w:p>
    <w:p>
      <w:pPr>
        <w:spacing w:after="240"/>
        <w:jc w:val="both"/>
      </w:pPr>
      <w:r>
        <w:rPr>
          <w:sz w:val="24"/>
          <w:szCs w:val="24"/>
        </w:rPr>
        <w:t xml:space="preserve">Користе two separate clutches за odd и even gears, enabling pre-selection следећег gear-а за near-instantaneous shifts (50-150ms). Efficiency: 96-97%. Предности: performance shifting, fuel efficiency. Недостаци: low-speed jerking у traffic (especially wet-clutch designs), complexity и higher maintenance costs, still discrete gear ratios.</w:t>
      </w:r>
    </w:p>
    <w:p>
      <w:pPr>
        <w:spacing w:after="180"/>
      </w:pPr>
      <w:r>
        <w:rPr>
          <w:b/>
          <w:bCs/>
          <w:sz w:val="24"/>
          <w:szCs w:val="24"/>
        </w:rPr>
        <w:t xml:space="preserve">D) Continuously Variable Transmissions (CVT):</w:t>
      </w:r>
    </w:p>
    <w:p>
      <w:pPr>
        <w:spacing w:after="360"/>
        <w:jc w:val="both"/>
      </w:pPr>
      <w:r>
        <w:rPr>
          <w:sz w:val="24"/>
          <w:szCs w:val="24"/>
        </w:rPr>
        <w:t xml:space="preserve">Belt-and-pulley design (Nissan, Subaru) или toroidal design (extant designs rare). Infinite gear ratios within operating range. Предности: optimal engine RPM maintenance, smooth acceleration. Недостаци: (1) reduced efficiency compared to stepped automatics (typically 85-92%), (2) belt/chain wear limiting durability (150,000-200,000 km typical lifespan), (3) torque capacity limitations (typically limited to &lt;300 Nm), (4) 'rubber-band' feel disliked by many drivers, (5) higher friction losses especially под load.</w:t>
      </w:r>
    </w:p>
    <w:p>
      <w:pPr>
        <w:spacing w:after="180"/>
        <w:jc w:val="both"/>
      </w:pPr>
      <w:r>
        <w:rPr>
          <w:b/>
          <w:bCs/>
          <w:sz w:val="24"/>
          <w:szCs w:val="24"/>
        </w:rPr>
        <w:t xml:space="preserve">Недостаци постојећих трансмисија: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Дискретни преносни односи (stepped transmissions) resultuju у suboptimal engine operating points између shifts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Torque прекиди током shifting (чак и са DCT) causing acceleration hiccups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CVT ограничења: efficiency penalties, durability concerns, torque capacity limits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4"/>
          <w:szCs w:val="24"/>
        </w:rPr>
        <w:t xml:space="preserve">Немогућност dynamic adaptation to changing road/load conditions у real-time</w:t>
      </w:r>
    </w:p>
    <w:p>
      <w:pPr>
        <w:pStyle w:val="ListParagraph"/>
        <w:numPr>
          <w:ilvl w:val="0"/>
          <w:numId w:val="3"/>
        </w:numPr>
        <w:spacing w:after="480"/>
      </w:pPr>
      <w:r>
        <w:rPr>
          <w:sz w:val="24"/>
          <w:szCs w:val="24"/>
        </w:rPr>
        <w:t xml:space="preserve">За електрична возила: single-speed transmissions don't optimize motor efficiency across speed range (motors typically most efficient at 3000-6000 RPM, but operate 0-15,000+ RPM)</w:t>
      </w:r>
    </w:p>
    <w:p>
      <w:pPr>
        <w:pStyle w:val="Heading2"/>
        <w:pageBreakBefore/>
      </w:pPr>
      <w:r>
        <w:t xml:space="preserve">4. Излагање суштине проналаска</w:t>
      </w:r>
    </w:p>
    <w:p>
      <w:pPr>
        <w:spacing w:before="240" w:after="240"/>
        <w:jc w:val="both"/>
      </w:pPr>
      <w:r>
        <w:rPr>
          <w:sz w:val="24"/>
          <w:szCs w:val="24"/>
        </w:rPr>
        <w:t xml:space="preserve">Овај проналазак решава горе наведене техничке проблеме кроз четири интегрисана технолошка система која заједно чине јединствену проналазачку целину. Сваки систем представља фундаментални технолошки breakthrough у својој области, док њихова интеграција омогућава synergistic ефекте и шире примене.</w:t>
      </w:r>
    </w:p>
    <w:p>
      <w:pPr>
        <w:pStyle w:val="Heading3"/>
      </w:pPr>
      <w:r>
        <w:t xml:space="preserve">4.1 GIPPC - Модуларна производња антиматерије</w:t>
      </w:r>
    </w:p>
    <w:p>
      <w:pPr>
        <w:spacing w:before="240" w:after="180"/>
        <w:jc w:val="both"/>
      </w:pPr>
      <w:r>
        <w:rPr>
          <w:b/>
          <w:bCs/>
          <w:sz w:val="24"/>
          <w:szCs w:val="24"/>
        </w:rPr>
        <w:t xml:space="preserve">Суштина новости:</w:t>
      </w:r>
    </w:p>
    <w:p>
      <w:pPr>
        <w:spacing w:after="240"/>
        <w:jc w:val="both"/>
      </w:pPr>
      <w:r>
        <w:rPr>
          <w:sz w:val="24"/>
          <w:szCs w:val="24"/>
        </w:rPr>
        <w:t xml:space="preserve">Уместо масивних circular particle accelerator-а који захтевају kilometer-scale infrastructure, овај проналазак користи модуларне, shipping-container-scale јединице (Anticomputer Nodes - ACN) засноване на laser-wakefield acceleration и photon-induced pair production. Фундаментална парадигма shift је transfer од centralized mega-facility model to distributed modular production где се scale постиже кроз deployment multiple standardized units rather than building larger singular facilities.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Архитектура ACN модула:</w:t>
      </w:r>
    </w:p>
    <w:p>
      <w:pPr>
        <w:spacing w:after="120"/>
        <w:jc w:val="both"/>
      </w:pPr>
      <w:r>
        <w:rPr>
          <w:sz w:val="24"/>
          <w:szCs w:val="24"/>
        </w:rPr>
        <w:t xml:space="preserve">Сваки ACN модул (40-foot shipping container: 12.2m × 2.4m × 2.6m) је самодовољна фабрика за production позитрона containing: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High-repetition-rate diode-pumped solid-state laser (DPSSL): 1-10 kHz repetition, 1-3 J pulse energy, 30 fs pulse duration, 800 nm wavelength. Wall-plug efficiency: 20% (vs &lt;1% за flashlamp lasers). Peak power: 30-100 TW per pulse. Laser occupies ~3m section containerа, includes cooling system (closed-loop water recirculation), power conditioning electronics.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Plasma wakefield acceleration cell: ~2m section са gas injection system (H₂ or He at 10¹⁸-10¹⁹ cm⁻³), focusing optics (f/20 parabolic mirror), plasma diagnostics. Laser intensity at focus: &gt;10¹⁸ W/cm². Resultant electron energies: 100 MeV - 5 GeV on centimeter acceleration distances (vs kilometers за conventional linacs).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Bremsstrahlung gamma-ray converter: high-Z target (tungsten, tantalum, або uranium) ~1 cm thick positioned in electron beam path. Electron → gamma conversion efficiency: 10⁻⁶ to 10⁻⁵. Gamma spectrum peaks at ~10-100 MeV, well above 1.022 MeV pair production threshold.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Nanostructured pair-production target: tungsten або lead aerogel (patented innovation), 85-95% porosity, pore size 0.5-2 μm, wall thickness 50-100 nm. Target thickness: 1-2 radiation lengths (1-2 cm). Pair production cross-section σ_pair ~6.3×10⁻²⁴ cm² за 10 MeV gammas on tungsten. Critical advantage: porous structure enables positron escape before annihilation. Solid tungsten: &lt;10% extraction efficiency. Aerogel: 20-30% extraction.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Magnetic extraction и moderation: 0.5-2 T magnetic field guides energetic positrons (1-10 MeV) into moderator (tungsten vanes або solid neon at 4K) where energy reduced to eV-scale through successive collisions without significant annihilation.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Cryogenic Penning trap: Axial B-field 5-10 T (HTS superconducting magnet operating at 20-40K via cryocooler, eliminating liquid helium requirement), radial E-field from electrode stack. Buffer gas cooling (N₂ or H₂ &lt;10K) enables positron thermalization. Storage capacity: &gt;10¹⁰ positrons per trap, storage time &gt;10⁶ seconds (12 days). Multiple traps in parallel për scale.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Vacuum system: Turbo-molecular pumps achieving &lt;10⁻⁸ Torr. Critical for minimizing positron annihilation on residual gas molecules.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Diagnostic instruments: Positron counting detectors (scintillators coupled to PMTs), beam profile monitors, gamma spectrometers.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Control system: Automated operation са remote monitoring. Typical operational cycle: (a) laser fires at 1-10 kHz, (b) each pulse creates electron bunch, (c) gammas produced, (d) e⁺/e⁻ pairs created, (e) positrons extracted and trapped. Process continues 24/7 са minimal human intervention.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sz w:val="24"/>
          <w:szCs w:val="24"/>
        </w:rPr>
        <w:t xml:space="preserve">Power supply: ~500 kW total electrical consumption (primarily laser pump diodes и cryocoolers).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Production metrics:</w:t>
      </w:r>
    </w:p>
    <w:p>
      <w:pPr>
        <w:spacing w:after="240"/>
        <w:jc w:val="both"/>
      </w:pPr>
      <w:r>
        <w:rPr>
          <w:sz w:val="24"/>
          <w:szCs w:val="24"/>
        </w:rPr>
        <w:t xml:space="preserve">Single ACN unit: ~1 microgram positron production per year. At 10 kHz laser repetition rate, assuming 10⁶ positrons created per pulse with 20% overall capture efficiency, daily production ~1.7×10¹⁴ positrons = 0.28 nanograms. Annual: ~100 nanograms = 0.1 micrograms. Capital cost per unit: ~$120M (laser $40M, vacuum/magnetics $30M, targets/moderators $10M, structure/integration $20M, contingency $20M). Operating expenses: ~$10M/year (electricity $4M, consumables $2M, maintenance $2M, personnel $2M). Cost per microgram: ~$3.2M initial capex amortized over 10 years gives ~$32M/μg plus operating ~$10M/μg = ~$42M per microgram steady-state.</w:t>
      </w:r>
    </w:p>
    <w:p>
      <w:pPr>
        <w:spacing w:after="240"/>
        <w:jc w:val="both"/>
      </w:pPr>
      <w:r>
        <w:rPr>
          <w:sz w:val="24"/>
          <w:szCs w:val="24"/>
        </w:rPr>
        <w:t xml:space="preserve">Scaling pathway: 20-node facility ($2.4B capital): 20 μg/year production, sufficient for antimatter-catalyzed fusion research. 200-node complex ($24B capital): 200 μg/year approaching milligram-annual output, enabling propulsion demonstrations. Scale economies reduce per-unit costs through: (1) laser technology improvements (30% efficiency by 2035, 50 kHz rep-rate), (2) target optimization (35-40% extraction efficiency), (3) operational learning (reduced maintenance costs), (4) volume manufacturing (20-30% capex reduction). By 2040, projected cost: $500K-$1M per microgram.</w:t>
      </w:r>
    </w:p>
    <w:p>
      <w:pPr>
        <w:spacing w:after="480"/>
        <w:jc w:val="both"/>
      </w:pPr>
      <w:r>
        <w:rPr>
          <w:b/>
          <w:bCs/>
          <w:sz w:val="24"/>
          <w:szCs w:val="24"/>
        </w:rPr>
        <w:t xml:space="preserve">This represents 1000× cost reduction versus CERN-based extrapolations and fundamentally enables industrial antimatter production for first time.</w:t>
      </w:r>
    </w:p>
    <w:p>
      <w:pPr>
        <w:pStyle w:val="Heading3"/>
        <w:pageBreakBefore/>
      </w:pPr>
      <w:r>
        <w:t xml:space="preserve">4.2 ORRT - Орбитални радијални прстенасти систем</w:t>
      </w:r>
    </w:p>
    <w:p>
      <w:pPr>
        <w:spacing w:before="240" w:after="180"/>
        <w:jc w:val="both"/>
      </w:pPr>
      <w:r>
        <w:rPr>
          <w:b/>
          <w:bCs/>
          <w:sz w:val="24"/>
          <w:szCs w:val="24"/>
        </w:rPr>
        <w:t xml:space="preserve">Суштина новости:</w:t>
      </w:r>
    </w:p>
    <w:p>
      <w:pPr>
        <w:spacing w:after="240"/>
        <w:jc w:val="both"/>
      </w:pPr>
      <w:r>
        <w:rPr>
          <w:sz w:val="24"/>
          <w:szCs w:val="24"/>
        </w:rPr>
        <w:t xml:space="preserve">ORRT представља orbital infrastructure концепт који комбинује tensile structural mechanics, distributed solar power generation и wireless energy transmission у integrated system optimized за massive baseload power производњу. Key insight: using tether structures у orbital ring geometry enables far larger collection areas than individual satellites while maintaining structural integrity through centrifugal tension without requiring massive structural mass.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Структурна архитектура:</w:t>
      </w:r>
    </w:p>
    <w:p>
      <w:pPr>
        <w:spacing w:after="240"/>
        <w:jc w:val="both"/>
      </w:pPr>
      <w:r>
        <w:rPr>
          <w:sz w:val="24"/>
          <w:szCs w:val="24"/>
        </w:rPr>
        <w:t xml:space="preserve">Централни hub: Orbiting на LEO 400-800 km altitude, hub mass 500-2000 tonnes contains: (1) attitude control system (reaction wheels, magnetorquers, ion thrusters), (2) power management electronics (DC-DC converters, inverters, transformers), (3) wireless power transmission arrays (phased laser или microwave), (4) communications, (5) docking ports for resupply/maintenance spacecraft. Hub dimensions: ~50m × 20m cylinder.</w:t>
      </w:r>
    </w:p>
    <w:p>
      <w:pPr>
        <w:spacing w:after="240"/>
        <w:jc w:val="both"/>
      </w:pPr>
      <w:r>
        <w:rPr>
          <w:sz w:val="24"/>
          <w:szCs w:val="24"/>
        </w:rPr>
        <w:t xml:space="preserve">Radial tethers: 4-16 tethers extending radially from hub to 200-500 km radius. Tether material: ultra-high molecular weight polyethylene (UHMWPE - Dyneema, Spectra) with tensile strength 3-4 GPa, density 0.97 g/cm³. Alternatively: carbon nanofiber composites with &gt;50 GPa tensile strength when/if commercially available at scale. Tether cross-section: tape format 10-50 cm wide × 1-5 mm thick, optimizing strength-to-weight while providing substrate for solar panel attachment. For 400 km tether: mass ~50-200 tonnes depending on safety factor.</w:t>
      </w:r>
    </w:p>
    <w:p>
      <w:pPr>
        <w:spacing w:after="240"/>
        <w:jc w:val="both"/>
      </w:pPr>
      <w:r>
        <w:rPr>
          <w:sz w:val="24"/>
          <w:szCs w:val="24"/>
        </w:rPr>
        <w:t xml:space="preserve">Centrifugal gradient mechanics: System rotates at ω = 1-3 rotations per orbital period. At LEO orbital velocity v_orb ~7.8 km/s, hub orbits Earth every ~90 minutes. Tether rotation creates outward centrifugal force that maintains tension: T(r) = ∫ᵣᴿ ρ(r')A(r')ω²r' dr', где је ρ density, A cross-section, R outer radius. For uniform tether: T(r) = (ρAω²/2)(R²-r²). This gradient tension keeps structure rigid without requiring active station-keeping at tether endpoints. Energy for rotation maintained by periodic ion thruster firings compensating atmospheric drag at inner orbit.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Solar power subsystem:</w:t>
      </w:r>
    </w:p>
    <w:p>
      <w:pPr>
        <w:spacing w:after="240"/>
        <w:jc w:val="both"/>
      </w:pPr>
      <w:r>
        <w:rPr>
          <w:sz w:val="24"/>
          <w:szCs w:val="24"/>
        </w:rPr>
        <w:t xml:space="preserve">Thin-film photovoltaic panels attached along entire tether length. Technology: CdTe, CIGS, или perovskite cells offering 20-25% efficiency at reduced mass (~200-500 g/m²) versus crystalline silicon. Panel width: matches tether width (10-50 cm). For 8 tethers each 400 km long × 20 m effective width: total area = 8 × 400 km × 20 m = 64 km². Solar insolation at LEO: 1367 W/m² continuous (24/7 unlike ground solar). Gross power: 64 km² × 1367 W/m² × 20% efficiency = 17.5 GW DC. Accounting for conversion losses, transmission losses, pointing losses: net deliverable power ~10-12 GW continuous.</w:t>
      </w:r>
    </w:p>
    <w:p>
      <w:pPr>
        <w:spacing w:after="240"/>
        <w:jc w:val="both"/>
      </w:pPr>
      <w:r>
        <w:rPr>
          <w:sz w:val="24"/>
          <w:szCs w:val="24"/>
        </w:rPr>
        <w:t xml:space="preserve">DC power routing: Aluminum или copper conductors integrated into tether structure route power from distributed panels to central hub. Voltage: 500-1000 VDC to minimize resistive losses. Current per tether (for 2 GW): I = P/V = 2×10⁹W / 1000V = 2×10⁶ A. Conductor cross-section designed for acceptable ohmic heating (&lt;5% loss): for 400 km run @ 2 MA, aluminum resistivity 2.65×10⁻⁸ Ωm, cross-section ~5000 cm² (achievable with multi-strand cable embedded in tether).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Wireless power transmission:</w:t>
      </w:r>
    </w:p>
    <w:p>
      <w:pPr>
        <w:spacing w:after="240"/>
        <w:jc w:val="both"/>
      </w:pPr>
      <w:r>
        <w:rPr>
          <w:sz w:val="24"/>
          <w:szCs w:val="24"/>
        </w:rPr>
        <w:t xml:space="preserve">Two options: (A) Laser transmission - 1064 nm Nd:YAG или 1550 nm fiber lasers, phased array enabling beam steering, atmospheric transmission 60-80% depending on clouds/aerosols, requires ground-based retro-reflectors or adaptive optics for beam tightening. (B) Microwave transmission - 2.45 GHz или 5.8 GHz, phased array antennas on hub transmitting to rectenna field on Earth, atmospheric absorption &lt;5%, requires 50-100 km² ground rectenna area for 10 GW reception with 80-85% RF-to-DC conversion efficiency. Phased arrays enable beam steering to track ground station as satellite orbits, multiple ground stations provide continuous coverage.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Optional: Electrodynamic tether augmentation:</w:t>
      </w:r>
    </w:p>
    <w:p>
      <w:pPr>
        <w:spacing w:after="240"/>
        <w:jc w:val="both"/>
      </w:pPr>
      <w:r>
        <w:rPr>
          <w:sz w:val="24"/>
          <w:szCs w:val="24"/>
        </w:rPr>
        <w:t xml:space="preserve">Conductive segments along tethers interact with Earth's magnetic field (B ~0.3 Gauss at 400-800 km altitude). Moving conductor in magnetic field generates EMF: V = (v×B)·L. For 400 km tether moving at v_orb = 7.8 km/s: V ~9 kV. Allowing current flow (via electron collection at anodic end, plasma contactors at cathodic end) generates additional electrical power but creates drag force requiring propulsion compensation. Typical implementation: allocate 10-20% of tether length to EDT function, generating additional 500 MW - 1 GW power while maintaining net orbital energy balance via partial solar-electric propulsion from main solar arrays.</w:t>
      </w:r>
    </w:p>
    <w:p>
      <w:pPr>
        <w:spacing w:after="180"/>
        <w:jc w:val="both"/>
      </w:pPr>
      <w:r>
        <w:rPr>
          <w:b/>
          <w:bCs/>
          <w:sz w:val="24"/>
          <w:szCs w:val="24"/>
          <w:u w:val="single"/>
        </w:rPr>
        <w:t xml:space="preserve">Deployment и operational considerations:</w:t>
      </w:r>
    </w:p>
    <w:p>
      <w:pPr>
        <w:spacing w:after="240"/>
        <w:jc w:val="both"/>
      </w:pPr>
      <w:r>
        <w:rPr>
          <w:sz w:val="24"/>
          <w:szCs w:val="24"/>
        </w:rPr>
        <w:t xml:space="preserve">Construction: Hub launched via heavy-lift vehicle (Starship, SLS, или future vehicles). Tethers deployed incrementally using motorized spools with precise tension control. Solar panels unfurled concurrently. Full deployment: ~6-24 months depending on launch cadence and assembly crew size (robotic або crewed). Total launch mass: hub 500-2000 tonnes, tethers 400-1600 tonnes (8 tethers × 50-200 tonnes), solar panels 3000-6000 tonnes (~50-100 g/m² × 64 km²), power electronics 500 tonnes, contingency 500 tonnes. Total: ~5000-10,000 tonnes requiring 50-100 launches of 100-tonne heavy-lift vehicles. At projected Starship costs (~$10M per 100-tonne launch), launch costs ~$500M-$1B. Hardware costs: solar panels $10-20B, tethers $2-5B, electronics $5-10B, hub structure $5B, assembly/integration $20B, contingency $10B. Total capital: $50-70B for 10 GW facility. Per-watt capex: $5000-7000/kW (competitive with nuclear if 30-50 year lifespan achieved).</w:t>
      </w:r>
    </w:p>
    <w:p>
      <w:pPr>
        <w:spacing w:after="480"/>
        <w:jc w:val="both"/>
      </w:pPr>
      <w:r>
        <w:rPr>
          <w:sz w:val="24"/>
          <w:szCs w:val="24"/>
        </w:rPr>
        <w:t xml:space="preserve">Operational advantages: (1) 24/7 continuous power (sun always shines in orbit), (2) no land use on Earth, (3) scalable via multiple systems, (4) potential for in-space manufacturing reducing launch mass requirements, (5) dual-use for communications, Earth observation, scientific research.</w:t>
      </w:r>
    </w:p>
    <w:p>
      <w:pPr>
        <w:pStyle w:val="Heading2"/>
        <w:pageBreakBefore/>
      </w:pPr>
      <w:r>
        <w:t xml:space="preserve">5. Табеларни приказ поређења технологија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Карактеристика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Традиционално (CERN/SLAC)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GIPPC Систем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Физичка величина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Километри (LHC: 27 km)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12m контејнер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Капитал трошкови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&gt;$10 милијарди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~$120M по јединици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Годишња производња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Nanograms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~1 микрограм/ACN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Скалабилност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Захтева потпуну реконструкцију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Модуларна - додавање јединица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Енергетска ефикасност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&lt;0.0001%</w:t>
            </w:r>
          </w:p>
        </w:tc>
        <w:tc>
          <w:tcPr>
            <w:tcW w:type="dxa" w:w="311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~0.0003%</w:t>
            </w:r>
          </w:p>
        </w:tc>
      </w:tr>
    </w:tbl>
    <w:p>
      <w:pPr>
        <w:spacing w:before="360" w:after="240"/>
        <w:jc w:val="center"/>
      </w:pPr>
      <w:r>
        <w:rPr>
          <w:i/>
          <w:iCs/>
          <w:sz w:val="20"/>
          <w:szCs w:val="20"/>
        </w:rPr>
        <w:t xml:space="preserve">Табела 1: Поређење традиционалне производње антиматерије и GIPPC система</w:t>
      </w:r>
    </w:p>
    <w:p>
      <w:pPr>
        <w:pStyle w:val="Heading2"/>
        <w:spacing w:before="480"/>
      </w:pPr>
      <w:r>
        <w:t xml:space="preserve">6. Начин индустријске и друге примене проналаска</w:t>
      </w:r>
    </w:p>
    <w:p>
      <w:pPr>
        <w:spacing w:before="240" w:after="480"/>
        <w:jc w:val="both"/>
      </w:pPr>
      <w:r>
        <w:rPr>
          <w:sz w:val="24"/>
          <w:szCs w:val="24"/>
        </w:rPr>
        <w:t xml:space="preserve">Овај проналазак има широк спектар индустријских, научних и комерцијалних примена у различитим секторима:</w:t>
      </w:r>
    </w:p>
    <w:p>
      <w:pPr>
        <w:pStyle w:val="Heading3"/>
      </w:pPr>
      <w:r>
        <w:t xml:space="preserve">6.1 GIPPC Примене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4"/>
          <w:szCs w:val="24"/>
        </w:rPr>
        <w:t xml:space="preserve">Антиматерија-катализована нуклеарна фузија: Microgram quantities antimatter могу trigger deuterium-tritium fusion reactions са lower threshold temperatures than pure magnetic/inertial confinement. Projected fusion gain Q &gt; 50.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4"/>
          <w:szCs w:val="24"/>
        </w:rPr>
        <w:t xml:space="preserve">Interplanetary и interstellar propulsion: Antimatter-matter annihilation theoretical specific impulse ~10⁷ seconds. Enables Mars missions 6-8 weeks, outer solar system missions на годину-scale rather than decades.</w:t>
      </w:r>
    </w:p>
    <w:p>
      <w:pPr>
        <w:pStyle w:val="ListParagraph"/>
        <w:numPr>
          <w:ilvl w:val="0"/>
          <w:numId w:val="3"/>
        </w:numPr>
        <w:spacing w:after="180"/>
      </w:pPr>
      <w:r>
        <w:rPr>
          <w:sz w:val="24"/>
          <w:szCs w:val="24"/>
        </w:rPr>
        <w:t xml:space="preserve">Медицинске апликације: PET imaging са on-demand positron production, targeted cancer radiotherapy, materials characterization via positron annihilation lifetime spectroscopy (PALS).</w:t>
      </w:r>
    </w:p>
    <w:p>
      <w:pPr>
        <w:pStyle w:val="ListParagraph"/>
        <w:numPr>
          <w:ilvl w:val="0"/>
          <w:numId w:val="3"/>
        </w:numPr>
        <w:spacing w:after="480"/>
      </w:pPr>
      <w:r>
        <w:rPr>
          <w:sz w:val="24"/>
          <w:szCs w:val="24"/>
        </w:rPr>
        <w:t xml:space="preserve">Фундаментална физика: Studying antimatter properties, testing CPT symmetry, investigating matter-antimatter asymmetry у Universe.</w:t>
      </w:r>
    </w:p>
    <w:p>
      <w:pPr>
        <w:pStyle w:val="Heading1"/>
        <w:pageBreakBefore/>
      </w:pPr>
      <w:r>
        <w:t xml:space="preserve">II. ПАТЕНТНИ ЗАХТЕВИ</w:t>
      </w:r>
    </w:p>
    <w:p>
      <w:pPr>
        <w:pStyle w:val="Heading1"/>
        <w:pageBreakBefore/>
      </w:pPr>
      <w:r>
        <w:t xml:space="preserve">III. АПСТРАКТ</w:t>
      </w:r>
    </w:p>
    <w:p>
      <w:pPr>
        <w:spacing w:before="360" w:after="480"/>
        <w:jc w:val="both"/>
      </w:pPr>
      <w:r>
        <w:rPr>
          <w:sz w:val="24"/>
          <w:szCs w:val="24"/>
        </w:rPr>
        <w:t xml:space="preserve">Овај проналазак обухвата четири међусобно повезана технолошка система који представљају револуционарна решења у областима енергетике, производње антиматерије, рачунарства и аутомобилске технологије. GIPPC (Global Industrial Positron Production Complex) систем омогућава модуларну производњу позитрона (антиматерије) користећи laser-wakefield акцелерацију у плазми и наноструктурисане високо-Z аерогел мете са порозношћу 85-95%, постижући производњу од приближно 1 микрограм позитрона годишње по shipping-container-scale јединици са капиталним трошковима од ~$120 милиона, што представља редукцију трошкова од 1000× у односу на традиционалне приступе базиране на великим circular particle accelerators. ORRT (Orbital Radial Ring Tether) систем користи орбиталне радијалне тетер структуре од high-strength carbon nanofiber composites или UHMWPE материјала са соларним панелима за генерисање 50-200 GW константне baseload енергије 24/7, обезбеђујући wireless power transmission на Земљу кроз phased laser или microwave arrays. HST (Hierarchical Sparse Transformers) архитектура елиминише квадратну O(n²) сложеност transformer модела кроз хијерархијски sparse attention mechanism, adaptive sparsity patterns и multi-resolution processing, омогућавајући обраду context windows од miliona tokens са 10-100× редукцијом inference latency-а и 5-20× смањењем memory requirements-а. CIAMTCS (Continuously Injected Angular Momentum Transmission Control System) обезбеђује continuous torque transmission у возилима кроз fluid torque modulators (hydraulic или magnetorheological) и AI-based adaptive control algorithms, елиминишући shift shocks карактеристичне за stepped transmissions и повећавајући fuel efficiency за 15-25%. Заједно, ови системи представљају интегрисану технолошку платформу која адресира критична ограничења у clean energy production, antimatter utilization, computational efficiency и vehicular powertrains, са wide-ranging applications у space exploration, energy infrastructure, artificial intelligence и automotive industries.</w:t>
      </w:r>
    </w:p>
    <w:p>
      <w:pPr>
        <w:spacing w:before="960"/>
        <w:jc w:val="center"/>
      </w:pPr>
      <w:r>
        <w:rPr>
          <w:b/>
          <w:bCs/>
          <w:sz w:val="28"/>
          <w:szCs w:val="28"/>
        </w:rPr>
        <w:t xml:space="preserve">***  КРАЈ ДОКУМЕНТА  ***</w:t>
      </w:r>
    </w:p>
    <w:sectPr>
      <w:footerReference w:type="default" r:id="rId6"/>
      <w:pgSz w:w="11906" w:h="16838" w:orient="portrait"/>
      <w:pgMar w:top="1440" w:right="1080" w:bottom="72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Стrana </w:t>
      <w:fldChar w:fldCharType="begin"/>
      <w:instrText xml:space="preserve">PAGE</w:instrText>
      <w:fldChar w:fldCharType="separate"/>
      <w:fldChar w:fldCharType="end"/>
      <w:t xml:space="preserve"> од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2026-02-13T18:59:05.625Z</dcterms:created>
  <dcterms:modified xsi:type="dcterms:W3CDTF">2026-02-13T18:59:05.626Z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