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D1C6BE" w14:textId="3DC9CDBE" w:rsidR="004A270D" w:rsidRPr="00730D6E" w:rsidRDefault="0031187E">
      <w:pPr>
        <w:rPr>
          <w:rFonts w:ascii="Cambria" w:hAnsi="Cambria"/>
          <w:b/>
          <w:bCs/>
          <w:sz w:val="24"/>
          <w:szCs w:val="24"/>
          <w:u w:val="single"/>
        </w:rPr>
      </w:pPr>
      <w:r w:rsidRPr="00730D6E">
        <w:rPr>
          <w:rFonts w:ascii="Cambria" w:hAnsi="Cambria"/>
          <w:b/>
          <w:bCs/>
          <w:sz w:val="24"/>
          <w:szCs w:val="24"/>
          <w:u w:val="single"/>
        </w:rPr>
        <w:t>Heroes of Pymoli – Observations</w:t>
      </w:r>
    </w:p>
    <w:p w14:paraId="5243D5C0" w14:textId="38E6F029" w:rsidR="0031187E" w:rsidRPr="00730D6E" w:rsidRDefault="0031187E">
      <w:pPr>
        <w:rPr>
          <w:rFonts w:ascii="Cambria" w:hAnsi="Cambria"/>
        </w:rPr>
      </w:pPr>
      <w:r w:rsidRPr="00730D6E">
        <w:rPr>
          <w:rFonts w:ascii="Cambria" w:hAnsi="Cambria"/>
        </w:rPr>
        <w:t>1.</w:t>
      </w:r>
    </w:p>
    <w:p w14:paraId="15979F68" w14:textId="77777777" w:rsidR="0031187E" w:rsidRDefault="0031187E">
      <w:pPr>
        <w:rPr>
          <w:noProof/>
        </w:rPr>
      </w:pPr>
    </w:p>
    <w:p w14:paraId="0E981A48" w14:textId="4B54442A" w:rsidR="0031187E" w:rsidRDefault="0031187E" w:rsidP="008F2D7C">
      <w:r>
        <w:rPr>
          <w:noProof/>
        </w:rPr>
        <w:drawing>
          <wp:inline distT="0" distB="0" distL="0" distR="0" wp14:anchorId="234EBF03" wp14:editId="1B182860">
            <wp:extent cx="5192395" cy="1762125"/>
            <wp:effectExtent l="0" t="0" r="8255" b="9525"/>
            <wp:docPr id="1" name="Picture 1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hlinkClick r:id="rId4"/>
                    </pic:cNvPr>
                    <pic:cNvPicPr/>
                  </pic:nvPicPr>
                  <pic:blipFill rotWithShape="1">
                    <a:blip r:embed="rId5"/>
                    <a:srcRect l="11057" t="52204" r="53526" b="26044"/>
                    <a:stretch/>
                  </pic:blipFill>
                  <pic:spPr bwMode="auto">
                    <a:xfrm>
                      <a:off x="0" y="0"/>
                      <a:ext cx="5205440" cy="17665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4E4493" w14:textId="77777777" w:rsidR="0031187E" w:rsidRDefault="0031187E" w:rsidP="0031187E">
      <w:pPr>
        <w:jc w:val="center"/>
        <w:rPr>
          <w:noProof/>
        </w:rPr>
      </w:pPr>
    </w:p>
    <w:p w14:paraId="7AC7D965" w14:textId="4409DDDE" w:rsidR="0031187E" w:rsidRDefault="0031187E" w:rsidP="008F2D7C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67557C0E" wp14:editId="08D1A818">
            <wp:extent cx="6696590" cy="1314450"/>
            <wp:effectExtent l="0" t="0" r="9525" b="0"/>
            <wp:docPr id="2" name="Picture 2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>
                      <a:hlinkClick r:id="rId4"/>
                    </pic:cNvPr>
                    <pic:cNvPicPr/>
                  </pic:nvPicPr>
                  <pic:blipFill rotWithShape="1">
                    <a:blip r:embed="rId6"/>
                    <a:srcRect l="11379" t="50171" r="28205" b="28734"/>
                    <a:stretch/>
                  </pic:blipFill>
                  <pic:spPr bwMode="auto">
                    <a:xfrm>
                      <a:off x="0" y="0"/>
                      <a:ext cx="6707088" cy="13165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7EB3B3" w14:textId="2B6CB374" w:rsidR="001C2518" w:rsidRPr="00730D6E" w:rsidRDefault="001C2518" w:rsidP="001C2518">
      <w:pPr>
        <w:tabs>
          <w:tab w:val="left" w:pos="1710"/>
        </w:tabs>
        <w:rPr>
          <w:rFonts w:ascii="Cambria" w:hAnsi="Cambria"/>
        </w:rPr>
      </w:pPr>
      <w:r w:rsidRPr="00730D6E">
        <w:rPr>
          <w:rFonts w:ascii="Cambria" w:hAnsi="Cambria"/>
        </w:rPr>
        <w:t xml:space="preserve">The male demographic </w:t>
      </w:r>
      <w:r w:rsidR="008F2D7C">
        <w:rPr>
          <w:rFonts w:ascii="Cambria" w:hAnsi="Cambria"/>
        </w:rPr>
        <w:t>(</w:t>
      </w:r>
      <w:r w:rsidR="008F2D7C" w:rsidRPr="008F2D7C">
        <w:rPr>
          <w:rFonts w:ascii="Cambria" w:hAnsi="Cambria"/>
          <w:b/>
          <w:bCs/>
        </w:rPr>
        <w:t>84.03%</w:t>
      </w:r>
      <w:r w:rsidR="008F2D7C" w:rsidRPr="008F2D7C">
        <w:rPr>
          <w:rFonts w:ascii="Cambria" w:hAnsi="Cambria"/>
        </w:rPr>
        <w:t>)</w:t>
      </w:r>
      <w:r w:rsidR="008F2D7C">
        <w:rPr>
          <w:rFonts w:ascii="Cambria" w:hAnsi="Cambria"/>
        </w:rPr>
        <w:t xml:space="preserve"> </w:t>
      </w:r>
      <w:r w:rsidRPr="00730D6E">
        <w:rPr>
          <w:rFonts w:ascii="Cambria" w:hAnsi="Cambria"/>
        </w:rPr>
        <w:t xml:space="preserve">dominates the Heroes of Pymoli gaming world </w:t>
      </w:r>
      <w:r w:rsidR="008F2D7C">
        <w:rPr>
          <w:rFonts w:ascii="Cambria" w:hAnsi="Cambria"/>
        </w:rPr>
        <w:t>with</w:t>
      </w:r>
      <w:r w:rsidR="00730D6E" w:rsidRPr="00730D6E">
        <w:rPr>
          <w:rFonts w:ascii="Cambria" w:hAnsi="Cambria"/>
        </w:rPr>
        <w:t xml:space="preserve"> the highest</w:t>
      </w:r>
      <w:r w:rsidR="008F2D7C">
        <w:rPr>
          <w:rFonts w:ascii="Cambria" w:hAnsi="Cambria"/>
        </w:rPr>
        <w:t xml:space="preserve"> </w:t>
      </w:r>
      <w:r w:rsidR="00730D6E" w:rsidRPr="00730D6E">
        <w:rPr>
          <w:rFonts w:ascii="Cambria" w:hAnsi="Cambria"/>
        </w:rPr>
        <w:t xml:space="preserve">total purchase value </w:t>
      </w:r>
      <w:r w:rsidR="008F2D7C">
        <w:rPr>
          <w:rFonts w:ascii="Cambria" w:hAnsi="Cambria"/>
        </w:rPr>
        <w:t xml:space="preserve">of </w:t>
      </w:r>
      <w:r w:rsidR="008F2D7C" w:rsidRPr="008F2D7C">
        <w:rPr>
          <w:rFonts w:ascii="Cambria" w:hAnsi="Cambria"/>
          <w:b/>
          <w:bCs/>
        </w:rPr>
        <w:t>$1,967.64</w:t>
      </w:r>
      <w:r w:rsidR="008F2D7C">
        <w:rPr>
          <w:rFonts w:ascii="Cambria" w:hAnsi="Cambria"/>
        </w:rPr>
        <w:t xml:space="preserve"> </w:t>
      </w:r>
      <w:r w:rsidR="00730D6E" w:rsidRPr="00730D6E">
        <w:rPr>
          <w:rFonts w:ascii="Cambria" w:hAnsi="Cambria"/>
        </w:rPr>
        <w:t>(</w:t>
      </w:r>
      <w:r w:rsidR="00730D6E" w:rsidRPr="00730D6E">
        <w:rPr>
          <w:rFonts w:ascii="Cambria" w:hAnsi="Cambria"/>
          <w:i/>
          <w:iCs/>
        </w:rPr>
        <w:t>as seen above</w:t>
      </w:r>
      <w:r w:rsidR="00730D6E" w:rsidRPr="00730D6E">
        <w:rPr>
          <w:rFonts w:ascii="Cambria" w:hAnsi="Cambria"/>
        </w:rPr>
        <w:t xml:space="preserve">). </w:t>
      </w:r>
      <w:r w:rsidR="008F2D7C">
        <w:rPr>
          <w:rFonts w:ascii="Cambria" w:hAnsi="Cambria"/>
        </w:rPr>
        <w:t>The female demographic (</w:t>
      </w:r>
      <w:r w:rsidR="008F2D7C" w:rsidRPr="008F2D7C">
        <w:rPr>
          <w:rFonts w:ascii="Cambria" w:hAnsi="Cambria"/>
          <w:b/>
          <w:bCs/>
          <w:color w:val="00B050"/>
        </w:rPr>
        <w:t>14.06%</w:t>
      </w:r>
      <w:r w:rsidR="008F2D7C">
        <w:rPr>
          <w:rFonts w:ascii="Cambria" w:hAnsi="Cambria"/>
        </w:rPr>
        <w:t xml:space="preserve">) ranks second with a </w:t>
      </w:r>
      <w:r w:rsidR="008F2D7C" w:rsidRPr="008F2D7C">
        <w:rPr>
          <w:rFonts w:ascii="Cambria" w:hAnsi="Cambria"/>
          <w:b/>
          <w:bCs/>
          <w:color w:val="00B050"/>
        </w:rPr>
        <w:t>$361.94</w:t>
      </w:r>
      <w:r w:rsidR="008F2D7C" w:rsidRPr="008F2D7C">
        <w:rPr>
          <w:rFonts w:ascii="Cambria" w:hAnsi="Cambria"/>
          <w:color w:val="00B050"/>
        </w:rPr>
        <w:t xml:space="preserve"> </w:t>
      </w:r>
      <w:r w:rsidR="008F2D7C">
        <w:rPr>
          <w:rFonts w:ascii="Cambria" w:hAnsi="Cambria"/>
        </w:rPr>
        <w:t>total purchasing value.</w:t>
      </w:r>
    </w:p>
    <w:p w14:paraId="56B9DA55" w14:textId="7BD455D1" w:rsidR="008F2D7C" w:rsidRDefault="008F2D7C">
      <w:r>
        <w:br w:type="page"/>
      </w:r>
    </w:p>
    <w:p w14:paraId="364ACD59" w14:textId="4B59C3AC" w:rsidR="00730D6E" w:rsidRPr="008F2D7C" w:rsidRDefault="00730D6E" w:rsidP="001C2518">
      <w:pPr>
        <w:tabs>
          <w:tab w:val="left" w:pos="1710"/>
        </w:tabs>
        <w:rPr>
          <w:rFonts w:ascii="Cambria" w:hAnsi="Cambria"/>
        </w:rPr>
      </w:pPr>
      <w:r w:rsidRPr="008F2D7C">
        <w:rPr>
          <w:rFonts w:ascii="Cambria" w:hAnsi="Cambria"/>
        </w:rPr>
        <w:lastRenderedPageBreak/>
        <w:t xml:space="preserve">2. </w:t>
      </w:r>
    </w:p>
    <w:p w14:paraId="4DB47154" w14:textId="511C24AA" w:rsidR="00730D6E" w:rsidRDefault="008F2D7C" w:rsidP="008F2D7C">
      <w:pPr>
        <w:tabs>
          <w:tab w:val="left" w:pos="1710"/>
        </w:tabs>
      </w:pPr>
      <w:r>
        <w:rPr>
          <w:noProof/>
        </w:rPr>
        <w:drawing>
          <wp:inline distT="0" distB="0" distL="0" distR="0" wp14:anchorId="695A49E8" wp14:editId="0CAD5CBE">
            <wp:extent cx="3533775" cy="2609241"/>
            <wp:effectExtent l="0" t="0" r="0" b="635"/>
            <wp:docPr id="3" name="Picture 3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>
                      <a:hlinkClick r:id="rId4"/>
                    </pic:cNvPr>
                    <pic:cNvPicPr/>
                  </pic:nvPicPr>
                  <pic:blipFill rotWithShape="1">
                    <a:blip r:embed="rId7"/>
                    <a:srcRect l="11700" t="30216" r="60736" b="33580"/>
                    <a:stretch/>
                  </pic:blipFill>
                  <pic:spPr bwMode="auto">
                    <a:xfrm>
                      <a:off x="0" y="0"/>
                      <a:ext cx="3548822" cy="26203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C6E165" w14:textId="54403872" w:rsidR="008F2D7C" w:rsidRDefault="008F2D7C" w:rsidP="008F2D7C">
      <w:pPr>
        <w:tabs>
          <w:tab w:val="left" w:pos="1710"/>
        </w:tabs>
      </w:pPr>
      <w:r>
        <w:rPr>
          <w:noProof/>
        </w:rPr>
        <w:drawing>
          <wp:inline distT="0" distB="0" distL="0" distR="0" wp14:anchorId="38DBADB3" wp14:editId="71CBA60F">
            <wp:extent cx="6262688" cy="2505075"/>
            <wp:effectExtent l="0" t="0" r="5080" b="0"/>
            <wp:docPr id="4" name="Picture 4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>
                      <a:hlinkClick r:id="rId4"/>
                    </pic:cNvPr>
                    <pic:cNvPicPr/>
                  </pic:nvPicPr>
                  <pic:blipFill rotWithShape="1">
                    <a:blip r:embed="rId8"/>
                    <a:srcRect l="11700" t="35918" r="36217" b="27024"/>
                    <a:stretch/>
                  </pic:blipFill>
                  <pic:spPr bwMode="auto">
                    <a:xfrm>
                      <a:off x="0" y="0"/>
                      <a:ext cx="6272106" cy="25088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2ABD38" w14:textId="354A9E7E" w:rsidR="008F2D7C" w:rsidRDefault="008F2D7C" w:rsidP="008F2D7C">
      <w:pPr>
        <w:tabs>
          <w:tab w:val="left" w:pos="1710"/>
        </w:tabs>
        <w:rPr>
          <w:rFonts w:ascii="Cambria" w:hAnsi="Cambria"/>
        </w:rPr>
      </w:pPr>
      <w:r w:rsidRPr="00730D6E">
        <w:rPr>
          <w:rFonts w:ascii="Cambria" w:hAnsi="Cambria"/>
        </w:rPr>
        <w:t xml:space="preserve">The </w:t>
      </w:r>
      <w:r>
        <w:rPr>
          <w:rFonts w:ascii="Cambria" w:hAnsi="Cambria"/>
        </w:rPr>
        <w:t xml:space="preserve">young adult age range (20 – 24) takes up </w:t>
      </w:r>
      <w:r w:rsidRPr="008F2D7C">
        <w:rPr>
          <w:rFonts w:ascii="Cambria" w:hAnsi="Cambria"/>
          <w:b/>
          <w:bCs/>
        </w:rPr>
        <w:t>44.79%</w:t>
      </w:r>
      <w:r>
        <w:rPr>
          <w:rFonts w:ascii="Cambria" w:hAnsi="Cambria"/>
        </w:rPr>
        <w:t xml:space="preserve"> of t</w:t>
      </w:r>
      <w:r w:rsidRPr="00730D6E">
        <w:rPr>
          <w:rFonts w:ascii="Cambria" w:hAnsi="Cambria"/>
        </w:rPr>
        <w:t>he Heroes of Pymoli gaming world</w:t>
      </w:r>
      <w:r>
        <w:rPr>
          <w:rFonts w:ascii="Cambria" w:hAnsi="Cambria"/>
        </w:rPr>
        <w:t>. It also has the</w:t>
      </w:r>
      <w:r w:rsidRPr="00730D6E">
        <w:rPr>
          <w:rFonts w:ascii="Cambria" w:hAnsi="Cambria"/>
        </w:rPr>
        <w:t xml:space="preserve"> highest</w:t>
      </w:r>
      <w:r>
        <w:rPr>
          <w:rFonts w:ascii="Cambria" w:hAnsi="Cambria"/>
        </w:rPr>
        <w:t xml:space="preserve"> </w:t>
      </w:r>
      <w:r w:rsidRPr="00730D6E">
        <w:rPr>
          <w:rFonts w:ascii="Cambria" w:hAnsi="Cambria"/>
        </w:rPr>
        <w:t>total purchas</w:t>
      </w:r>
      <w:r>
        <w:rPr>
          <w:rFonts w:ascii="Cambria" w:hAnsi="Cambria"/>
        </w:rPr>
        <w:t>ing</w:t>
      </w:r>
      <w:r w:rsidRPr="00730D6E">
        <w:rPr>
          <w:rFonts w:ascii="Cambria" w:hAnsi="Cambria"/>
        </w:rPr>
        <w:t xml:space="preserve"> value </w:t>
      </w:r>
      <w:r>
        <w:rPr>
          <w:rFonts w:ascii="Cambria" w:hAnsi="Cambria"/>
        </w:rPr>
        <w:t xml:space="preserve">of </w:t>
      </w:r>
      <w:r w:rsidRPr="008F2D7C">
        <w:rPr>
          <w:rFonts w:ascii="Cambria" w:hAnsi="Cambria"/>
          <w:b/>
          <w:bCs/>
        </w:rPr>
        <w:t>$1,114.06</w:t>
      </w:r>
      <w:r>
        <w:rPr>
          <w:rFonts w:ascii="Cambria" w:hAnsi="Cambria"/>
        </w:rPr>
        <w:t xml:space="preserve"> </w:t>
      </w:r>
      <w:r w:rsidRPr="00730D6E">
        <w:rPr>
          <w:rFonts w:ascii="Cambria" w:hAnsi="Cambria"/>
        </w:rPr>
        <w:t>(</w:t>
      </w:r>
      <w:r w:rsidRPr="00730D6E">
        <w:rPr>
          <w:rFonts w:ascii="Cambria" w:hAnsi="Cambria"/>
          <w:i/>
          <w:iCs/>
        </w:rPr>
        <w:t>as seen above</w:t>
      </w:r>
      <w:r w:rsidRPr="00730D6E">
        <w:rPr>
          <w:rFonts w:ascii="Cambria" w:hAnsi="Cambria"/>
        </w:rPr>
        <w:t>).</w:t>
      </w:r>
      <w:r>
        <w:rPr>
          <w:rFonts w:ascii="Cambria" w:hAnsi="Cambria"/>
        </w:rPr>
        <w:t xml:space="preserve"> The teen age range (15 -</w:t>
      </w:r>
      <w:r w:rsidR="002E67B3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19) comes second with a </w:t>
      </w:r>
      <w:r w:rsidRPr="008F2D7C">
        <w:rPr>
          <w:rFonts w:ascii="Cambria" w:hAnsi="Cambria"/>
          <w:b/>
          <w:bCs/>
          <w:color w:val="002060"/>
        </w:rPr>
        <w:t>18.58%</w:t>
      </w:r>
      <w:r w:rsidRPr="008F2D7C">
        <w:rPr>
          <w:rFonts w:ascii="Cambria" w:hAnsi="Cambria"/>
          <w:color w:val="002060"/>
        </w:rPr>
        <w:t xml:space="preserve"> </w:t>
      </w:r>
      <w:r>
        <w:rPr>
          <w:rFonts w:ascii="Cambria" w:hAnsi="Cambria"/>
        </w:rPr>
        <w:t xml:space="preserve">presence and a total purchasing value of </w:t>
      </w:r>
      <w:r w:rsidRPr="008F2D7C">
        <w:rPr>
          <w:rFonts w:ascii="Cambria" w:hAnsi="Cambria"/>
          <w:b/>
          <w:bCs/>
          <w:color w:val="002060"/>
        </w:rPr>
        <w:t>$412.89</w:t>
      </w:r>
      <w:r>
        <w:rPr>
          <w:rFonts w:ascii="Cambria" w:hAnsi="Cambria"/>
        </w:rPr>
        <w:t>.</w:t>
      </w:r>
    </w:p>
    <w:p w14:paraId="0AAF0F2F" w14:textId="78E63585" w:rsidR="002E67B3" w:rsidRDefault="002E67B3">
      <w:pPr>
        <w:rPr>
          <w:rFonts w:ascii="Cambria" w:hAnsi="Cambria"/>
        </w:rPr>
      </w:pPr>
      <w:r>
        <w:rPr>
          <w:rFonts w:ascii="Cambria" w:hAnsi="Cambria"/>
        </w:rPr>
        <w:br w:type="page"/>
      </w:r>
    </w:p>
    <w:p w14:paraId="32A0190B" w14:textId="6FE57E42" w:rsidR="002E67B3" w:rsidRDefault="002E67B3" w:rsidP="008F2D7C">
      <w:pPr>
        <w:tabs>
          <w:tab w:val="left" w:pos="1710"/>
        </w:tabs>
        <w:rPr>
          <w:rFonts w:ascii="Cambria" w:hAnsi="Cambria"/>
        </w:rPr>
      </w:pPr>
      <w:r>
        <w:rPr>
          <w:rFonts w:ascii="Cambria" w:hAnsi="Cambria"/>
        </w:rPr>
        <w:lastRenderedPageBreak/>
        <w:t>3.</w:t>
      </w:r>
    </w:p>
    <w:p w14:paraId="52298AC8" w14:textId="6BD65DD7" w:rsidR="002E67B3" w:rsidRPr="00730D6E" w:rsidRDefault="002E67B3" w:rsidP="002E67B3">
      <w:pPr>
        <w:tabs>
          <w:tab w:val="left" w:pos="1710"/>
        </w:tabs>
        <w:jc w:val="both"/>
        <w:rPr>
          <w:rFonts w:ascii="Cambria" w:hAnsi="Cambria"/>
        </w:rPr>
      </w:pPr>
      <w:r>
        <w:rPr>
          <w:noProof/>
        </w:rPr>
        <w:drawing>
          <wp:inline distT="0" distB="0" distL="0" distR="0" wp14:anchorId="2468556F" wp14:editId="2CAE80C4">
            <wp:extent cx="6012280" cy="1704975"/>
            <wp:effectExtent l="0" t="0" r="7620" b="0"/>
            <wp:docPr id="5" name="Picture 5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>
                      <a:hlinkClick r:id="rId4"/>
                    </pic:cNvPr>
                    <pic:cNvPicPr/>
                  </pic:nvPicPr>
                  <pic:blipFill rotWithShape="1">
                    <a:blip r:embed="rId9"/>
                    <a:srcRect l="11057" t="43614" r="35257" b="29304"/>
                    <a:stretch/>
                  </pic:blipFill>
                  <pic:spPr bwMode="auto">
                    <a:xfrm>
                      <a:off x="0" y="0"/>
                      <a:ext cx="6015318" cy="17058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1477E9" w14:textId="77777777" w:rsidR="002E67B3" w:rsidRDefault="002E67B3" w:rsidP="008F2D7C">
      <w:pPr>
        <w:tabs>
          <w:tab w:val="left" w:pos="1710"/>
        </w:tabs>
        <w:rPr>
          <w:noProof/>
        </w:rPr>
      </w:pPr>
    </w:p>
    <w:p w14:paraId="3EC25BA2" w14:textId="7FA26E56" w:rsidR="008F2D7C" w:rsidRDefault="002E67B3" w:rsidP="002E67B3">
      <w:pPr>
        <w:tabs>
          <w:tab w:val="left" w:pos="1710"/>
        </w:tabs>
        <w:rPr>
          <w:rFonts w:ascii="Cambria" w:hAnsi="Cambria"/>
        </w:rPr>
      </w:pPr>
      <w:r>
        <w:rPr>
          <w:noProof/>
        </w:rPr>
        <w:drawing>
          <wp:inline distT="0" distB="0" distL="0" distR="0" wp14:anchorId="031DFF08" wp14:editId="61867E26">
            <wp:extent cx="6333423" cy="1790700"/>
            <wp:effectExtent l="0" t="0" r="0" b="0"/>
            <wp:docPr id="6" name="Picture 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>
                      <a:hlinkClick r:id="rId4"/>
                    </pic:cNvPr>
                    <pic:cNvPicPr/>
                  </pic:nvPicPr>
                  <pic:blipFill rotWithShape="1">
                    <a:blip r:embed="rId10"/>
                    <a:srcRect l="10737" t="47891" r="35417" b="25028"/>
                    <a:stretch/>
                  </pic:blipFill>
                  <pic:spPr bwMode="auto">
                    <a:xfrm>
                      <a:off x="0" y="0"/>
                      <a:ext cx="6339229" cy="17923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6FE716" w14:textId="6738903B" w:rsidR="002E67B3" w:rsidRPr="008F2D7C" w:rsidRDefault="002E67B3" w:rsidP="002E67B3">
      <w:pPr>
        <w:tabs>
          <w:tab w:val="left" w:pos="1710"/>
        </w:tabs>
        <w:rPr>
          <w:rFonts w:ascii="Cambria" w:hAnsi="Cambria"/>
        </w:rPr>
      </w:pPr>
      <w:r w:rsidRPr="002E67B3">
        <w:rPr>
          <w:rFonts w:ascii="Cambria" w:hAnsi="Cambria"/>
          <w:b/>
          <w:bCs/>
        </w:rPr>
        <w:t>Oathbreaker</w:t>
      </w:r>
      <w:bookmarkStart w:id="0" w:name="_GoBack"/>
      <w:bookmarkEnd w:id="0"/>
      <w:r w:rsidRPr="002E67B3">
        <w:rPr>
          <w:rFonts w:ascii="Cambria" w:hAnsi="Cambria"/>
          <w:b/>
          <w:bCs/>
        </w:rPr>
        <w:t>, Last Hope of the Breaking Storm</w:t>
      </w:r>
      <w:r>
        <w:rPr>
          <w:rFonts w:ascii="Cambria" w:hAnsi="Cambria"/>
        </w:rPr>
        <w:t xml:space="preserve"> is the #1 gamer’s choice (</w:t>
      </w:r>
      <w:r w:rsidRPr="002E67B3">
        <w:rPr>
          <w:rFonts w:ascii="Cambria" w:hAnsi="Cambria"/>
          <w:b/>
          <w:bCs/>
        </w:rPr>
        <w:t>Purchase Count: 12</w:t>
      </w:r>
      <w:r>
        <w:rPr>
          <w:rFonts w:ascii="Cambria" w:hAnsi="Cambria"/>
        </w:rPr>
        <w:t>) with the highest profits out of all games (</w:t>
      </w:r>
      <w:r w:rsidRPr="002E67B3">
        <w:rPr>
          <w:rFonts w:ascii="Cambria" w:hAnsi="Cambria"/>
          <w:b/>
          <w:bCs/>
        </w:rPr>
        <w:t>Total Purchase Value: $50.76</w:t>
      </w:r>
      <w:r>
        <w:rPr>
          <w:rFonts w:ascii="Cambria" w:hAnsi="Cambria"/>
        </w:rPr>
        <w:t xml:space="preserve">). </w:t>
      </w:r>
      <w:r w:rsidRPr="002E67B3">
        <w:rPr>
          <w:rFonts w:ascii="Cambria" w:hAnsi="Cambria"/>
          <w:b/>
          <w:bCs/>
        </w:rPr>
        <w:t>Nirvana</w:t>
      </w:r>
      <w:r>
        <w:rPr>
          <w:rFonts w:ascii="Cambria" w:hAnsi="Cambria"/>
        </w:rPr>
        <w:t xml:space="preserve"> ranks second (</w:t>
      </w:r>
      <w:r w:rsidRPr="002E67B3">
        <w:rPr>
          <w:rFonts w:ascii="Cambria" w:hAnsi="Cambria"/>
          <w:b/>
          <w:bCs/>
          <w:color w:val="FF3300"/>
        </w:rPr>
        <w:t>Purchase Count: 9</w:t>
      </w:r>
      <w:r>
        <w:rPr>
          <w:rFonts w:ascii="Cambria" w:hAnsi="Cambria"/>
        </w:rPr>
        <w:t xml:space="preserve">) with a </w:t>
      </w:r>
      <w:r w:rsidRPr="002E67B3">
        <w:rPr>
          <w:rFonts w:ascii="Cambria" w:hAnsi="Cambria"/>
          <w:b/>
          <w:bCs/>
          <w:color w:val="FF3300"/>
        </w:rPr>
        <w:t>$44.10</w:t>
      </w:r>
      <w:r>
        <w:rPr>
          <w:rFonts w:ascii="Cambria" w:hAnsi="Cambria"/>
        </w:rPr>
        <w:t xml:space="preserve"> total purchase value.</w:t>
      </w:r>
    </w:p>
    <w:sectPr w:rsidR="002E67B3" w:rsidRPr="008F2D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87E"/>
    <w:rsid w:val="00113E06"/>
    <w:rsid w:val="001C2518"/>
    <w:rsid w:val="002E67B3"/>
    <w:rsid w:val="0031187E"/>
    <w:rsid w:val="004A270D"/>
    <w:rsid w:val="00730D6E"/>
    <w:rsid w:val="007914BB"/>
    <w:rsid w:val="008F2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7DC70"/>
  <w15:chartTrackingRefBased/>
  <w15:docId w15:val="{F515C787-341C-4B1C-BEAE-23EDDDBA2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ro-esq7/HeroesOfPymoli_RE.git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Rosarys Esquilin</dc:creator>
  <cp:keywords/>
  <dc:description/>
  <cp:lastModifiedBy>Rosarys Esquilin</cp:lastModifiedBy>
  <cp:revision>4</cp:revision>
  <dcterms:created xsi:type="dcterms:W3CDTF">2019-08-25T03:04:00Z</dcterms:created>
  <dcterms:modified xsi:type="dcterms:W3CDTF">2019-08-25T03:05:00Z</dcterms:modified>
</cp:coreProperties>
</file>