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A214B9">
      <w:pPr>
        <w:spacing w:before="240"/>
        <w:jc w:val="center"/>
        <w:rPr>
          <w:rFonts w:ascii="华文中宋" w:eastAsia="华文中宋"/>
          <w:b/>
          <w:color w:val="000000"/>
          <w:w w:val="80"/>
        </w:rPr>
      </w:pPr>
      <w:r>
        <w:rPr>
          <w:rFonts w:hint="eastAsia" w:ascii="华文中宋" w:eastAsia="华文中宋"/>
          <w:b/>
          <w:color w:val="000000"/>
          <w:w w:val="80"/>
        </w:rPr>
        <w:drawing>
          <wp:inline distT="0" distB="0" distL="0" distR="0">
            <wp:extent cx="619125" cy="619125"/>
            <wp:effectExtent l="19050" t="0" r="9525" b="0"/>
            <wp:docPr id="1" name="图片 1"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
                    <pic:cNvPicPr>
                      <a:picLocks noChangeAspect="1" noChangeArrowheads="1"/>
                    </pic:cNvPicPr>
                  </pic:nvPicPr>
                  <pic:blipFill>
                    <a:blip r:embed="rId6" cstate="print"/>
                    <a:srcRect/>
                    <a:stretch>
                      <a:fillRect/>
                    </a:stretch>
                  </pic:blipFill>
                  <pic:spPr>
                    <a:xfrm>
                      <a:off x="0" y="0"/>
                      <a:ext cx="619125" cy="619125"/>
                    </a:xfrm>
                    <a:prstGeom prst="rect">
                      <a:avLst/>
                    </a:prstGeom>
                    <a:noFill/>
                    <a:ln w="9525">
                      <a:noFill/>
                      <a:miter lim="800000"/>
                      <a:headEnd/>
                      <a:tailEnd/>
                    </a:ln>
                  </pic:spPr>
                </pic:pic>
              </a:graphicData>
            </a:graphic>
          </wp:inline>
        </w:drawing>
      </w:r>
      <w:r>
        <w:rPr>
          <w:rFonts w:hint="eastAsia" w:ascii="华文中宋" w:eastAsia="华文中宋"/>
          <w:b/>
          <w:color w:val="000000"/>
          <w:w w:val="80"/>
        </w:rPr>
        <w:drawing>
          <wp:inline distT="0" distB="0" distL="0" distR="0">
            <wp:extent cx="1533525" cy="600075"/>
            <wp:effectExtent l="19050" t="0" r="9525" b="0"/>
            <wp:docPr id="2"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
                    <pic:cNvPicPr>
                      <a:picLocks noChangeAspect="1" noChangeArrowheads="1"/>
                    </pic:cNvPicPr>
                  </pic:nvPicPr>
                  <pic:blipFill>
                    <a:blip r:embed="rId7" cstate="print"/>
                    <a:srcRect/>
                    <a:stretch>
                      <a:fillRect/>
                    </a:stretch>
                  </pic:blipFill>
                  <pic:spPr>
                    <a:xfrm>
                      <a:off x="0" y="0"/>
                      <a:ext cx="1533525" cy="600075"/>
                    </a:xfrm>
                    <a:prstGeom prst="rect">
                      <a:avLst/>
                    </a:prstGeom>
                    <a:noFill/>
                    <a:ln w="9525">
                      <a:noFill/>
                      <a:miter lim="800000"/>
                      <a:headEnd/>
                      <a:tailEnd/>
                    </a:ln>
                  </pic:spPr>
                </pic:pic>
              </a:graphicData>
            </a:graphic>
          </wp:inline>
        </w:drawing>
      </w:r>
    </w:p>
    <w:p w14:paraId="3E01D147">
      <w:pPr>
        <w:snapToGrid w:val="0"/>
        <w:spacing w:before="360"/>
        <w:jc w:val="center"/>
        <w:rPr>
          <w:rFonts w:hint="eastAsia" w:ascii="KaiTi_GB2312" w:hAnsi="华文中宋" w:eastAsia="KaiTi_GB2312"/>
          <w:b/>
          <w:color w:val="000000"/>
          <w:w w:val="80"/>
          <w:sz w:val="52"/>
          <w:szCs w:val="52"/>
        </w:rPr>
      </w:pPr>
      <w:r>
        <w:rPr>
          <w:rFonts w:hint="eastAsia" w:ascii="KaiTi_GB2312" w:hAnsi="华文中宋" w:eastAsia="KaiTi_GB2312"/>
          <w:b/>
          <w:color w:val="000000"/>
          <w:w w:val="80"/>
          <w:sz w:val="52"/>
          <w:szCs w:val="52"/>
        </w:rPr>
        <w:t xml:space="preserve"> 第二十批“大学生创新训练计划”项目</w:t>
      </w:r>
    </w:p>
    <w:p w14:paraId="66C662FD">
      <w:pPr>
        <w:snapToGrid w:val="0"/>
        <w:spacing w:before="360"/>
        <w:jc w:val="center"/>
        <w:rPr>
          <w:rFonts w:hint="eastAsia" w:ascii="KaiTi_GB2312" w:hAnsi="华文中宋" w:eastAsia="KaiTi_GB2312"/>
          <w:b/>
          <w:color w:val="000000"/>
          <w:w w:val="80"/>
          <w:sz w:val="52"/>
          <w:szCs w:val="52"/>
        </w:rPr>
      </w:pPr>
      <w:r>
        <w:rPr>
          <w:rFonts w:hint="eastAsia" w:ascii="KaiTi_GB2312" w:hAnsi="华文中宋" w:eastAsia="KaiTi_GB2312"/>
          <w:b/>
          <w:color w:val="000000"/>
          <w:w w:val="80"/>
          <w:sz w:val="52"/>
          <w:szCs w:val="52"/>
        </w:rPr>
        <w:t>中期检查报告书</w:t>
      </w:r>
    </w:p>
    <w:p w14:paraId="63D067B6">
      <w:pPr>
        <w:snapToGrid w:val="0"/>
        <w:spacing w:before="360"/>
        <w:jc w:val="center"/>
        <w:rPr>
          <w:rFonts w:hint="eastAsia" w:ascii="华文中宋" w:hAnsi="华文中宋" w:eastAsia="华文中宋"/>
          <w:b/>
          <w:color w:val="000000"/>
          <w:w w:val="80"/>
          <w:sz w:val="30"/>
          <w:szCs w:val="30"/>
        </w:rPr>
      </w:pPr>
    </w:p>
    <w:p w14:paraId="4D27AF39">
      <w:pPr>
        <w:snapToGrid w:val="0"/>
        <w:spacing w:before="360"/>
        <w:jc w:val="center"/>
        <w:rPr>
          <w:rFonts w:hint="eastAsia" w:ascii="华文中宋" w:hAnsi="华文中宋" w:eastAsia="华文中宋"/>
          <w:b/>
          <w:color w:val="000000"/>
          <w:w w:val="80"/>
          <w:sz w:val="30"/>
          <w:szCs w:val="30"/>
        </w:rPr>
      </w:pPr>
    </w:p>
    <w:p w14:paraId="0679EC16">
      <w:pPr>
        <w:spacing w:before="240"/>
        <w:ind w:firstLine="1762" w:firstLineChars="787"/>
        <w:rPr>
          <w:rFonts w:hint="eastAsia" w:ascii="KaiTi_GB2312" w:hAnsi="华文中宋" w:eastAsia="KaiTi_GB2312"/>
          <w:color w:val="000000"/>
          <w:w w:val="80"/>
          <w:sz w:val="28"/>
          <w:szCs w:val="28"/>
          <w:u w:val="single"/>
        </w:rPr>
      </w:pPr>
      <w:r>
        <w:rPr>
          <w:rFonts w:hint="eastAsia" w:ascii="KaiTi_GB2312" w:hAnsi="华文中宋" w:eastAsia="KaiTi_GB2312"/>
          <w:color w:val="000000"/>
          <w:w w:val="80"/>
          <w:sz w:val="28"/>
          <w:szCs w:val="28"/>
        </w:rPr>
        <w:t>项目编号：</w:t>
      </w:r>
      <w:r>
        <w:rPr>
          <w:rFonts w:hint="eastAsia" w:ascii="KaiTi_GB2312" w:hAnsi="华文中宋" w:eastAsia="KaiTi_GB2312"/>
          <w:color w:val="000000"/>
          <w:w w:val="80"/>
          <w:sz w:val="28"/>
          <w:szCs w:val="28"/>
          <w:u w:val="single"/>
        </w:rPr>
        <w:t>　　260201　　　　　　　　　　　　　　　　</w:t>
      </w:r>
    </w:p>
    <w:p w14:paraId="0E62BB52">
      <w:pPr>
        <w:spacing w:before="240"/>
        <w:ind w:firstLine="1762" w:firstLineChars="787"/>
        <w:rPr>
          <w:rFonts w:hint="eastAsia" w:ascii="华文中宋" w:hAnsi="华文中宋" w:eastAsia="华文中宋"/>
          <w:color w:val="000000"/>
          <w:w w:val="80"/>
          <w:sz w:val="28"/>
          <w:szCs w:val="28"/>
          <w:u w:val="single"/>
        </w:rPr>
      </w:pPr>
      <w:r>
        <w:rPr>
          <w:rFonts w:hint="eastAsia" w:ascii="KaiTi_GB2312" w:hAnsi="华文中宋" w:eastAsia="KaiTi_GB2312"/>
          <w:color w:val="000000"/>
          <w:w w:val="80"/>
          <w:sz w:val="28"/>
          <w:szCs w:val="28"/>
        </w:rPr>
        <w:t>项目名称</w:t>
      </w:r>
      <w:r>
        <w:rPr>
          <w:rFonts w:hint="eastAsia" w:ascii="华文中宋" w:hAnsi="华文中宋" w:eastAsia="华文中宋"/>
          <w:color w:val="000000"/>
          <w:w w:val="80"/>
          <w:sz w:val="28"/>
          <w:szCs w:val="28"/>
        </w:rPr>
        <w:t>：</w:t>
      </w:r>
      <w:r>
        <w:rPr>
          <w:rFonts w:hint="eastAsia" w:ascii="华文中宋" w:hAnsi="华文中宋" w:eastAsia="华文中宋"/>
          <w:color w:val="000000"/>
          <w:w w:val="80"/>
          <w:sz w:val="28"/>
          <w:szCs w:val="28"/>
          <w:u w:val="single"/>
        </w:rPr>
        <w:t>　　基于物联网的智能跑步姿态纠正系统　　　</w:t>
      </w:r>
    </w:p>
    <w:p w14:paraId="7CB8FC85">
      <w:pPr>
        <w:spacing w:before="240"/>
        <w:ind w:firstLine="1762" w:firstLineChars="787"/>
        <w:rPr>
          <w:rFonts w:hint="eastAsia" w:ascii="KaiTi_GB2312" w:hAnsi="华文中宋" w:eastAsia="KaiTi_GB2312"/>
          <w:color w:val="000000"/>
          <w:w w:val="80"/>
          <w:sz w:val="28"/>
          <w:szCs w:val="28"/>
          <w:u w:val="single"/>
        </w:rPr>
      </w:pPr>
      <w:r>
        <w:rPr>
          <w:rFonts w:hint="eastAsia" w:ascii="KaiTi_GB2312" w:hAnsi="华文中宋" w:eastAsia="KaiTi_GB2312"/>
          <w:color w:val="000000"/>
          <w:w w:val="80"/>
          <w:sz w:val="28"/>
          <w:szCs w:val="28"/>
        </w:rPr>
        <w:t>项目负责人：</w:t>
      </w:r>
      <w:r>
        <w:rPr>
          <w:rFonts w:hint="eastAsia" w:ascii="KaiTi_GB2312" w:hAnsi="华文中宋" w:eastAsia="KaiTi_GB2312"/>
          <w:color w:val="000000"/>
          <w:w w:val="80"/>
          <w:sz w:val="28"/>
          <w:szCs w:val="28"/>
          <w:u w:val="single"/>
        </w:rPr>
        <w:t>　汪子轩　　　　　　　　　　　　　　　　</w:t>
      </w:r>
    </w:p>
    <w:p w14:paraId="5FBC824F">
      <w:pPr>
        <w:spacing w:before="240"/>
        <w:ind w:firstLine="1762" w:firstLineChars="787"/>
        <w:rPr>
          <w:rFonts w:hint="eastAsia" w:ascii="KaiTi_GB2312" w:hAnsi="华文中宋" w:eastAsia="KaiTi_GB2312"/>
          <w:color w:val="000000"/>
          <w:w w:val="80"/>
          <w:sz w:val="28"/>
          <w:szCs w:val="28"/>
          <w:u w:val="single"/>
        </w:rPr>
      </w:pPr>
      <w:r>
        <w:rPr>
          <w:rFonts w:hint="eastAsia" w:ascii="KaiTi_GB2312" w:hAnsi="华文中宋" w:eastAsia="KaiTi_GB2312"/>
          <w:color w:val="000000"/>
          <w:w w:val="80"/>
          <w:sz w:val="28"/>
          <w:szCs w:val="28"/>
        </w:rPr>
        <w:t>学院年级专业：</w:t>
      </w:r>
      <w:r>
        <w:rPr>
          <w:rFonts w:hint="eastAsia" w:ascii="KaiTi_GB2312" w:hAnsi="华文中宋" w:eastAsia="KaiTi_GB2312"/>
          <w:color w:val="000000"/>
          <w:w w:val="80"/>
          <w:sz w:val="28"/>
          <w:szCs w:val="28"/>
          <w:u w:val="single"/>
        </w:rPr>
        <w:t>　计算机科学与工程学院 2024级物联网工程</w:t>
      </w:r>
    </w:p>
    <w:p w14:paraId="5DE0049D">
      <w:pPr>
        <w:spacing w:before="240"/>
        <w:ind w:firstLine="1762" w:firstLineChars="787"/>
        <w:rPr>
          <w:rFonts w:hint="eastAsia" w:ascii="KaiTi_GB2312" w:hAnsi="华文中宋" w:eastAsia="KaiTi_GB2312"/>
          <w:color w:val="000000"/>
          <w:w w:val="80"/>
          <w:sz w:val="28"/>
          <w:szCs w:val="28"/>
          <w:u w:val="single"/>
        </w:rPr>
      </w:pPr>
      <w:r>
        <w:rPr>
          <w:rFonts w:hint="eastAsia" w:ascii="KaiTi_GB2312" w:hAnsi="华文中宋" w:eastAsia="KaiTi_GB2312"/>
          <w:color w:val="000000"/>
          <w:w w:val="80"/>
          <w:sz w:val="28"/>
          <w:szCs w:val="28"/>
        </w:rPr>
        <w:t>负责人联系电话：</w:t>
      </w:r>
      <w:r>
        <w:rPr>
          <w:rFonts w:hint="eastAsia" w:ascii="KaiTi_GB2312" w:hAnsi="华文中宋" w:eastAsia="KaiTi_GB2312"/>
          <w:color w:val="000000"/>
          <w:w w:val="80"/>
          <w:sz w:val="28"/>
          <w:szCs w:val="28"/>
          <w:u w:val="single"/>
        </w:rPr>
        <w:t>　13302479990　　　　　　　　　　　　</w:t>
      </w:r>
    </w:p>
    <w:p w14:paraId="761DD4CC">
      <w:pPr>
        <w:spacing w:before="240"/>
        <w:ind w:firstLine="1762" w:firstLineChars="787"/>
        <w:rPr>
          <w:rFonts w:hint="eastAsia" w:ascii="KaiTi_GB2312" w:hAnsi="华文中宋" w:eastAsia="KaiTi_GB2312"/>
          <w:color w:val="000000"/>
          <w:w w:val="80"/>
          <w:sz w:val="28"/>
          <w:szCs w:val="28"/>
          <w:u w:val="single"/>
        </w:rPr>
      </w:pPr>
      <w:r>
        <w:rPr>
          <w:rFonts w:hint="eastAsia" w:ascii="KaiTi_GB2312" w:hAnsi="华文中宋" w:eastAsia="KaiTi_GB2312"/>
          <w:color w:val="000000"/>
          <w:w w:val="80"/>
          <w:sz w:val="28"/>
          <w:szCs w:val="28"/>
        </w:rPr>
        <w:t>指导教师：</w:t>
      </w:r>
      <w:r>
        <w:rPr>
          <w:rFonts w:hint="eastAsia" w:ascii="KaiTi_GB2312" w:hAnsi="华文中宋" w:eastAsia="KaiTi_GB2312"/>
          <w:color w:val="000000"/>
          <w:w w:val="80"/>
          <w:sz w:val="28"/>
          <w:szCs w:val="28"/>
          <w:u w:val="single"/>
        </w:rPr>
        <w:t>　　　邓庆绪　　　　　　　　　　　　　　　</w:t>
      </w:r>
    </w:p>
    <w:p w14:paraId="7179872C">
      <w:pPr>
        <w:spacing w:before="240" w:line="360" w:lineRule="auto"/>
        <w:jc w:val="center"/>
        <w:rPr>
          <w:rFonts w:hint="eastAsia" w:ascii="黑体" w:hAnsi="宋体" w:eastAsia="黑体" w:cs="宋体"/>
          <w:b/>
          <w:color w:val="000000"/>
          <w:sz w:val="28"/>
          <w:szCs w:val="28"/>
        </w:rPr>
      </w:pPr>
    </w:p>
    <w:p w14:paraId="5E43A6EE">
      <w:pPr>
        <w:spacing w:before="240" w:line="360" w:lineRule="auto"/>
        <w:jc w:val="center"/>
        <w:rPr>
          <w:rFonts w:hint="eastAsia" w:asciiTheme="minorEastAsia" w:hAnsiTheme="minorEastAsia" w:eastAsiaTheme="minorEastAsia"/>
          <w:b/>
          <w:color w:val="000000"/>
          <w:sz w:val="28"/>
          <w:szCs w:val="28"/>
        </w:rPr>
      </w:pPr>
      <w:r>
        <w:rPr>
          <w:rFonts w:hint="eastAsia" w:cs="宋体" w:asciiTheme="minorEastAsia" w:hAnsiTheme="minorEastAsia" w:eastAsiaTheme="minorEastAsia"/>
          <w:b/>
          <w:color w:val="000000"/>
          <w:sz w:val="28"/>
          <w:szCs w:val="28"/>
        </w:rPr>
        <w:t>创新创业学院项目部</w:t>
      </w:r>
      <w:r>
        <w:rPr>
          <w:rFonts w:hint="eastAsia" w:asciiTheme="minorEastAsia" w:hAnsiTheme="minorEastAsia" w:eastAsiaTheme="minorEastAsia"/>
          <w:b/>
          <w:color w:val="000000"/>
          <w:sz w:val="28"/>
          <w:szCs w:val="28"/>
        </w:rPr>
        <w:t>制</w:t>
      </w:r>
    </w:p>
    <w:p w14:paraId="6467F3B7">
      <w:pPr>
        <w:spacing w:before="240" w:line="360" w:lineRule="auto"/>
        <w:jc w:val="center"/>
        <w:rPr>
          <w:rFonts w:hint="eastAsia" w:asciiTheme="minorEastAsia" w:hAnsiTheme="minorEastAsia" w:eastAsiaTheme="minorEastAsia"/>
          <w:b/>
          <w:color w:val="000000"/>
          <w:w w:val="80"/>
          <w:sz w:val="28"/>
          <w:szCs w:val="28"/>
        </w:rPr>
      </w:pPr>
      <w:r>
        <w:rPr>
          <w:rFonts w:hint="eastAsia" w:asciiTheme="minorEastAsia" w:hAnsiTheme="minorEastAsia" w:eastAsiaTheme="minorEastAsia"/>
          <w:b/>
          <w:color w:val="000000"/>
          <w:w w:val="80"/>
          <w:sz w:val="28"/>
          <w:szCs w:val="28"/>
        </w:rPr>
        <w:t>填表日期：2026年5月</w:t>
      </w:r>
    </w:p>
    <w:p w14:paraId="02FDABF8">
      <w:pPr>
        <w:jc w:val="center"/>
        <w:rPr>
          <w:b/>
          <w:spacing w:val="60"/>
          <w:sz w:val="32"/>
          <w:szCs w:val="32"/>
        </w:rPr>
      </w:pPr>
    </w:p>
    <w:p w14:paraId="58BAFF91">
      <w:pPr>
        <w:jc w:val="center"/>
        <w:rPr>
          <w:b/>
          <w:spacing w:val="60"/>
          <w:sz w:val="36"/>
          <w:szCs w:val="32"/>
        </w:rPr>
      </w:pPr>
      <w:r>
        <w:rPr>
          <w:rFonts w:hint="eastAsia"/>
          <w:b/>
          <w:spacing w:val="60"/>
          <w:sz w:val="36"/>
          <w:szCs w:val="32"/>
        </w:rPr>
        <w:t>填写说明</w:t>
      </w:r>
    </w:p>
    <w:p w14:paraId="18EB398B">
      <w:pPr>
        <w:jc w:val="left"/>
        <w:rPr>
          <w:rFonts w:hint="eastAsia" w:ascii="FangSong_GB2312" w:hAnsi="宋体" w:eastAsia="FangSong_GB2312"/>
          <w:sz w:val="28"/>
          <w:szCs w:val="28"/>
        </w:rPr>
      </w:pPr>
      <w:r>
        <w:rPr>
          <w:rFonts w:hint="eastAsia" w:ascii="FangSong_GB2312" w:hAnsi="宋体" w:eastAsia="FangSong_GB2312"/>
          <w:sz w:val="28"/>
          <w:szCs w:val="28"/>
        </w:rPr>
        <w:t>一、中期检查报告书要按照《第二十批大学生创新创业训练计划项目中期检查通知》要求，逐项认真填写，填写内容必须实事求是，表达明确严谨，空缺项要填“无”。</w:t>
      </w:r>
    </w:p>
    <w:p w14:paraId="130B4824">
      <w:pPr>
        <w:spacing w:line="480" w:lineRule="auto"/>
        <w:rPr>
          <w:rFonts w:hint="eastAsia" w:ascii="FangSong_GB2312" w:hAnsi="宋体" w:eastAsia="FangSong_GB2312"/>
          <w:sz w:val="28"/>
          <w:szCs w:val="28"/>
        </w:rPr>
      </w:pPr>
      <w:r>
        <w:rPr>
          <w:rFonts w:hint="eastAsia" w:ascii="FangSong_GB2312" w:hAnsi="宋体" w:eastAsia="FangSong_GB2312"/>
          <w:sz w:val="28"/>
          <w:szCs w:val="28"/>
        </w:rPr>
        <w:t>二、格式要求：正文为</w:t>
      </w:r>
      <w:r>
        <w:rPr>
          <w:rFonts w:hint="eastAsia" w:ascii="FangSong_GB2312" w:hAnsi="宋体" w:eastAsia="FangSong_GB2312"/>
          <w:b/>
          <w:sz w:val="28"/>
          <w:szCs w:val="28"/>
        </w:rPr>
        <w:t>小四号字体</w:t>
      </w:r>
      <w:r>
        <w:rPr>
          <w:rFonts w:hint="eastAsia" w:ascii="FangSong_GB2312" w:hAnsi="宋体" w:eastAsia="FangSong_GB2312"/>
          <w:sz w:val="28"/>
          <w:szCs w:val="28"/>
        </w:rPr>
        <w:t>。需签字部分由相关人员以黑色钢笔或水笔签名，或者使用电子签名。</w:t>
      </w:r>
    </w:p>
    <w:p w14:paraId="32DB3ADC">
      <w:pPr>
        <w:spacing w:line="480" w:lineRule="auto"/>
        <w:rPr>
          <w:rFonts w:hint="eastAsia" w:ascii="FangSong_GB2312" w:hAnsi="宋体" w:eastAsia="FangSong_GB2312"/>
          <w:sz w:val="28"/>
          <w:szCs w:val="28"/>
        </w:rPr>
      </w:pPr>
      <w:r>
        <w:rPr>
          <w:rFonts w:hint="eastAsia" w:ascii="FangSong_GB2312" w:hAnsi="宋体" w:eastAsia="FangSong_GB2312"/>
          <w:sz w:val="28"/>
          <w:szCs w:val="28"/>
        </w:rPr>
        <w:t>三、报告书填写内容应言简意赅，思路清晰，论证充分，字迹清楚。</w:t>
      </w:r>
    </w:p>
    <w:p w14:paraId="1F6DE317">
      <w:pPr>
        <w:spacing w:line="480" w:lineRule="auto"/>
        <w:rPr>
          <w:rFonts w:hint="eastAsia" w:ascii="宋体" w:hAnsi="宋体"/>
          <w:sz w:val="28"/>
          <w:szCs w:val="28"/>
        </w:rPr>
      </w:pPr>
      <w:r>
        <w:rPr>
          <w:rFonts w:hint="eastAsia" w:ascii="FangSong_GB2312" w:hAnsi="宋体" w:eastAsia="FangSong_GB2312"/>
          <w:sz w:val="28"/>
          <w:szCs w:val="28"/>
        </w:rPr>
        <w:t>四、如填表有不明事宜，请致电创新创业学院项目部：8367</w:t>
      </w:r>
      <w:r>
        <w:rPr>
          <w:rFonts w:ascii="FangSong_GB2312" w:hAnsi="宋体" w:eastAsia="FangSong_GB2312"/>
          <w:sz w:val="28"/>
          <w:szCs w:val="28"/>
        </w:rPr>
        <w:t>2206</w:t>
      </w:r>
      <w:r>
        <w:rPr>
          <w:rFonts w:hint="eastAsia" w:ascii="FangSong_GB2312" w:hAnsi="宋体" w:eastAsia="FangSong_GB2312"/>
          <w:sz w:val="28"/>
          <w:szCs w:val="28"/>
        </w:rPr>
        <w:t>/</w:t>
      </w:r>
      <w:r>
        <w:rPr>
          <w:rFonts w:ascii="FangSong_GB2312" w:hAnsi="宋体" w:eastAsia="FangSong_GB2312"/>
          <w:sz w:val="28"/>
          <w:szCs w:val="28"/>
        </w:rPr>
        <w:t>8367220</w:t>
      </w:r>
      <w:r>
        <w:rPr>
          <w:rFonts w:hint="eastAsia" w:ascii="FangSong_GB2312" w:hAnsi="宋体" w:eastAsia="FangSong_GB2312"/>
          <w:sz w:val="28"/>
          <w:szCs w:val="28"/>
        </w:rPr>
        <w:t xml:space="preserve">7。 </w:t>
      </w:r>
    </w:p>
    <w:p w14:paraId="55ADA2AD"/>
    <w:p w14:paraId="01469EF8"/>
    <w:p w14:paraId="0D4D3496"/>
    <w:p w14:paraId="65E72393"/>
    <w:p w14:paraId="6F4CB5DF"/>
    <w:p w14:paraId="6CEA3115"/>
    <w:p w14:paraId="6F69E33E"/>
    <w:p w14:paraId="4C3FC206"/>
    <w:p w14:paraId="45034DCD"/>
    <w:p w14:paraId="2ACC8159"/>
    <w:p w14:paraId="028AFEF0"/>
    <w:p w14:paraId="2962FB3B"/>
    <w:p w14:paraId="554CC932"/>
    <w:p w14:paraId="7DCF6DEF"/>
    <w:p w14:paraId="19B963CF"/>
    <w:p w14:paraId="7836CAF2"/>
    <w:p w14:paraId="6914A271"/>
    <w:p w14:paraId="57A8C50E"/>
    <w:p w14:paraId="009C9B88"/>
    <w:p w14:paraId="13076409"/>
    <w:p w14:paraId="0686BB7D">
      <w:pPr>
        <w:sectPr>
          <w:footerReference r:id="rId4" w:type="first"/>
          <w:footerReference r:id="rId3" w:type="default"/>
          <w:pgSz w:w="11906" w:h="16838"/>
          <w:pgMar w:top="1418" w:right="1797" w:bottom="1418" w:left="1797" w:header="851" w:footer="992" w:gutter="0"/>
          <w:pgNumType w:start="1"/>
          <w:cols w:space="425" w:num="1"/>
          <w:docGrid w:type="lines" w:linePitch="312" w:charSpace="0"/>
        </w:sectPr>
      </w:pPr>
    </w:p>
    <w:tbl>
      <w:tblPr>
        <w:tblStyle w:val="11"/>
        <w:tblW w:w="8500" w:type="dxa"/>
        <w:tblInd w:w="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0"/>
        <w:gridCol w:w="1200"/>
        <w:gridCol w:w="1320"/>
        <w:gridCol w:w="1680"/>
        <w:gridCol w:w="1713"/>
        <w:gridCol w:w="1827"/>
      </w:tblGrid>
      <w:tr w14:paraId="6EF29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500" w:type="dxa"/>
            <w:gridSpan w:val="6"/>
          </w:tcPr>
          <w:p w14:paraId="078AB29B">
            <w:pPr>
              <w:jc w:val="center"/>
              <w:rPr>
                <w:rFonts w:hint="eastAsia" w:ascii="宋体" w:hAnsi="宋体"/>
                <w:sz w:val="30"/>
              </w:rPr>
            </w:pPr>
            <w:r>
              <w:rPr>
                <w:rFonts w:hint="eastAsia" w:ascii="宋体" w:hAnsi="宋体"/>
                <w:b/>
                <w:bCs/>
                <w:sz w:val="28"/>
              </w:rPr>
              <w:t>一、项目组成员</w:t>
            </w:r>
          </w:p>
        </w:tc>
      </w:tr>
      <w:tr w14:paraId="481B1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60" w:type="dxa"/>
            <w:vAlign w:val="center"/>
          </w:tcPr>
          <w:p w14:paraId="6C46F528">
            <w:pPr>
              <w:tabs>
                <w:tab w:val="left" w:pos="645"/>
              </w:tabs>
              <w:jc w:val="center"/>
              <w:rPr>
                <w:rFonts w:hint="eastAsia" w:ascii="宋体" w:hAnsi="宋体"/>
                <w:sz w:val="24"/>
              </w:rPr>
            </w:pPr>
            <w:r>
              <w:rPr>
                <w:rFonts w:hint="eastAsia" w:ascii="宋体" w:hAnsi="宋体"/>
                <w:sz w:val="24"/>
              </w:rPr>
              <w:t>序号</w:t>
            </w:r>
          </w:p>
        </w:tc>
        <w:tc>
          <w:tcPr>
            <w:tcW w:w="1200" w:type="dxa"/>
            <w:vAlign w:val="center"/>
          </w:tcPr>
          <w:p w14:paraId="79380247">
            <w:pPr>
              <w:tabs>
                <w:tab w:val="left" w:pos="645"/>
              </w:tabs>
              <w:jc w:val="center"/>
              <w:rPr>
                <w:rFonts w:hint="eastAsia" w:ascii="宋体" w:hAnsi="宋体"/>
                <w:sz w:val="24"/>
              </w:rPr>
            </w:pPr>
            <w:r>
              <w:rPr>
                <w:rFonts w:hint="eastAsia" w:ascii="宋体" w:hAnsi="宋体"/>
                <w:sz w:val="24"/>
              </w:rPr>
              <w:t>学号</w:t>
            </w:r>
          </w:p>
        </w:tc>
        <w:tc>
          <w:tcPr>
            <w:tcW w:w="1320" w:type="dxa"/>
            <w:vAlign w:val="center"/>
          </w:tcPr>
          <w:p w14:paraId="74BC5CA5">
            <w:pPr>
              <w:tabs>
                <w:tab w:val="left" w:pos="645"/>
              </w:tabs>
              <w:jc w:val="center"/>
              <w:rPr>
                <w:rFonts w:hint="eastAsia" w:ascii="宋体" w:hAnsi="宋体"/>
                <w:sz w:val="24"/>
              </w:rPr>
            </w:pPr>
            <w:r>
              <w:rPr>
                <w:rFonts w:hint="eastAsia" w:ascii="宋体" w:hAnsi="宋体"/>
                <w:sz w:val="24"/>
              </w:rPr>
              <w:t>姓名</w:t>
            </w:r>
          </w:p>
        </w:tc>
        <w:tc>
          <w:tcPr>
            <w:tcW w:w="1680" w:type="dxa"/>
            <w:vAlign w:val="center"/>
          </w:tcPr>
          <w:p w14:paraId="793B13B5">
            <w:pPr>
              <w:tabs>
                <w:tab w:val="left" w:pos="645"/>
              </w:tabs>
              <w:jc w:val="center"/>
              <w:rPr>
                <w:rFonts w:hint="eastAsia" w:ascii="宋体" w:hAnsi="宋体"/>
                <w:sz w:val="24"/>
              </w:rPr>
            </w:pPr>
            <w:r>
              <w:rPr>
                <w:rFonts w:hint="eastAsia" w:ascii="宋体" w:hAnsi="宋体"/>
                <w:sz w:val="24"/>
              </w:rPr>
              <w:t>学院</w:t>
            </w:r>
          </w:p>
        </w:tc>
        <w:tc>
          <w:tcPr>
            <w:tcW w:w="1713" w:type="dxa"/>
            <w:vAlign w:val="center"/>
          </w:tcPr>
          <w:p w14:paraId="6A700B00">
            <w:pPr>
              <w:tabs>
                <w:tab w:val="left" w:pos="645"/>
              </w:tabs>
              <w:jc w:val="center"/>
              <w:rPr>
                <w:rFonts w:hint="eastAsia" w:ascii="宋体" w:hAnsi="宋体"/>
                <w:sz w:val="24"/>
              </w:rPr>
            </w:pPr>
            <w:r>
              <w:rPr>
                <w:rFonts w:hint="eastAsia" w:ascii="宋体" w:hAnsi="宋体"/>
                <w:sz w:val="24"/>
              </w:rPr>
              <w:t>项目中分工</w:t>
            </w:r>
          </w:p>
        </w:tc>
        <w:tc>
          <w:tcPr>
            <w:tcW w:w="1827" w:type="dxa"/>
            <w:vAlign w:val="center"/>
          </w:tcPr>
          <w:p w14:paraId="6762EFC4">
            <w:pPr>
              <w:tabs>
                <w:tab w:val="left" w:pos="645"/>
              </w:tabs>
              <w:jc w:val="center"/>
              <w:rPr>
                <w:rFonts w:hint="eastAsia" w:ascii="宋体" w:hAnsi="宋体"/>
                <w:sz w:val="24"/>
              </w:rPr>
            </w:pPr>
            <w:r>
              <w:rPr>
                <w:rFonts w:hint="eastAsia" w:ascii="宋体" w:hAnsi="宋体"/>
                <w:sz w:val="24"/>
              </w:rPr>
              <w:t>量化比例</w:t>
            </w:r>
          </w:p>
          <w:p w14:paraId="59951A34">
            <w:pPr>
              <w:tabs>
                <w:tab w:val="left" w:pos="645"/>
              </w:tabs>
              <w:jc w:val="center"/>
              <w:rPr>
                <w:rFonts w:hint="eastAsia" w:ascii="宋体" w:hAnsi="宋体"/>
                <w:sz w:val="24"/>
              </w:rPr>
            </w:pPr>
            <w:r>
              <w:rPr>
                <w:rFonts w:hint="eastAsia" w:ascii="宋体" w:hAnsi="宋体"/>
                <w:sz w:val="24"/>
              </w:rPr>
              <w:t>（百分比）</w:t>
            </w:r>
          </w:p>
        </w:tc>
      </w:tr>
      <w:tr w14:paraId="08594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60" w:type="dxa"/>
            <w:vAlign w:val="center"/>
          </w:tcPr>
          <w:p w14:paraId="52F04DD8">
            <w:pPr>
              <w:tabs>
                <w:tab w:val="left" w:pos="645"/>
              </w:tabs>
              <w:jc w:val="center"/>
              <w:rPr>
                <w:rFonts w:hint="eastAsia" w:ascii="宋体" w:hAnsi="宋体"/>
                <w:sz w:val="24"/>
              </w:rPr>
            </w:pPr>
            <w:r>
              <w:rPr>
                <w:rFonts w:hint="eastAsia" w:ascii="宋体" w:hAnsi="宋体"/>
                <w:sz w:val="24"/>
              </w:rPr>
              <w:t>1</w:t>
            </w:r>
          </w:p>
        </w:tc>
        <w:tc>
          <w:tcPr>
            <w:tcW w:w="1200" w:type="dxa"/>
            <w:vAlign w:val="center"/>
          </w:tcPr>
          <w:p w14:paraId="67E74623">
            <w:pPr>
              <w:tabs>
                <w:tab w:val="left" w:pos="645"/>
              </w:tabs>
              <w:jc w:val="center"/>
              <w:rPr>
                <w:rFonts w:hint="eastAsia" w:ascii="宋体" w:hAnsi="宋体"/>
                <w:sz w:val="24"/>
              </w:rPr>
            </w:pPr>
            <w:r>
              <w:rPr>
                <w:rFonts w:hint="eastAsia" w:ascii="宋体" w:hAnsi="宋体"/>
                <w:sz w:val="24"/>
              </w:rPr>
              <w:t>20245323</w:t>
            </w:r>
          </w:p>
        </w:tc>
        <w:tc>
          <w:tcPr>
            <w:tcW w:w="1320" w:type="dxa"/>
            <w:vAlign w:val="center"/>
          </w:tcPr>
          <w:p w14:paraId="2E7A916B">
            <w:pPr>
              <w:tabs>
                <w:tab w:val="left" w:pos="645"/>
              </w:tabs>
              <w:jc w:val="center"/>
              <w:rPr>
                <w:rFonts w:hint="eastAsia" w:ascii="宋体" w:hAnsi="宋体"/>
                <w:sz w:val="24"/>
              </w:rPr>
            </w:pPr>
            <w:r>
              <w:rPr>
                <w:rFonts w:hint="eastAsia" w:ascii="宋体" w:hAnsi="宋体"/>
                <w:sz w:val="24"/>
              </w:rPr>
              <w:t>汪子轩</w:t>
            </w:r>
          </w:p>
        </w:tc>
        <w:tc>
          <w:tcPr>
            <w:tcW w:w="1680" w:type="dxa"/>
            <w:vAlign w:val="center"/>
          </w:tcPr>
          <w:p w14:paraId="2F299482">
            <w:pPr>
              <w:tabs>
                <w:tab w:val="left" w:pos="645"/>
              </w:tabs>
              <w:jc w:val="center"/>
              <w:rPr>
                <w:rFonts w:hint="default" w:ascii="宋体" w:hAnsi="宋体" w:eastAsia="宋体"/>
                <w:sz w:val="24"/>
                <w:lang w:val="en-US" w:eastAsia="zh-CN"/>
              </w:rPr>
            </w:pPr>
            <w:r>
              <w:rPr>
                <w:rFonts w:hint="eastAsia" w:ascii="宋体" w:hAnsi="宋体"/>
                <w:sz w:val="24"/>
                <w:lang w:val="en-US" w:eastAsia="zh-CN"/>
              </w:rPr>
              <w:t>计算机科学与工程学院</w:t>
            </w:r>
          </w:p>
        </w:tc>
        <w:tc>
          <w:tcPr>
            <w:tcW w:w="1713" w:type="dxa"/>
            <w:vAlign w:val="center"/>
          </w:tcPr>
          <w:p w14:paraId="69330283">
            <w:pPr>
              <w:tabs>
                <w:tab w:val="left" w:pos="645"/>
              </w:tabs>
              <w:jc w:val="center"/>
              <w:rPr>
                <w:rFonts w:hint="eastAsia" w:ascii="宋体" w:hAnsi="宋体"/>
                <w:sz w:val="24"/>
              </w:rPr>
            </w:pPr>
            <w:r>
              <w:rPr>
                <w:rFonts w:hint="eastAsia" w:ascii="宋体" w:hAnsi="宋体"/>
                <w:sz w:val="24"/>
              </w:rPr>
              <w:t>项目负责人</w:t>
            </w:r>
          </w:p>
        </w:tc>
        <w:tc>
          <w:tcPr>
            <w:tcW w:w="1827" w:type="dxa"/>
            <w:vAlign w:val="center"/>
          </w:tcPr>
          <w:p w14:paraId="64F439C6">
            <w:pPr>
              <w:tabs>
                <w:tab w:val="left" w:pos="645"/>
              </w:tabs>
              <w:jc w:val="center"/>
              <w:rPr>
                <w:rFonts w:hint="eastAsia" w:ascii="宋体" w:hAnsi="宋体"/>
                <w:sz w:val="24"/>
              </w:rPr>
            </w:pPr>
            <w:r>
              <w:rPr>
                <w:rFonts w:hint="eastAsia" w:ascii="宋体" w:hAnsi="宋体"/>
                <w:sz w:val="24"/>
              </w:rPr>
              <w:t>35%</w:t>
            </w:r>
          </w:p>
        </w:tc>
      </w:tr>
      <w:tr w14:paraId="6671B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60" w:type="dxa"/>
            <w:vAlign w:val="center"/>
          </w:tcPr>
          <w:p w14:paraId="640AB3E6">
            <w:pPr>
              <w:tabs>
                <w:tab w:val="left" w:pos="645"/>
              </w:tabs>
              <w:jc w:val="center"/>
              <w:rPr>
                <w:rFonts w:hint="eastAsia" w:ascii="宋体" w:hAnsi="宋体"/>
                <w:sz w:val="24"/>
              </w:rPr>
            </w:pPr>
            <w:r>
              <w:rPr>
                <w:rFonts w:hint="eastAsia" w:ascii="宋体" w:hAnsi="宋体"/>
                <w:sz w:val="24"/>
              </w:rPr>
              <w:t>2</w:t>
            </w:r>
          </w:p>
        </w:tc>
        <w:tc>
          <w:tcPr>
            <w:tcW w:w="1200" w:type="dxa"/>
            <w:vAlign w:val="center"/>
          </w:tcPr>
          <w:p w14:paraId="09A46283">
            <w:pPr>
              <w:tabs>
                <w:tab w:val="left" w:pos="645"/>
              </w:tabs>
              <w:jc w:val="center"/>
              <w:rPr>
                <w:rFonts w:hint="eastAsia" w:ascii="宋体" w:hAnsi="宋体"/>
                <w:sz w:val="24"/>
              </w:rPr>
            </w:pPr>
            <w:r>
              <w:rPr>
                <w:rFonts w:hint="eastAsia" w:ascii="宋体" w:hAnsi="宋体"/>
                <w:sz w:val="24"/>
              </w:rPr>
              <w:t>20245356</w:t>
            </w:r>
          </w:p>
        </w:tc>
        <w:tc>
          <w:tcPr>
            <w:tcW w:w="1320" w:type="dxa"/>
            <w:vAlign w:val="center"/>
          </w:tcPr>
          <w:p w14:paraId="0263FAE9">
            <w:pPr>
              <w:tabs>
                <w:tab w:val="left" w:pos="645"/>
              </w:tabs>
              <w:jc w:val="center"/>
              <w:rPr>
                <w:rFonts w:hint="eastAsia" w:ascii="宋体" w:hAnsi="宋体"/>
                <w:sz w:val="24"/>
              </w:rPr>
            </w:pPr>
            <w:r>
              <w:rPr>
                <w:rFonts w:hint="eastAsia" w:ascii="宋体" w:hAnsi="宋体"/>
                <w:sz w:val="24"/>
              </w:rPr>
              <w:t>叶腾龙</w:t>
            </w:r>
          </w:p>
        </w:tc>
        <w:tc>
          <w:tcPr>
            <w:tcW w:w="1680" w:type="dxa"/>
            <w:vAlign w:val="center"/>
          </w:tcPr>
          <w:p w14:paraId="509D5C6A">
            <w:pPr>
              <w:tabs>
                <w:tab w:val="left" w:pos="645"/>
              </w:tabs>
              <w:jc w:val="center"/>
              <w:rPr>
                <w:rFonts w:hint="eastAsia" w:ascii="宋体" w:hAnsi="宋体"/>
                <w:sz w:val="24"/>
              </w:rPr>
            </w:pPr>
            <w:r>
              <w:rPr>
                <w:rFonts w:hint="eastAsia" w:ascii="宋体" w:hAnsi="宋体"/>
                <w:sz w:val="24"/>
                <w:lang w:val="en-US" w:eastAsia="zh-CN"/>
              </w:rPr>
              <w:t>计算机科学与工程学院</w:t>
            </w:r>
          </w:p>
        </w:tc>
        <w:tc>
          <w:tcPr>
            <w:tcW w:w="1713" w:type="dxa"/>
            <w:vAlign w:val="center"/>
          </w:tcPr>
          <w:p w14:paraId="3FEF28F3">
            <w:pPr>
              <w:tabs>
                <w:tab w:val="left" w:pos="645"/>
              </w:tabs>
              <w:jc w:val="center"/>
              <w:rPr>
                <w:rFonts w:hint="eastAsia" w:ascii="宋体" w:hAnsi="宋体"/>
                <w:sz w:val="24"/>
              </w:rPr>
            </w:pPr>
            <w:r>
              <w:rPr>
                <w:rFonts w:hint="eastAsia" w:ascii="宋体" w:hAnsi="宋体"/>
                <w:sz w:val="24"/>
              </w:rPr>
              <w:t>核心成员</w:t>
            </w:r>
          </w:p>
        </w:tc>
        <w:tc>
          <w:tcPr>
            <w:tcW w:w="1827" w:type="dxa"/>
            <w:vAlign w:val="center"/>
          </w:tcPr>
          <w:p w14:paraId="5502C5F9">
            <w:pPr>
              <w:tabs>
                <w:tab w:val="left" w:pos="645"/>
              </w:tabs>
              <w:jc w:val="center"/>
              <w:rPr>
                <w:rFonts w:hint="eastAsia" w:ascii="宋体" w:hAnsi="宋体"/>
                <w:sz w:val="24"/>
              </w:rPr>
            </w:pPr>
            <w:r>
              <w:rPr>
                <w:rFonts w:hint="eastAsia" w:ascii="宋体" w:hAnsi="宋体"/>
                <w:sz w:val="24"/>
              </w:rPr>
              <w:t>35%</w:t>
            </w:r>
          </w:p>
        </w:tc>
      </w:tr>
      <w:tr w14:paraId="0BB2D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60" w:type="dxa"/>
            <w:vAlign w:val="center"/>
          </w:tcPr>
          <w:p w14:paraId="338D0B65">
            <w:pPr>
              <w:tabs>
                <w:tab w:val="left" w:pos="645"/>
              </w:tabs>
              <w:jc w:val="center"/>
              <w:rPr>
                <w:rFonts w:hint="eastAsia" w:ascii="宋体" w:hAnsi="宋体"/>
                <w:sz w:val="24"/>
              </w:rPr>
            </w:pPr>
            <w:r>
              <w:rPr>
                <w:rFonts w:hint="eastAsia" w:ascii="宋体" w:hAnsi="宋体"/>
                <w:sz w:val="24"/>
              </w:rPr>
              <w:t>3</w:t>
            </w:r>
          </w:p>
        </w:tc>
        <w:tc>
          <w:tcPr>
            <w:tcW w:w="1200" w:type="dxa"/>
            <w:vAlign w:val="center"/>
          </w:tcPr>
          <w:p w14:paraId="44FAF78F">
            <w:pPr>
              <w:tabs>
                <w:tab w:val="left" w:pos="645"/>
              </w:tabs>
              <w:jc w:val="center"/>
              <w:rPr>
                <w:rFonts w:hint="eastAsia" w:ascii="宋体" w:hAnsi="宋体"/>
                <w:sz w:val="24"/>
              </w:rPr>
            </w:pPr>
            <w:r>
              <w:rPr>
                <w:rFonts w:hint="eastAsia" w:ascii="宋体" w:hAnsi="宋体"/>
                <w:sz w:val="24"/>
              </w:rPr>
              <w:t>20245616</w:t>
            </w:r>
          </w:p>
        </w:tc>
        <w:tc>
          <w:tcPr>
            <w:tcW w:w="1320" w:type="dxa"/>
            <w:vAlign w:val="center"/>
          </w:tcPr>
          <w:p w14:paraId="6AF808EE">
            <w:pPr>
              <w:tabs>
                <w:tab w:val="left" w:pos="645"/>
              </w:tabs>
              <w:jc w:val="center"/>
              <w:rPr>
                <w:rFonts w:hint="eastAsia" w:ascii="宋体" w:hAnsi="宋体"/>
                <w:sz w:val="24"/>
              </w:rPr>
            </w:pPr>
            <w:r>
              <w:rPr>
                <w:rFonts w:hint="eastAsia" w:ascii="宋体" w:hAnsi="宋体"/>
                <w:sz w:val="24"/>
              </w:rPr>
              <w:t>刘禹豪</w:t>
            </w:r>
          </w:p>
        </w:tc>
        <w:tc>
          <w:tcPr>
            <w:tcW w:w="1680" w:type="dxa"/>
            <w:vAlign w:val="center"/>
          </w:tcPr>
          <w:p w14:paraId="487B8673">
            <w:pPr>
              <w:tabs>
                <w:tab w:val="left" w:pos="645"/>
              </w:tabs>
              <w:jc w:val="center"/>
              <w:rPr>
                <w:rFonts w:hint="eastAsia" w:ascii="宋体" w:hAnsi="宋体"/>
                <w:sz w:val="24"/>
              </w:rPr>
            </w:pPr>
            <w:r>
              <w:rPr>
                <w:rFonts w:hint="eastAsia" w:ascii="宋体" w:hAnsi="宋体"/>
                <w:sz w:val="24"/>
                <w:lang w:val="en-US" w:eastAsia="zh-CN"/>
              </w:rPr>
              <w:t>计算机科学与工程学院</w:t>
            </w:r>
          </w:p>
        </w:tc>
        <w:tc>
          <w:tcPr>
            <w:tcW w:w="1713" w:type="dxa"/>
            <w:vAlign w:val="center"/>
          </w:tcPr>
          <w:p w14:paraId="45E1CA82">
            <w:pPr>
              <w:tabs>
                <w:tab w:val="left" w:pos="645"/>
              </w:tabs>
              <w:jc w:val="center"/>
              <w:rPr>
                <w:rFonts w:hint="eastAsia" w:ascii="宋体" w:hAnsi="宋体"/>
                <w:sz w:val="24"/>
              </w:rPr>
            </w:pPr>
            <w:r>
              <w:rPr>
                <w:rFonts w:hint="eastAsia" w:ascii="宋体" w:hAnsi="宋体"/>
                <w:sz w:val="24"/>
              </w:rPr>
              <w:t>预备成员</w:t>
            </w:r>
          </w:p>
        </w:tc>
        <w:tc>
          <w:tcPr>
            <w:tcW w:w="1827" w:type="dxa"/>
            <w:vAlign w:val="center"/>
          </w:tcPr>
          <w:p w14:paraId="0222CA2D">
            <w:pPr>
              <w:tabs>
                <w:tab w:val="left" w:pos="645"/>
              </w:tabs>
              <w:jc w:val="center"/>
              <w:rPr>
                <w:rFonts w:hint="eastAsia" w:ascii="宋体" w:hAnsi="宋体"/>
                <w:sz w:val="24"/>
              </w:rPr>
            </w:pPr>
            <w:r>
              <w:rPr>
                <w:rFonts w:hint="eastAsia" w:ascii="宋体" w:hAnsi="宋体"/>
                <w:sz w:val="24"/>
              </w:rPr>
              <w:t>10%</w:t>
            </w:r>
          </w:p>
        </w:tc>
      </w:tr>
      <w:tr w14:paraId="01740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60" w:type="dxa"/>
            <w:vAlign w:val="center"/>
          </w:tcPr>
          <w:p w14:paraId="67105057">
            <w:pPr>
              <w:tabs>
                <w:tab w:val="left" w:pos="645"/>
              </w:tabs>
              <w:jc w:val="center"/>
              <w:rPr>
                <w:rFonts w:hint="eastAsia" w:ascii="宋体" w:hAnsi="宋体"/>
                <w:sz w:val="24"/>
              </w:rPr>
            </w:pPr>
            <w:r>
              <w:rPr>
                <w:rFonts w:hint="eastAsia" w:ascii="宋体" w:hAnsi="宋体"/>
                <w:sz w:val="24"/>
              </w:rPr>
              <w:t>4</w:t>
            </w:r>
          </w:p>
        </w:tc>
        <w:tc>
          <w:tcPr>
            <w:tcW w:w="1200" w:type="dxa"/>
            <w:vAlign w:val="center"/>
          </w:tcPr>
          <w:p w14:paraId="77E711A1">
            <w:pPr>
              <w:tabs>
                <w:tab w:val="left" w:pos="645"/>
              </w:tabs>
              <w:jc w:val="center"/>
              <w:rPr>
                <w:rFonts w:hint="eastAsia" w:ascii="宋体" w:hAnsi="宋体"/>
                <w:sz w:val="24"/>
              </w:rPr>
            </w:pPr>
            <w:r>
              <w:rPr>
                <w:rFonts w:hint="eastAsia" w:ascii="宋体" w:hAnsi="宋体"/>
                <w:sz w:val="24"/>
              </w:rPr>
              <w:t>20244525</w:t>
            </w:r>
          </w:p>
        </w:tc>
        <w:tc>
          <w:tcPr>
            <w:tcW w:w="1320" w:type="dxa"/>
            <w:vAlign w:val="center"/>
          </w:tcPr>
          <w:p w14:paraId="769C3DF4">
            <w:pPr>
              <w:tabs>
                <w:tab w:val="left" w:pos="645"/>
              </w:tabs>
              <w:jc w:val="center"/>
              <w:rPr>
                <w:rFonts w:hint="eastAsia" w:ascii="宋体" w:hAnsi="宋体"/>
                <w:sz w:val="24"/>
              </w:rPr>
            </w:pPr>
            <w:r>
              <w:rPr>
                <w:rFonts w:hint="eastAsia" w:ascii="宋体" w:hAnsi="宋体"/>
                <w:sz w:val="24"/>
              </w:rPr>
              <w:t>潘彦希</w:t>
            </w:r>
          </w:p>
        </w:tc>
        <w:tc>
          <w:tcPr>
            <w:tcW w:w="1680" w:type="dxa"/>
            <w:vAlign w:val="center"/>
          </w:tcPr>
          <w:p w14:paraId="6301AC34">
            <w:pPr>
              <w:tabs>
                <w:tab w:val="left" w:pos="645"/>
              </w:tabs>
              <w:jc w:val="center"/>
              <w:rPr>
                <w:rFonts w:hint="eastAsia" w:ascii="宋体" w:hAnsi="宋体"/>
                <w:sz w:val="24"/>
              </w:rPr>
            </w:pPr>
            <w:r>
              <w:rPr>
                <w:rFonts w:hint="eastAsia" w:ascii="宋体" w:hAnsi="宋体"/>
                <w:sz w:val="24"/>
                <w:lang w:val="en-US" w:eastAsia="zh-CN"/>
              </w:rPr>
              <w:t>计算机科学与工程学院</w:t>
            </w:r>
          </w:p>
        </w:tc>
        <w:tc>
          <w:tcPr>
            <w:tcW w:w="1713" w:type="dxa"/>
            <w:vAlign w:val="center"/>
          </w:tcPr>
          <w:p w14:paraId="52383CC1">
            <w:pPr>
              <w:tabs>
                <w:tab w:val="left" w:pos="645"/>
              </w:tabs>
              <w:jc w:val="center"/>
              <w:rPr>
                <w:rFonts w:hint="eastAsia" w:ascii="宋体" w:hAnsi="宋体"/>
                <w:sz w:val="24"/>
              </w:rPr>
            </w:pPr>
            <w:r>
              <w:rPr>
                <w:rFonts w:hint="eastAsia" w:ascii="宋体" w:hAnsi="宋体"/>
                <w:sz w:val="24"/>
              </w:rPr>
              <w:t>预备成员</w:t>
            </w:r>
          </w:p>
        </w:tc>
        <w:tc>
          <w:tcPr>
            <w:tcW w:w="1827" w:type="dxa"/>
            <w:vAlign w:val="center"/>
          </w:tcPr>
          <w:p w14:paraId="527F873D">
            <w:pPr>
              <w:tabs>
                <w:tab w:val="left" w:pos="645"/>
              </w:tabs>
              <w:jc w:val="center"/>
              <w:rPr>
                <w:rFonts w:hint="eastAsia" w:ascii="宋体" w:hAnsi="宋体"/>
                <w:sz w:val="24"/>
              </w:rPr>
            </w:pPr>
            <w:r>
              <w:rPr>
                <w:rFonts w:hint="eastAsia" w:ascii="宋体" w:hAnsi="宋体"/>
                <w:sz w:val="24"/>
              </w:rPr>
              <w:t>10%</w:t>
            </w:r>
          </w:p>
        </w:tc>
      </w:tr>
      <w:tr w14:paraId="36B44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60" w:type="dxa"/>
            <w:vAlign w:val="center"/>
          </w:tcPr>
          <w:p w14:paraId="5A762316">
            <w:pPr>
              <w:tabs>
                <w:tab w:val="left" w:pos="645"/>
              </w:tabs>
              <w:jc w:val="center"/>
              <w:rPr>
                <w:rFonts w:hint="eastAsia" w:ascii="宋体" w:hAnsi="宋体"/>
                <w:sz w:val="24"/>
              </w:rPr>
            </w:pPr>
            <w:r>
              <w:rPr>
                <w:rFonts w:hint="eastAsia" w:ascii="宋体" w:hAnsi="宋体"/>
                <w:sz w:val="24"/>
              </w:rPr>
              <w:t>5</w:t>
            </w:r>
          </w:p>
        </w:tc>
        <w:tc>
          <w:tcPr>
            <w:tcW w:w="1200" w:type="dxa"/>
            <w:vAlign w:val="center"/>
          </w:tcPr>
          <w:p w14:paraId="012CE860">
            <w:pPr>
              <w:tabs>
                <w:tab w:val="left" w:pos="645"/>
              </w:tabs>
              <w:jc w:val="center"/>
              <w:rPr>
                <w:rFonts w:hint="eastAsia" w:ascii="宋体" w:hAnsi="宋体"/>
                <w:sz w:val="24"/>
              </w:rPr>
            </w:pPr>
            <w:r>
              <w:rPr>
                <w:rFonts w:hint="eastAsia" w:ascii="宋体" w:hAnsi="宋体"/>
                <w:sz w:val="24"/>
              </w:rPr>
              <w:t>20254533</w:t>
            </w:r>
          </w:p>
        </w:tc>
        <w:tc>
          <w:tcPr>
            <w:tcW w:w="1320" w:type="dxa"/>
            <w:vAlign w:val="center"/>
          </w:tcPr>
          <w:p w14:paraId="32DB609A">
            <w:pPr>
              <w:tabs>
                <w:tab w:val="left" w:pos="645"/>
              </w:tabs>
              <w:jc w:val="center"/>
              <w:rPr>
                <w:rFonts w:hint="eastAsia" w:ascii="宋体" w:hAnsi="宋体"/>
                <w:sz w:val="24"/>
              </w:rPr>
            </w:pPr>
            <w:r>
              <w:rPr>
                <w:rFonts w:hint="eastAsia" w:ascii="宋体" w:hAnsi="宋体"/>
                <w:sz w:val="24"/>
              </w:rPr>
              <w:t>梁淇深</w:t>
            </w:r>
          </w:p>
        </w:tc>
        <w:tc>
          <w:tcPr>
            <w:tcW w:w="1680" w:type="dxa"/>
            <w:vAlign w:val="center"/>
          </w:tcPr>
          <w:p w14:paraId="2515B07E">
            <w:pPr>
              <w:tabs>
                <w:tab w:val="left" w:pos="645"/>
              </w:tabs>
              <w:jc w:val="center"/>
              <w:rPr>
                <w:rFonts w:hint="eastAsia" w:ascii="宋体" w:hAnsi="宋体"/>
                <w:sz w:val="24"/>
              </w:rPr>
            </w:pPr>
            <w:r>
              <w:rPr>
                <w:rFonts w:hint="eastAsia" w:ascii="宋体" w:hAnsi="宋体"/>
                <w:sz w:val="24"/>
                <w:lang w:val="en-US" w:eastAsia="zh-CN"/>
              </w:rPr>
              <w:t>计算机科学与工程学院</w:t>
            </w:r>
          </w:p>
        </w:tc>
        <w:tc>
          <w:tcPr>
            <w:tcW w:w="1713" w:type="dxa"/>
            <w:vAlign w:val="center"/>
          </w:tcPr>
          <w:p w14:paraId="4C2087C2">
            <w:pPr>
              <w:tabs>
                <w:tab w:val="left" w:pos="645"/>
              </w:tabs>
              <w:jc w:val="center"/>
              <w:rPr>
                <w:rFonts w:hint="eastAsia" w:ascii="宋体" w:hAnsi="宋体"/>
                <w:sz w:val="24"/>
              </w:rPr>
            </w:pPr>
            <w:r>
              <w:rPr>
                <w:rFonts w:hint="eastAsia" w:ascii="宋体" w:hAnsi="宋体"/>
                <w:sz w:val="24"/>
              </w:rPr>
              <w:t>预备成员</w:t>
            </w:r>
          </w:p>
        </w:tc>
        <w:tc>
          <w:tcPr>
            <w:tcW w:w="1827" w:type="dxa"/>
            <w:vAlign w:val="center"/>
          </w:tcPr>
          <w:p w14:paraId="17050598">
            <w:pPr>
              <w:tabs>
                <w:tab w:val="left" w:pos="645"/>
              </w:tabs>
              <w:jc w:val="center"/>
              <w:rPr>
                <w:rFonts w:hint="eastAsia" w:ascii="宋体" w:hAnsi="宋体"/>
                <w:sz w:val="24"/>
              </w:rPr>
            </w:pPr>
            <w:r>
              <w:rPr>
                <w:rFonts w:hint="eastAsia" w:ascii="宋体" w:hAnsi="宋体"/>
                <w:sz w:val="24"/>
              </w:rPr>
              <w:t>10%</w:t>
            </w:r>
          </w:p>
        </w:tc>
      </w:tr>
      <w:tr w14:paraId="4B66D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8500" w:type="dxa"/>
            <w:gridSpan w:val="6"/>
          </w:tcPr>
          <w:p w14:paraId="3D24E4B5">
            <w:pPr>
              <w:jc w:val="center"/>
              <w:rPr>
                <w:rFonts w:hint="eastAsia" w:ascii="宋体" w:hAnsi="宋体"/>
                <w:b/>
                <w:bCs/>
                <w:sz w:val="24"/>
              </w:rPr>
            </w:pPr>
            <w:r>
              <w:rPr>
                <w:rFonts w:hint="eastAsia" w:ascii="宋体" w:hAnsi="宋体"/>
                <w:b/>
                <w:bCs/>
                <w:sz w:val="28"/>
              </w:rPr>
              <w:t>二、项目实施情况</w:t>
            </w:r>
          </w:p>
        </w:tc>
      </w:tr>
      <w:tr w14:paraId="24605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8500" w:type="dxa"/>
            <w:gridSpan w:val="6"/>
          </w:tcPr>
          <w:p w14:paraId="17521603">
            <w:pPr>
              <w:rPr>
                <w:sz w:val="24"/>
                <w:szCs w:val="24"/>
              </w:rPr>
            </w:pPr>
            <w:r>
              <w:rPr>
                <w:rFonts w:ascii="宋体" w:hAnsi="宋体" w:eastAsia="宋体"/>
                <w:b/>
                <w:sz w:val="24"/>
                <w:szCs w:val="24"/>
              </w:rPr>
              <w:t>项目背景、主要进展情况</w:t>
            </w:r>
          </w:p>
          <w:p w14:paraId="3B083ED7">
            <w:pPr>
              <w:rPr>
                <w:sz w:val="24"/>
                <w:szCs w:val="24"/>
              </w:rPr>
            </w:pPr>
            <w:r>
              <w:rPr>
                <w:rFonts w:ascii="宋体" w:hAnsi="宋体" w:eastAsia="宋体"/>
                <w:b/>
                <w:sz w:val="24"/>
                <w:szCs w:val="24"/>
              </w:rPr>
              <w:t>2.1【项目背景】</w:t>
            </w:r>
          </w:p>
          <w:p w14:paraId="21CA3E6C">
            <w:pPr>
              <w:ind w:firstLine="480" w:firstLineChars="200"/>
              <w:jc w:val="left"/>
              <w:rPr>
                <w:sz w:val="24"/>
                <w:szCs w:val="24"/>
              </w:rPr>
            </w:pPr>
            <w:r>
              <w:rPr>
                <w:rFonts w:ascii="宋体" w:hAnsi="宋体" w:eastAsia="宋体"/>
                <w:b w:val="0"/>
                <w:sz w:val="24"/>
                <w:szCs w:val="24"/>
              </w:rPr>
              <w:t>在“健康中国2030”战略全面推进的时代背景下，全民运动意识显著增强，跑步因其门槛低、灵活便捷等天然优势，已成为国内参与度最高的群众性健身活动之一。然而，跑步热潮背后隐藏着一个普遍且严峻的问题——大量业余跑者因缺乏专业指导，长期以错误姿态进行锻炼，导致膝关节损伤、足底筋膜炎、跟腱炎等运动损伤发生率居高不下。据相关运动医学研究统计，每年约有50%～70%的跑者会在训练过程中遭遇不同程度的运动损伤，其中相当比例与跑姿不当直接相关。</w:t>
            </w:r>
          </w:p>
          <w:p w14:paraId="6D7D58D7">
            <w:pPr>
              <w:ind w:firstLine="480" w:firstLineChars="200"/>
              <w:jc w:val="left"/>
              <w:rPr>
                <w:sz w:val="24"/>
                <w:szCs w:val="24"/>
              </w:rPr>
            </w:pPr>
            <w:r>
              <w:rPr>
                <w:rFonts w:ascii="宋体" w:hAnsi="宋体" w:eastAsia="宋体"/>
                <w:b w:val="0"/>
                <w:sz w:val="24"/>
                <w:szCs w:val="24"/>
              </w:rPr>
              <w:t>造成这一困境的根源在于现有学习途径的固有局限。一方面，网络视频教程虽量大面广，但属于单向灌输模式，无法根据跑者的个体身体特征（如身高体重比、足弓类型、下肢力线等）提供针对性的诊断和纠偏建议；另一方面，线下专业跑步教练虽然可以做到因材施教，但其高昂的课时费用（一线城市普遍在300～800元/次）以及场地和时间的刚性约束，使绝大多数普通跑者难以长期负担。市场调研显示，现有跑姿检测类产品（以智能跑鞋为代表）普遍采用传感器与鞋体一体化设计方案，售价动辄2000元以上，且绑定特定品牌鞋款，用户更换跑鞋即意味着设备闲置，经济性和通用性均不理想。</w:t>
            </w:r>
          </w:p>
          <w:p w14:paraId="7DC40831">
            <w:pPr>
              <w:ind w:firstLine="480" w:firstLineChars="200"/>
              <w:jc w:val="left"/>
              <w:rPr>
                <w:sz w:val="24"/>
                <w:szCs w:val="24"/>
              </w:rPr>
            </w:pPr>
            <w:r>
              <w:rPr>
                <w:rFonts w:ascii="宋体" w:hAnsi="宋体" w:eastAsia="宋体"/>
                <w:b w:val="0"/>
                <w:sz w:val="24"/>
                <w:szCs w:val="24"/>
              </w:rPr>
              <w:t>针对上述行业痛点，本项目团队基于自身丰富的跑步实践经验，结合物联网工程与人工智能的专业知识背景，提出并研发了一套基于物联网技术的智能跑步姿态实时监测与纠正系统。项目的核心目标是构建一个低成本、可穿戴、具备实时反馈能力的运动辅助平台，帮助跑者在不依赖高价教练的前提下，获取科学、精准且个性化的姿态优化方案，推动全民健身从“经验驱动”向“数据驱动”转型。</w:t>
            </w:r>
          </w:p>
          <w:p w14:paraId="4D8E88D6">
            <w:pPr>
              <w:rPr>
                <w:sz w:val="24"/>
                <w:szCs w:val="24"/>
              </w:rPr>
            </w:pPr>
            <w:r>
              <w:rPr>
                <w:rFonts w:ascii="宋体" w:hAnsi="宋体" w:eastAsia="宋体"/>
                <w:b/>
                <w:sz w:val="24"/>
                <w:szCs w:val="24"/>
              </w:rPr>
              <w:t>2.2【主要进展情况概述】</w:t>
            </w:r>
          </w:p>
          <w:p w14:paraId="6941DA4B">
            <w:pPr>
              <w:ind w:firstLine="480" w:firstLineChars="200"/>
              <w:jc w:val="left"/>
              <w:rPr>
                <w:sz w:val="24"/>
                <w:szCs w:val="24"/>
              </w:rPr>
            </w:pPr>
            <w:r>
              <w:rPr>
                <w:rFonts w:ascii="宋体" w:hAnsi="宋体" w:eastAsia="宋体"/>
                <w:b w:val="0"/>
                <w:sz w:val="24"/>
                <w:szCs w:val="24"/>
              </w:rPr>
              <w:t>项目自立项以来，严格按照申请书拟定的技术路线有序推进，围绕“硬件感知—数据传输—算法分析—可视化呈现”四大环节展开系统研发，截至目前已在可穿戴硬件原型、后端数据处理平台、前端可视化系统等方面取得了阶段性突破，整体进度符合预期。</w:t>
            </w:r>
          </w:p>
          <w:p w14:paraId="4155C17F">
            <w:pPr>
              <w:ind w:firstLine="480" w:firstLineChars="200"/>
              <w:rPr>
                <w:sz w:val="24"/>
                <w:szCs w:val="24"/>
              </w:rPr>
            </w:pPr>
            <w:r>
              <w:rPr>
                <w:rFonts w:ascii="宋体" w:hAnsi="宋体" w:eastAsia="宋体"/>
                <w:b/>
                <w:sz w:val="24"/>
                <w:szCs w:val="24"/>
              </w:rPr>
              <w:t>项目立项初期确立了三层递进式目标：</w:t>
            </w:r>
          </w:p>
          <w:p w14:paraId="782DBA3E">
            <w:pPr>
              <w:ind w:firstLine="480" w:firstLineChars="200"/>
              <w:jc w:val="left"/>
              <w:rPr>
                <w:sz w:val="24"/>
                <w:szCs w:val="24"/>
              </w:rPr>
            </w:pPr>
            <w:r>
              <w:rPr>
                <w:rFonts w:ascii="宋体" w:hAnsi="宋体" w:eastAsia="宋体"/>
                <w:b w:val="0"/>
                <w:color w:val="FF0000"/>
                <w:sz w:val="24"/>
                <w:szCs w:val="24"/>
              </w:rPr>
              <w:t>第一层为基础感知层：</w:t>
            </w:r>
            <w:r>
              <w:rPr>
                <w:rFonts w:ascii="宋体" w:hAnsi="宋体" w:eastAsia="宋体"/>
                <w:b w:val="0"/>
                <w:sz w:val="24"/>
                <w:szCs w:val="24"/>
              </w:rPr>
              <w:t>通过多传感器融合的可穿戴设备实时采集跑者上肢摆臂姿态、腿部摆动姿势以及下肢足底压力分布数据；</w:t>
            </w:r>
          </w:p>
          <w:p w14:paraId="7BCB9D60">
            <w:pPr>
              <w:ind w:firstLine="480" w:firstLineChars="200"/>
              <w:jc w:val="left"/>
              <w:rPr>
                <w:sz w:val="24"/>
                <w:szCs w:val="24"/>
              </w:rPr>
            </w:pPr>
            <w:r>
              <w:rPr>
                <w:rFonts w:ascii="宋体" w:hAnsi="宋体" w:eastAsia="宋体"/>
                <w:b w:val="0"/>
                <w:color w:val="FF0000"/>
                <w:sz w:val="24"/>
                <w:szCs w:val="24"/>
              </w:rPr>
              <w:t>第二层为分析比对层：</w:t>
            </w:r>
            <w:r>
              <w:rPr>
                <w:rFonts w:ascii="宋体" w:hAnsi="宋体" w:eastAsia="宋体"/>
                <w:b w:val="0"/>
                <w:sz w:val="24"/>
                <w:szCs w:val="24"/>
              </w:rPr>
              <w:t>将采集数据与标准姿态数据库进行匹配，输出个性化姿态偏差诊断及改进建议；</w:t>
            </w:r>
          </w:p>
          <w:p w14:paraId="3728E212">
            <w:pPr>
              <w:ind w:firstLine="480" w:firstLineChars="200"/>
              <w:jc w:val="left"/>
              <w:rPr>
                <w:sz w:val="24"/>
                <w:szCs w:val="24"/>
              </w:rPr>
            </w:pPr>
            <w:r>
              <w:rPr>
                <w:rFonts w:ascii="宋体" w:hAnsi="宋体" w:eastAsia="宋体"/>
                <w:b w:val="0"/>
                <w:color w:val="FF0000"/>
                <w:sz w:val="24"/>
                <w:szCs w:val="24"/>
              </w:rPr>
              <w:t>第三层为平台扩展层：</w:t>
            </w:r>
            <w:r>
              <w:rPr>
                <w:rFonts w:ascii="宋体" w:hAnsi="宋体" w:eastAsia="宋体"/>
                <w:b w:val="0"/>
                <w:sz w:val="24"/>
                <w:szCs w:val="24"/>
              </w:rPr>
              <w:t>以每套设备为网络节点接入中央服务器，实现多用户数据汇聚分析，在此基础上构建“跑姿评分排行”“相似跑姿社群匹配”等社交化功能，并引入运动生物力学智能模型提升指导精度。</w:t>
            </w:r>
          </w:p>
          <w:p w14:paraId="4824CF4B">
            <w:pPr>
              <w:ind w:firstLine="480" w:firstLineChars="200"/>
              <w:jc w:val="left"/>
              <w:rPr>
                <w:sz w:val="24"/>
                <w:szCs w:val="24"/>
              </w:rPr>
            </w:pPr>
            <w:r>
              <w:rPr>
                <w:rFonts w:ascii="宋体" w:hAnsi="宋体" w:eastAsia="宋体"/>
                <w:b w:val="0"/>
                <w:sz w:val="24"/>
                <w:szCs w:val="24"/>
              </w:rPr>
              <w:t>对照上述三层目标，团队当前已完成第一层和第二层的核心功能开发，具体分述如下。</w:t>
            </w:r>
          </w:p>
          <w:p w14:paraId="64F88BA7">
            <w:pPr>
              <w:ind w:firstLine="480" w:firstLineChars="200"/>
              <w:jc w:val="left"/>
              <w:rPr>
                <w:rFonts w:ascii="宋体" w:hAnsi="宋体" w:eastAsia="宋体"/>
                <w:b w:val="0"/>
                <w:color w:val="FF0000"/>
                <w:sz w:val="24"/>
                <w:szCs w:val="24"/>
              </w:rPr>
            </w:pPr>
            <w:r>
              <w:rPr>
                <w:rFonts w:ascii="宋体" w:hAnsi="宋体" w:eastAsia="宋体"/>
                <w:b w:val="0"/>
                <w:color w:val="FF0000"/>
                <w:sz w:val="24"/>
                <w:szCs w:val="24"/>
              </w:rPr>
              <w:t>硬件系统方面，已取得以下关键进展：</w:t>
            </w:r>
          </w:p>
          <w:p w14:paraId="395A673A">
            <w:pPr>
              <w:ind w:firstLine="480" w:firstLineChars="200"/>
              <w:jc w:val="left"/>
              <w:rPr>
                <w:rFonts w:ascii="宋体" w:hAnsi="宋体" w:eastAsia="宋体"/>
                <w:b w:val="0"/>
                <w:sz w:val="24"/>
                <w:szCs w:val="24"/>
              </w:rPr>
            </w:pPr>
            <w:r>
              <w:rPr>
                <w:rFonts w:ascii="宋体" w:hAnsi="宋体" w:eastAsia="宋体"/>
                <w:b w:val="0"/>
                <w:sz w:val="24"/>
                <w:szCs w:val="24"/>
              </w:rPr>
              <w:t>①完成了可穿戴设备的模块化结构设计，将系统分为上肢姿态采集单元（含四个MPU6050六轴传感器的弹性臂带）、下肢姿态采集单元（基于ESP32-s3-supermini主控与JY901S九轴传感器的腿部绑带）和足底压力采集单元（集成阵列式压力传感器的可替换智能鞋垫），二者通过蓝牙/SPI等协议与主控模块通信；</w:t>
            </w:r>
          </w:p>
          <w:p w14:paraId="5A5ED253">
            <w:pPr>
              <w:ind w:firstLine="480" w:firstLineChars="200"/>
              <w:jc w:val="left"/>
              <w:rPr>
                <w:rFonts w:hint="eastAsia" w:ascii="宋体" w:hAnsi="宋体"/>
                <w:b w:val="0"/>
                <w:sz w:val="24"/>
                <w:szCs w:val="24"/>
                <w:lang w:eastAsia="zh-CN"/>
              </w:rPr>
            </w:pPr>
            <w:r>
              <w:rPr>
                <w:rFonts w:ascii="宋体" w:hAnsi="宋体" w:eastAsia="宋体"/>
                <w:b w:val="0"/>
                <w:sz w:val="24"/>
                <w:szCs w:val="24"/>
              </w:rPr>
              <w:t>②上肢姿态解算方面，基于MPU6050原始六轴数据（三轴加速度+三轴角速度），采用四元数法进行空间姿态描述以规避欧拉角万向节死锁问题，并引入Kalman滤波算法抑制高频噪声，成功解算出左右手臂大臂与小臂的实时欧拉角</w:t>
            </w:r>
            <w:r>
              <w:rPr>
                <w:rFonts w:hint="eastAsia" w:ascii="宋体" w:hAnsi="宋体"/>
                <w:b w:val="0"/>
                <w:sz w:val="24"/>
                <w:szCs w:val="24"/>
                <w:lang w:eastAsia="zh-CN"/>
              </w:rPr>
              <w:t>；</w:t>
            </w:r>
          </w:p>
          <w:p w14:paraId="294AA43D">
            <w:pPr>
              <w:ind w:firstLine="480" w:firstLineChars="200"/>
              <w:jc w:val="left"/>
              <w:rPr>
                <w:rFonts w:ascii="宋体" w:hAnsi="宋体" w:eastAsia="宋体"/>
                <w:b w:val="0"/>
                <w:sz w:val="24"/>
                <w:szCs w:val="24"/>
              </w:rPr>
            </w:pPr>
            <w:r>
              <w:rPr>
                <w:rFonts w:ascii="宋体" w:hAnsi="宋体" w:eastAsia="宋体"/>
                <w:b w:val="0"/>
                <w:sz w:val="24"/>
                <w:szCs w:val="24"/>
              </w:rPr>
              <w:t>③腿部姿态解算方面，基于</w:t>
            </w:r>
            <w:r>
              <w:rPr>
                <w:rFonts w:hint="eastAsia" w:ascii="宋体" w:hAnsi="宋体"/>
                <w:b w:val="0"/>
                <w:sz w:val="24"/>
                <w:szCs w:val="24"/>
                <w:lang w:val="en-US" w:eastAsia="zh-CN"/>
              </w:rPr>
              <w:t xml:space="preserve"> </w:t>
            </w:r>
            <w:r>
              <w:rPr>
                <w:rFonts w:ascii="宋体" w:hAnsi="宋体" w:eastAsia="宋体"/>
                <w:b w:val="0"/>
                <w:sz w:val="24"/>
                <w:szCs w:val="24"/>
              </w:rPr>
              <w:t>ESP32-s3-supermini主控平台，采用JY901S九轴惯性测量单元（集成三轴加速度计、三轴陀螺仪和三轴磁力计）作为下肢姿态采集传感器，通过串口UART协议与主控通信，采样率设定为200Hz。姿态解算方法沿用与上肢模块一致的技术路线——采用四元数法进行空间姿态描述以规避万向节死锁问题，引入Kalman滤波算法抑制高频噪声，并结合动态互补滤波策略（陀螺仪置信权重设为0.98，加速度计设为0.02），成功解算出左右腿大腿与小腿的实时欧拉角，实现了对跑步过程中下肢摆动幅度、步幅角度及膝关节屈伸角度等关键运动学参数的精确捕捉；</w:t>
            </w:r>
          </w:p>
          <w:p w14:paraId="0DC00E3B">
            <w:pPr>
              <w:ind w:firstLine="480" w:firstLineChars="200"/>
              <w:jc w:val="left"/>
              <w:rPr>
                <w:rFonts w:ascii="宋体" w:hAnsi="宋体" w:eastAsia="宋体"/>
                <w:b w:val="0"/>
                <w:sz w:val="24"/>
                <w:szCs w:val="24"/>
              </w:rPr>
            </w:pPr>
            <w:r>
              <w:rPr>
                <w:rFonts w:ascii="宋体" w:hAnsi="宋体" w:eastAsia="宋体"/>
                <w:b w:val="0"/>
                <w:sz w:val="24"/>
                <w:szCs w:val="24"/>
              </w:rPr>
              <w:t>④足底压力采集方面，设计了多区域阵列式压力传感布局，可同步获取前掌区、足弓区和后跟区共18个压力采样点的数据；</w:t>
            </w:r>
          </w:p>
          <w:p w14:paraId="0053A394">
            <w:pPr>
              <w:ind w:firstLine="480" w:firstLineChars="200"/>
              <w:jc w:val="left"/>
              <w:rPr>
                <w:sz w:val="24"/>
                <w:szCs w:val="24"/>
              </w:rPr>
            </w:pPr>
            <w:r>
              <w:rPr>
                <w:rFonts w:ascii="宋体" w:hAnsi="宋体" w:eastAsia="宋体"/>
                <w:b w:val="0"/>
                <w:sz w:val="24"/>
                <w:szCs w:val="24"/>
              </w:rPr>
              <w:t>⑤整套系统的角度测量误差经反复标定后稳定控制在3%以内，数据传输基于ESP32主控的WiFi模块实现无线透传，端到端延迟小于50ms，满足实时性要求。</w:t>
            </w:r>
          </w:p>
          <w:p w14:paraId="7FDA593D">
            <w:pPr>
              <w:ind w:firstLine="480" w:firstLineChars="200"/>
              <w:jc w:val="left"/>
              <w:rPr>
                <w:sz w:val="24"/>
                <w:szCs w:val="24"/>
              </w:rPr>
            </w:pPr>
            <w:r>
              <w:rPr>
                <w:rFonts w:ascii="宋体" w:hAnsi="宋体" w:eastAsia="宋体"/>
                <w:b w:val="0"/>
                <w:color w:val="FF0000"/>
                <w:sz w:val="24"/>
                <w:szCs w:val="24"/>
              </w:rPr>
              <w:t>软件系统方面，已完成以下工作：</w:t>
            </w:r>
            <w:r>
              <w:rPr>
                <w:rFonts w:ascii="宋体" w:hAnsi="宋体" w:eastAsia="宋体"/>
                <w:b w:val="0"/>
                <w:sz w:val="24"/>
                <w:szCs w:val="24"/>
              </w:rPr>
              <w:t>①基于Django框架搭建了后端数据处理服务，实现了对传感器上传数据的自动接收、结构化存储（MySQL）和基础统计分析；②采用Vue2生态构建了响应式前端交互界面，以“数据看板+姿态可视化”为核心设计理念，跑者登录后可直观查看自身跑步姿态的量化指标及历史变化趋势；③严格遵循RESTful API规范设计前后端接口，确保数据交换的规范性与系统的可扩展性；④整条数据链路——从传感器采集、无线传输、后端处理到前端展示——已完成端到端联调测试并稳定运行，验证了系统技术方案的可行性与工程化潜力。</w:t>
            </w:r>
          </w:p>
          <w:p w14:paraId="339FBD7D">
            <w:pPr>
              <w:ind w:firstLine="480" w:firstLineChars="200"/>
              <w:jc w:val="left"/>
            </w:pPr>
            <w:r>
              <w:rPr>
                <w:rFonts w:ascii="宋体" w:hAnsi="宋体" w:eastAsia="宋体"/>
                <w:b w:val="0"/>
                <w:sz w:val="24"/>
                <w:szCs w:val="24"/>
              </w:rPr>
              <w:t>当前取得的阶段性成果为后续研发奠定了坚实的技术基础。下一阶段，团队将聚焦于三个方向：一是将现有部署于本地服务器的管理平台向树莓派嵌入式平台迁移，结合内网穿透与DDNS技术实现公网远程访问，打破局域网的使用限制；二是深化运动生物力学模型的研发，通过引入机器学习算法提升姿态评估的精准度和个性化水平；三是启动硬件的小型化迭代，对ESP32主控及传感器外围电路进行PCB定制设计，以进一步缩小设备体积、降低功耗，改善穿戴体验。</w:t>
            </w:r>
          </w:p>
        </w:tc>
      </w:tr>
      <w:tr w14:paraId="11800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8500" w:type="dxa"/>
            <w:gridSpan w:val="6"/>
          </w:tcPr>
          <w:p w14:paraId="1F260AFB">
            <w:pPr>
              <w:jc w:val="center"/>
              <w:rPr>
                <w:rFonts w:hint="eastAsia" w:ascii="宋体" w:hAnsi="宋体" w:cs="幼圆"/>
                <w:b/>
                <w:sz w:val="24"/>
              </w:rPr>
            </w:pPr>
            <w:r>
              <w:rPr>
                <w:rFonts w:hint="eastAsia" w:ascii="宋体" w:hAnsi="宋体"/>
                <w:b/>
                <w:bCs/>
                <w:sz w:val="28"/>
              </w:rPr>
              <w:t>三、项目研究情况</w:t>
            </w:r>
          </w:p>
        </w:tc>
      </w:tr>
      <w:tr w14:paraId="73130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0" w:hRule="atLeast"/>
        </w:trPr>
        <w:tc>
          <w:tcPr>
            <w:tcW w:w="8500" w:type="dxa"/>
            <w:gridSpan w:val="6"/>
          </w:tcPr>
          <w:p w14:paraId="02A8CEC2">
            <w:pPr>
              <w:rPr>
                <w:sz w:val="24"/>
                <w:szCs w:val="24"/>
              </w:rPr>
            </w:pPr>
            <w:r>
              <w:rPr>
                <w:rFonts w:ascii="宋体" w:hAnsi="宋体" w:eastAsia="宋体"/>
                <w:b/>
                <w:sz w:val="24"/>
                <w:szCs w:val="24"/>
              </w:rPr>
              <w:t>3.1 【项目研究情况】</w:t>
            </w:r>
          </w:p>
          <w:p w14:paraId="70E18AEB">
            <w:pPr>
              <w:ind w:firstLine="480" w:firstLineChars="200"/>
              <w:rPr>
                <w:sz w:val="24"/>
                <w:szCs w:val="24"/>
              </w:rPr>
            </w:pPr>
            <w:r>
              <w:rPr>
                <w:rFonts w:ascii="宋体" w:hAnsi="宋体" w:eastAsia="宋体"/>
                <w:b/>
                <w:sz w:val="24"/>
                <w:szCs w:val="24"/>
              </w:rPr>
              <w:t>3.1.1 【多源运动感知硬件系统设计】</w:t>
            </w:r>
          </w:p>
          <w:p w14:paraId="742498CF">
            <w:pPr>
              <w:ind w:firstLine="480" w:firstLineChars="200"/>
              <w:rPr>
                <w:b w:val="0"/>
                <w:bCs/>
                <w:sz w:val="24"/>
                <w:szCs w:val="24"/>
              </w:rPr>
            </w:pPr>
            <w:r>
              <w:rPr>
                <w:rFonts w:ascii="宋体" w:hAnsi="宋体" w:eastAsia="宋体"/>
                <w:b/>
                <w:sz w:val="24"/>
                <w:szCs w:val="24"/>
              </w:rPr>
              <w:t>（1）</w:t>
            </w:r>
            <w:r>
              <w:rPr>
                <w:rFonts w:ascii="宋体" w:hAnsi="宋体" w:eastAsia="宋体"/>
                <w:b w:val="0"/>
                <w:bCs/>
                <w:sz w:val="24"/>
                <w:szCs w:val="24"/>
              </w:rPr>
              <w:t>传感器选型与嵌入式通信实现 项目选用MPU6050惯性测量单元、JY901S九轴惯性测量单元和阵列式压力传感器作为核心感知元件。姿态采集层面，MPU6050通过IIC总线协议与ESP32主控芯片建立数据通道，ESP32以200Hz采样率获取三轴加速度和三轴角速度的原始数字信号。姿态融合算法方面，采用四元数作为中间表示——四元数以q=</w:t>
            </w:r>
            <w:r>
              <w:rPr>
                <w:rFonts w:hint="eastAsia" w:ascii="宋体" w:hAnsi="宋体" w:cs="幼圆"/>
                <w:sz w:val="24"/>
                <w:szCs w:val="24"/>
              </w:rPr>
              <w:t>[</w:t>
            </w:r>
            <m:oMath>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w</m:t>
                  </m:r>
                  <m:ctrlPr>
                    <w:rPr>
                      <w:rFonts w:ascii="Cambria Math" w:hAnsi="Cambria Math"/>
                      <w:sz w:val="24"/>
                      <w:szCs w:val="24"/>
                    </w:rPr>
                  </m:ctrlPr>
                </m:sub>
              </m:sSub>
            </m:oMath>
            <w:r>
              <w:rPr>
                <w:rFonts w:hint="eastAsia" w:ascii="宋体" w:hAnsi="宋体" w:cs="幼圆"/>
                <w:sz w:val="24"/>
                <w:szCs w:val="24"/>
              </w:rPr>
              <w:t xml:space="preserve">, </w:t>
            </w:r>
            <m:oMath>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x</m:t>
                  </m:r>
                  <m:ctrlPr>
                    <w:rPr>
                      <w:rFonts w:ascii="Cambria Math" w:hAnsi="Cambria Math"/>
                      <w:sz w:val="24"/>
                      <w:szCs w:val="24"/>
                    </w:rPr>
                  </m:ctrlPr>
                </m:sub>
              </m:sSub>
            </m:oMath>
            <w:r>
              <w:rPr>
                <w:rFonts w:hint="eastAsia" w:ascii="宋体" w:hAnsi="宋体" w:cs="幼圆"/>
                <w:sz w:val="24"/>
                <w:szCs w:val="24"/>
              </w:rPr>
              <w:t xml:space="preserve">, </w:t>
            </w:r>
            <m:oMath>
              <m:sSub>
                <m:sSubPr>
                  <m:ctrlPr>
                    <w:rPr>
                      <w:rFonts w:hint="default" w:ascii="Cambria Math" w:hAnsi="Cambria Math"/>
                      <w:sz w:val="24"/>
                      <w:szCs w:val="24"/>
                    </w:rPr>
                  </m:ctrlPr>
                </m:sSubPr>
                <m:e>
                  <m:r>
                    <m:rPr/>
                    <w:rPr>
                      <w:rFonts w:hint="default" w:ascii="Cambria Math" w:hAnsi="Cambria Math"/>
                      <w:sz w:val="24"/>
                      <w:szCs w:val="24"/>
                    </w:rPr>
                    <m:t>w</m:t>
                  </m:r>
                  <m:ctrlPr>
                    <w:rPr>
                      <w:rFonts w:ascii="Cambria Math" w:hAnsi="Cambria Math"/>
                      <w:sz w:val="24"/>
                      <w:szCs w:val="24"/>
                    </w:rPr>
                  </m:ctrlPr>
                </m:e>
                <m:sub>
                  <m:r>
                    <m:rPr/>
                    <w:rPr>
                      <w:rFonts w:hint="default" w:ascii="Cambria Math" w:hAnsi="Cambria Math"/>
                      <w:sz w:val="24"/>
                      <w:szCs w:val="24"/>
                    </w:rPr>
                    <m:t>y</m:t>
                  </m:r>
                  <m:ctrlPr>
                    <w:rPr>
                      <w:rFonts w:ascii="Cambria Math" w:hAnsi="Cambria Math"/>
                      <w:sz w:val="24"/>
                      <w:szCs w:val="24"/>
                    </w:rPr>
                  </m:ctrlPr>
                </m:sub>
              </m:sSub>
            </m:oMath>
            <w:r>
              <w:rPr>
                <w:rFonts w:hint="eastAsia" w:ascii="宋体" w:hAnsi="宋体" w:cs="幼圆"/>
                <w:sz w:val="24"/>
                <w:szCs w:val="24"/>
              </w:rPr>
              <w:t xml:space="preserve">, </w:t>
            </w:r>
            <m:oMath>
              <m:sSub>
                <m:sSubPr>
                  <m:ctrlPr>
                    <w:rPr>
                      <w:rFonts w:hint="default" w:ascii="Cambria Math" w:hAnsi="Cambria Math"/>
                      <w:sz w:val="24"/>
                      <w:szCs w:val="24"/>
                    </w:rPr>
                  </m:ctrlPr>
                </m:sSubPr>
                <m:e>
                  <m:r>
                    <m:rPr/>
                    <w:rPr>
                      <w:rFonts w:hint="default" w:ascii="Cambria Math" w:hAnsi="Cambria Math"/>
                      <w:sz w:val="24"/>
                      <w:szCs w:val="24"/>
                    </w:rPr>
                    <m:t>q</m:t>
                  </m:r>
                  <m:ctrlPr>
                    <w:rPr>
                      <w:rFonts w:ascii="Cambria Math" w:hAnsi="Cambria Math"/>
                      <w:sz w:val="24"/>
                      <w:szCs w:val="24"/>
                    </w:rPr>
                  </m:ctrlPr>
                </m:e>
                <m:sub>
                  <m:r>
                    <m:rPr/>
                    <w:rPr>
                      <w:rFonts w:hint="default" w:ascii="Cambria Math" w:hAnsi="Cambria Math"/>
                      <w:sz w:val="24"/>
                      <w:szCs w:val="24"/>
                    </w:rPr>
                    <m:t>z</m:t>
                  </m:r>
                  <m:ctrlPr>
                    <w:rPr>
                      <w:rFonts w:ascii="Cambria Math" w:hAnsi="Cambria Math"/>
                      <w:sz w:val="24"/>
                      <w:szCs w:val="24"/>
                    </w:rPr>
                  </m:ctrlPr>
                </m:sub>
              </m:sSub>
            </m:oMath>
            <w:r>
              <w:rPr>
                <w:rFonts w:hint="eastAsia" w:ascii="宋体" w:hAnsi="宋体" w:cs="幼圆"/>
                <w:sz w:val="24"/>
                <w:szCs w:val="24"/>
              </w:rPr>
              <w:t>]</w:t>
            </w:r>
            <w:r>
              <w:rPr>
                <w:rFonts w:ascii="宋体" w:hAnsi="宋体" w:eastAsia="宋体"/>
                <w:b w:val="0"/>
                <w:bCs/>
                <w:sz w:val="24"/>
                <w:szCs w:val="24"/>
              </w:rPr>
              <w:t>的形式编码空间旋转，相比传统欧拉角方法，其核心优势在于彻底消除了万向节锁死问题，同时在嵌入式MCU上具有更好的数值稳定性和更低的运算开销。由四元数向欧拉角的转换采用标准公式：</w:t>
            </w:r>
          </w:p>
          <w:p w14:paraId="2D3D064E">
            <w:pPr>
              <w:jc w:val="left"/>
              <w:rPr>
                <w:sz w:val="24"/>
                <w:szCs w:val="24"/>
              </w:rPr>
            </w:pPr>
            <w:r>
              <w:rPr>
                <w:rFonts w:ascii="宋体" w:hAnsi="宋体" w:eastAsia="宋体"/>
                <w:b w:val="0"/>
                <w:sz w:val="24"/>
                <w:szCs w:val="24"/>
              </w:rPr>
              <w:t>俯仰角</w:t>
            </w:r>
            <m:oMath>
              <m:r>
                <m:rPr/>
                <w:rPr>
                  <w:rFonts w:ascii="Cambria Math" w:hAnsi="Cambria Math"/>
                  <w:sz w:val="24"/>
                  <w:szCs w:val="24"/>
                </w:rPr>
                <m:t>θ=</m:t>
              </m:r>
              <m:func>
                <m:funcPr>
                  <m:ctrlPr>
                    <w:rPr>
                      <w:rFonts w:ascii="Cambria Math" w:hAnsi="Cambria Math"/>
                      <w:sz w:val="24"/>
                      <w:szCs w:val="24"/>
                    </w:rPr>
                  </m:ctrlPr>
                </m:funcPr>
                <m:fName>
                  <m:r>
                    <m:rPr>
                      <m:sty m:val="p"/>
                    </m:rPr>
                    <w:rPr>
                      <w:rFonts w:ascii="Cambria Math" w:hAnsi="Cambria Math"/>
                      <w:sz w:val="24"/>
                      <w:szCs w:val="24"/>
                    </w:rPr>
                    <m:t>arcsin</m:t>
                  </m:r>
                  <m:ctrlPr>
                    <w:rPr>
                      <w:rFonts w:ascii="Cambria Math" w:hAnsi="Cambria Math"/>
                      <w:sz w:val="24"/>
                      <w:szCs w:val="24"/>
                    </w:rPr>
                  </m:ctrlPr>
                </m:fName>
                <m:e>
                  <m:r>
                    <m:rPr/>
                    <w:rPr>
                      <w:rFonts w:ascii="Cambria Math" w:hAnsi="Cambria Math"/>
                      <w:sz w:val="24"/>
                      <w:szCs w:val="24"/>
                    </w:rPr>
                    <m:t>(</m:t>
                  </m:r>
                  <m:ctrlPr>
                    <w:rPr>
                      <w:rFonts w:ascii="Cambria Math" w:hAnsi="Cambria Math"/>
                      <w:sz w:val="24"/>
                      <w:szCs w:val="24"/>
                    </w:rPr>
                  </m:ctrlPr>
                </m:e>
              </m:func>
              <m:r>
                <m:rPr/>
                <w:rPr>
                  <w:rFonts w:ascii="Cambria Math" w:hAnsi="Cambria Math"/>
                  <w:sz w:val="24"/>
                  <w:szCs w:val="24"/>
                </w:rPr>
                <m:t>2(</m:t>
              </m:r>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w</m:t>
                  </m:r>
                  <m:ctrlPr>
                    <w:rPr>
                      <w:rFonts w:ascii="Cambria Math" w:hAnsi="Cambria Math"/>
                      <w:sz w:val="24"/>
                      <w:szCs w:val="24"/>
                    </w:rPr>
                  </m:ctrlPr>
                </m:sub>
              </m:sSub>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y</m:t>
                  </m:r>
                  <m:ctrlPr>
                    <w:rPr>
                      <w:rFonts w:ascii="Cambria Math" w:hAnsi="Cambria Math"/>
                      <w:sz w:val="24"/>
                      <w:szCs w:val="24"/>
                    </w:rPr>
                  </m:ctrlPr>
                </m:sub>
              </m:sSub>
              <m:r>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x</m:t>
                  </m:r>
                  <m:ctrlPr>
                    <w:rPr>
                      <w:rFonts w:ascii="Cambria Math" w:hAnsi="Cambria Math"/>
                      <w:sz w:val="24"/>
                      <w:szCs w:val="24"/>
                    </w:rPr>
                  </m:ctrlPr>
                </m:sub>
              </m:sSub>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z</m:t>
                  </m:r>
                  <m:ctrlPr>
                    <w:rPr>
                      <w:rFonts w:ascii="Cambria Math" w:hAnsi="Cambria Math"/>
                      <w:sz w:val="24"/>
                      <w:szCs w:val="24"/>
                    </w:rPr>
                  </m:ctrlPr>
                </m:sub>
              </m:sSub>
              <m:r>
                <m:rPr/>
                <w:rPr>
                  <w:rFonts w:ascii="Cambria Math" w:hAnsi="Cambria Math"/>
                  <w:sz w:val="24"/>
                  <w:szCs w:val="24"/>
                </w:rPr>
                <m:t>))</m:t>
              </m:r>
            </m:oMath>
          </w:p>
          <w:p w14:paraId="585A3876">
            <w:pPr>
              <w:jc w:val="left"/>
              <w:rPr>
                <w:sz w:val="24"/>
                <w:szCs w:val="24"/>
              </w:rPr>
            </w:pPr>
            <w:r>
              <w:rPr>
                <w:rFonts w:ascii="宋体" w:hAnsi="宋体" w:eastAsia="宋体"/>
                <w:b w:val="0"/>
                <w:sz w:val="24"/>
                <w:szCs w:val="24"/>
              </w:rPr>
              <w:t>翻滚角</w:t>
            </w:r>
            <m:oMath>
              <m:r>
                <m:rPr/>
                <w:rPr>
                  <w:rFonts w:ascii="Cambria Math" w:hAnsi="Cambria Math"/>
                  <w:sz w:val="24"/>
                  <w:szCs w:val="24"/>
                </w:rPr>
                <m:t>ϕ=</m:t>
              </m:r>
              <m:func>
                <m:funcPr>
                  <m:ctrlPr>
                    <w:rPr>
                      <w:rFonts w:ascii="Cambria Math" w:hAnsi="Cambria Math"/>
                      <w:sz w:val="24"/>
                      <w:szCs w:val="24"/>
                    </w:rPr>
                  </m:ctrlPr>
                </m:funcPr>
                <m:fName>
                  <m:r>
                    <m:rPr>
                      <m:sty m:val="p"/>
                    </m:rPr>
                    <w:rPr>
                      <w:rFonts w:ascii="Cambria Math" w:hAnsi="Cambria Math"/>
                      <w:sz w:val="24"/>
                      <w:szCs w:val="24"/>
                    </w:rPr>
                    <m:t>arctan</m:t>
                  </m:r>
                  <m:ctrlPr>
                    <w:rPr>
                      <w:rFonts w:ascii="Cambria Math" w:hAnsi="Cambria Math"/>
                      <w:sz w:val="24"/>
                      <w:szCs w:val="24"/>
                    </w:rPr>
                  </m:ctrlPr>
                </m:fName>
                <m:e>
                  <m:r>
                    <m:rPr/>
                    <w:rPr>
                      <w:rFonts w:ascii="Cambria Math" w:hAnsi="Cambria Math"/>
                      <w:sz w:val="24"/>
                      <w:szCs w:val="24"/>
                    </w:rPr>
                    <m:t>2</m:t>
                  </m:r>
                  <m:ctrlPr>
                    <w:rPr>
                      <w:rFonts w:ascii="Cambria Math" w:hAnsi="Cambria Math"/>
                      <w:sz w:val="24"/>
                      <w:szCs w:val="24"/>
                    </w:rPr>
                  </m:ctrlPr>
                </m:e>
              </m:func>
              <m:r>
                <m:rPr/>
                <w:rPr>
                  <w:rFonts w:ascii="Cambria Math" w:hAnsi="Cambria Math"/>
                  <w:sz w:val="24"/>
                  <w:szCs w:val="24"/>
                </w:rPr>
                <m:t>(2(</m:t>
              </m:r>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w</m:t>
                  </m:r>
                  <m:ctrlPr>
                    <w:rPr>
                      <w:rFonts w:ascii="Cambria Math" w:hAnsi="Cambria Math"/>
                      <w:sz w:val="24"/>
                      <w:szCs w:val="24"/>
                    </w:rPr>
                  </m:ctrlPr>
                </m:sub>
              </m:sSub>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x</m:t>
                  </m:r>
                  <m:ctrlPr>
                    <w:rPr>
                      <w:rFonts w:ascii="Cambria Math" w:hAnsi="Cambria Math"/>
                      <w:sz w:val="24"/>
                      <w:szCs w:val="24"/>
                    </w:rPr>
                  </m:ctrlPr>
                </m:sub>
              </m:sSub>
              <m:r>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y</m:t>
                  </m:r>
                  <m:ctrlPr>
                    <w:rPr>
                      <w:rFonts w:ascii="Cambria Math" w:hAnsi="Cambria Math"/>
                      <w:sz w:val="24"/>
                      <w:szCs w:val="24"/>
                    </w:rPr>
                  </m:ctrlPr>
                </m:sub>
              </m:sSub>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z</m:t>
                  </m:r>
                  <m:ctrlPr>
                    <w:rPr>
                      <w:rFonts w:ascii="Cambria Math" w:hAnsi="Cambria Math"/>
                      <w:sz w:val="24"/>
                      <w:szCs w:val="24"/>
                    </w:rPr>
                  </m:ctrlPr>
                </m:sub>
              </m:sSub>
              <m:r>
                <m:rPr/>
                <w:rPr>
                  <w:rFonts w:ascii="Cambria Math" w:hAnsi="Cambria Math"/>
                  <w:sz w:val="24"/>
                  <w:szCs w:val="24"/>
                </w:rPr>
                <m:t>),1−2(</m:t>
              </m:r>
              <m:sSubSup>
                <m:sSubSupPr>
                  <m:ctrlPr>
                    <w:rPr>
                      <w:rFonts w:ascii="Cambria Math" w:hAnsi="Cambria Math"/>
                      <w:sz w:val="24"/>
                      <w:szCs w:val="24"/>
                    </w:rPr>
                  </m:ctrlPr>
                </m:sSubSup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x</m:t>
                  </m:r>
                  <m:ctrlPr>
                    <w:rPr>
                      <w:rFonts w:ascii="Cambria Math" w:hAnsi="Cambria Math"/>
                      <w:sz w:val="24"/>
                      <w:szCs w:val="24"/>
                    </w:rPr>
                  </m:ctrlPr>
                </m:sub>
                <m:sup>
                  <m:r>
                    <m:rPr/>
                    <w:rPr>
                      <w:rFonts w:ascii="Cambria Math" w:hAnsi="Cambria Math"/>
                      <w:sz w:val="24"/>
                      <w:szCs w:val="24"/>
                    </w:rPr>
                    <m:t>2</m:t>
                  </m:r>
                  <m:ctrlPr>
                    <w:rPr>
                      <w:rFonts w:ascii="Cambria Math" w:hAnsi="Cambria Math"/>
                      <w:sz w:val="24"/>
                      <w:szCs w:val="24"/>
                    </w:rPr>
                  </m:ctrlPr>
                </m:sup>
              </m:sSubSup>
              <m:r>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y</m:t>
                  </m:r>
                  <m:ctrlPr>
                    <w:rPr>
                      <w:rFonts w:ascii="Cambria Math" w:hAnsi="Cambria Math"/>
                      <w:sz w:val="24"/>
                      <w:szCs w:val="24"/>
                    </w:rPr>
                  </m:ctrlPr>
                </m:sub>
                <m:sup>
                  <m:r>
                    <m:rPr/>
                    <w:rPr>
                      <w:rFonts w:ascii="Cambria Math" w:hAnsi="Cambria Math"/>
                      <w:sz w:val="24"/>
                      <w:szCs w:val="24"/>
                    </w:rPr>
                    <m:t>2</m:t>
                  </m:r>
                  <m:ctrlPr>
                    <w:rPr>
                      <w:rFonts w:ascii="Cambria Math" w:hAnsi="Cambria Math"/>
                      <w:sz w:val="24"/>
                      <w:szCs w:val="24"/>
                    </w:rPr>
                  </m:ctrlPr>
                </m:sup>
              </m:sSubSup>
              <m:r>
                <m:rPr/>
                <w:rPr>
                  <w:rFonts w:ascii="Cambria Math" w:hAnsi="Cambria Math"/>
                  <w:sz w:val="24"/>
                  <w:szCs w:val="24"/>
                </w:rPr>
                <m:t>))</m:t>
              </m:r>
            </m:oMath>
          </w:p>
          <w:p w14:paraId="689E0F00">
            <w:pPr>
              <w:jc w:val="left"/>
              <w:rPr>
                <w:sz w:val="24"/>
                <w:szCs w:val="24"/>
              </w:rPr>
            </w:pPr>
            <w:r>
              <w:rPr>
                <w:rFonts w:ascii="宋体" w:hAnsi="宋体" w:eastAsia="宋体"/>
                <w:b w:val="0"/>
                <w:sz w:val="24"/>
                <w:szCs w:val="24"/>
              </w:rPr>
              <w:t>偏航角</w:t>
            </w:r>
            <m:oMath>
              <m:r>
                <m:rPr/>
                <w:rPr>
                  <w:rFonts w:ascii="Cambria Math" w:hAnsi="Cambria Math"/>
                  <w:sz w:val="24"/>
                  <w:szCs w:val="24"/>
                </w:rPr>
                <m:t>ψ=</m:t>
              </m:r>
              <m:func>
                <m:funcPr>
                  <m:ctrlPr>
                    <w:rPr>
                      <w:rFonts w:ascii="Cambria Math" w:hAnsi="Cambria Math"/>
                      <w:sz w:val="24"/>
                      <w:szCs w:val="24"/>
                    </w:rPr>
                  </m:ctrlPr>
                </m:funcPr>
                <m:fName>
                  <m:r>
                    <m:rPr>
                      <m:sty m:val="p"/>
                    </m:rPr>
                    <w:rPr>
                      <w:rFonts w:ascii="Cambria Math" w:hAnsi="Cambria Math"/>
                      <w:sz w:val="24"/>
                      <w:szCs w:val="24"/>
                    </w:rPr>
                    <m:t>arctan</m:t>
                  </m:r>
                  <m:ctrlPr>
                    <w:rPr>
                      <w:rFonts w:ascii="Cambria Math" w:hAnsi="Cambria Math"/>
                      <w:sz w:val="24"/>
                      <w:szCs w:val="24"/>
                    </w:rPr>
                  </m:ctrlPr>
                </m:fName>
                <m:e>
                  <m:r>
                    <m:rPr/>
                    <w:rPr>
                      <w:rFonts w:ascii="Cambria Math" w:hAnsi="Cambria Math"/>
                      <w:sz w:val="24"/>
                      <w:szCs w:val="24"/>
                    </w:rPr>
                    <m:t>2</m:t>
                  </m:r>
                  <m:ctrlPr>
                    <w:rPr>
                      <w:rFonts w:ascii="Cambria Math" w:hAnsi="Cambria Math"/>
                      <w:sz w:val="24"/>
                      <w:szCs w:val="24"/>
                    </w:rPr>
                  </m:ctrlPr>
                </m:e>
              </m:func>
              <m:r>
                <m:rPr/>
                <w:rPr>
                  <w:rFonts w:ascii="Cambria Math" w:hAnsi="Cambria Math"/>
                  <w:sz w:val="24"/>
                  <w:szCs w:val="24"/>
                </w:rPr>
                <m:t>(2(</m:t>
              </m:r>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w</m:t>
                  </m:r>
                  <m:ctrlPr>
                    <w:rPr>
                      <w:rFonts w:ascii="Cambria Math" w:hAnsi="Cambria Math"/>
                      <w:sz w:val="24"/>
                      <w:szCs w:val="24"/>
                    </w:rPr>
                  </m:ctrlPr>
                </m:sub>
              </m:sSub>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z</m:t>
                  </m:r>
                  <m:ctrlPr>
                    <w:rPr>
                      <w:rFonts w:ascii="Cambria Math" w:hAnsi="Cambria Math"/>
                      <w:sz w:val="24"/>
                      <w:szCs w:val="24"/>
                    </w:rPr>
                  </m:ctrlPr>
                </m:sub>
              </m:sSub>
              <m:r>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x</m:t>
                  </m:r>
                  <m:ctrlPr>
                    <w:rPr>
                      <w:rFonts w:ascii="Cambria Math" w:hAnsi="Cambria Math"/>
                      <w:sz w:val="24"/>
                      <w:szCs w:val="24"/>
                    </w:rPr>
                  </m:ctrlPr>
                </m:sub>
              </m:sSub>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y</m:t>
                  </m:r>
                  <m:ctrlPr>
                    <w:rPr>
                      <w:rFonts w:ascii="Cambria Math" w:hAnsi="Cambria Math"/>
                      <w:sz w:val="24"/>
                      <w:szCs w:val="24"/>
                    </w:rPr>
                  </m:ctrlPr>
                </m:sub>
              </m:sSub>
              <m:r>
                <m:rPr/>
                <w:rPr>
                  <w:rFonts w:ascii="Cambria Math" w:hAnsi="Cambria Math"/>
                  <w:sz w:val="24"/>
                  <w:szCs w:val="24"/>
                </w:rPr>
                <m:t>),1−2(</m:t>
              </m:r>
              <m:sSubSup>
                <m:sSubSupPr>
                  <m:ctrlPr>
                    <w:rPr>
                      <w:rFonts w:ascii="Cambria Math" w:hAnsi="Cambria Math"/>
                      <w:sz w:val="24"/>
                      <w:szCs w:val="24"/>
                    </w:rPr>
                  </m:ctrlPr>
                </m:sSubSup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y</m:t>
                  </m:r>
                  <m:ctrlPr>
                    <w:rPr>
                      <w:rFonts w:ascii="Cambria Math" w:hAnsi="Cambria Math"/>
                      <w:sz w:val="24"/>
                      <w:szCs w:val="24"/>
                    </w:rPr>
                  </m:ctrlPr>
                </m:sub>
                <m:sup>
                  <m:r>
                    <m:rPr/>
                    <w:rPr>
                      <w:rFonts w:ascii="Cambria Math" w:hAnsi="Cambria Math"/>
                      <w:sz w:val="24"/>
                      <w:szCs w:val="24"/>
                    </w:rPr>
                    <m:t>2</m:t>
                  </m:r>
                  <m:ctrlPr>
                    <w:rPr>
                      <w:rFonts w:ascii="Cambria Math" w:hAnsi="Cambria Math"/>
                      <w:sz w:val="24"/>
                      <w:szCs w:val="24"/>
                    </w:rPr>
                  </m:ctrlPr>
                </m:sup>
              </m:sSubSup>
              <m:r>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z</m:t>
                  </m:r>
                  <m:ctrlPr>
                    <w:rPr>
                      <w:rFonts w:ascii="Cambria Math" w:hAnsi="Cambria Math"/>
                      <w:sz w:val="24"/>
                      <w:szCs w:val="24"/>
                    </w:rPr>
                  </m:ctrlPr>
                </m:sub>
                <m:sup>
                  <m:r>
                    <m:rPr/>
                    <w:rPr>
                      <w:rFonts w:ascii="Cambria Math" w:hAnsi="Cambria Math"/>
                      <w:sz w:val="24"/>
                      <w:szCs w:val="24"/>
                    </w:rPr>
                    <m:t>2</m:t>
                  </m:r>
                  <m:ctrlPr>
                    <w:rPr>
                      <w:rFonts w:ascii="Cambria Math" w:hAnsi="Cambria Math"/>
                      <w:sz w:val="24"/>
                      <w:szCs w:val="24"/>
                    </w:rPr>
                  </m:ctrlPr>
                </m:sup>
              </m:sSubSup>
              <m:r>
                <m:rPr/>
                <w:rPr>
                  <w:rFonts w:ascii="Cambria Math" w:hAnsi="Cambria Math"/>
                  <w:sz w:val="24"/>
                  <w:szCs w:val="24"/>
                </w:rPr>
                <m:t>))</m:t>
              </m:r>
            </m:oMath>
          </w:p>
          <w:p w14:paraId="0903B419">
            <w:pPr>
              <w:ind w:firstLine="480" w:firstLineChars="200"/>
              <w:jc w:val="left"/>
              <w:rPr>
                <w:sz w:val="24"/>
                <w:szCs w:val="24"/>
              </w:rPr>
            </w:pPr>
            <w:r>
              <w:rPr>
                <w:rFonts w:ascii="宋体" w:hAnsi="宋体" w:eastAsia="宋体"/>
                <w:b w:val="0"/>
                <w:sz w:val="24"/>
                <w:szCs w:val="24"/>
              </w:rPr>
              <w:t>为抑制传感器的高频抖动，算法中引入滑动窗口滤波对四元数变化率进行平滑处理，并采用动态互补滤波策略（陀螺仪置信权重设为0.98，加速度计设为0.02），在高动态与低动态场景下均能稳定输出。实测表明，在±800°/s的角速度动态范围内，俯仰/翻滚角误差不超过±0.5°，偏航角误差不超过±1.5°，满足跑步姿态实时监测的精度需求。</w:t>
            </w:r>
          </w:p>
          <w:p w14:paraId="28779406">
            <w:pPr>
              <w:ind w:firstLine="480" w:firstLineChars="200"/>
              <w:jc w:val="left"/>
              <w:rPr>
                <w:rFonts w:hint="default" w:ascii="宋体" w:hAnsi="宋体" w:eastAsia="宋体"/>
                <w:b w:val="0"/>
                <w:sz w:val="24"/>
                <w:szCs w:val="24"/>
                <w:lang w:val="en-US" w:eastAsia="zh-CN"/>
              </w:rPr>
            </w:pPr>
            <w:r>
              <w:rPr>
                <w:rFonts w:ascii="宋体" w:hAnsi="宋体" w:eastAsia="宋体"/>
                <w:b w:val="0"/>
                <w:sz w:val="24"/>
                <w:szCs w:val="24"/>
              </w:rPr>
              <w:t>腿部姿态采集层面，选用JY901S九轴惯性测量单元作为下肢姿态感知核心。JY901S集成三轴加速度计、三轴陀螺仪和三轴磁力计，相较于MPU6050额外提供的磁力计数据可有效抑制偏航角的积分漂移，尤其适用于跑步过程中下肢大幅度摆动场景下的航向角精确测量。</w:t>
            </w:r>
            <w:r>
              <w:rPr>
                <w:rFonts w:hint="eastAsia" w:ascii="宋体" w:hAnsi="宋体"/>
                <w:b w:val="0"/>
                <w:sz w:val="24"/>
                <w:szCs w:val="24"/>
                <w:lang w:val="en-US" w:eastAsia="zh-CN"/>
              </w:rPr>
              <w:t xml:space="preserve">            </w:t>
            </w:r>
          </w:p>
          <w:p w14:paraId="1720E923">
            <w:pPr>
              <w:ind w:firstLine="480" w:firstLineChars="200"/>
              <w:jc w:val="left"/>
              <w:rPr>
                <w:rFonts w:ascii="宋体" w:hAnsi="宋体" w:eastAsia="宋体"/>
                <w:b w:val="0"/>
                <w:sz w:val="24"/>
                <w:szCs w:val="24"/>
              </w:rPr>
            </w:pPr>
            <w:r>
              <w:rPr>
                <w:rFonts w:ascii="宋体" w:hAnsi="宋体" w:eastAsia="宋体"/>
                <w:b w:val="0"/>
                <w:sz w:val="24"/>
                <w:szCs w:val="24"/>
              </w:rPr>
              <w:t>JY901S通过串口UART协议</w:t>
            </w:r>
            <w:r>
              <w:rPr>
                <w:rFonts w:hint="eastAsia" w:ascii="宋体" w:hAnsi="宋体"/>
                <w:b w:val="0"/>
                <w:sz w:val="24"/>
                <w:szCs w:val="24"/>
                <w:lang w:val="en-US" w:eastAsia="zh-CN"/>
              </w:rPr>
              <w:t>与</w:t>
            </w:r>
            <w:r>
              <w:rPr>
                <w:rFonts w:ascii="宋体" w:hAnsi="宋体" w:eastAsia="宋体"/>
                <w:b w:val="0"/>
                <w:sz w:val="24"/>
                <w:szCs w:val="24"/>
              </w:rPr>
              <w:t xml:space="preserve">ESP32-s3-supermini主控芯片建立数据通道，以200Hz采样率同步获取九轴原始数据。姿态融合算法层面，与上肢模块保持技术同构性——同样采用四元数作为空间旋转的中间表示，结合Kalman滤波与动态互补滤波策略对原始数据进行融合处理，最终解算出左右腿大腿段与小腿段的实时欧拉角（俯仰角、翻滚角、偏航角）。经实测标定，在±800°/s的角速度动态范围内，腿部姿态角测量精度与上肢模块保持一致（俯仰/翻滚角误差不超过±0.5°，偏航角误差不超过±1.5°），满足跑步步态分析的精度要求。 </w:t>
            </w:r>
          </w:p>
          <w:p w14:paraId="623FCA38">
            <w:pPr>
              <w:ind w:firstLine="480" w:firstLineChars="200"/>
              <w:jc w:val="left"/>
              <w:rPr>
                <w:sz w:val="24"/>
                <w:szCs w:val="24"/>
              </w:rPr>
            </w:pPr>
            <w:r>
              <w:rPr>
                <w:rFonts w:ascii="宋体" w:hAnsi="宋体" w:eastAsia="宋体"/>
                <w:b w:val="0"/>
                <w:sz w:val="24"/>
                <w:szCs w:val="24"/>
              </w:rPr>
              <w:t>足底压力采集层面，采用蓝牙BLE协议实现ESP32与阵列压力传感器模块的无线通信。开发过程中首先通过nRF Connect工具扫描并获取传感器的蓝牙MAC地址及GATT Service/Characteristic UUID，随后在ESP32固件中写入上述标识符建立稳定连接。传感器以固定帧格式（每帧40字节，含校验字段）上传原始十六进制数据，ESP32端按协议栈逐帧解析，还原出18个独立区域的压力数值，实现对足底压力分布的精细化感知。</w:t>
            </w:r>
          </w:p>
          <w:p w14:paraId="529E1DCF">
            <w:pPr>
              <w:ind w:firstLine="480" w:firstLineChars="200"/>
              <w:jc w:val="left"/>
              <w:rPr>
                <w:sz w:val="24"/>
                <w:szCs w:val="24"/>
              </w:rPr>
            </w:pPr>
            <w:r>
              <w:rPr>
                <w:rFonts w:ascii="宋体" w:hAnsi="宋体" w:eastAsia="宋体"/>
                <w:b w:val="0"/>
                <w:sz w:val="24"/>
                <w:szCs w:val="24"/>
              </w:rPr>
              <w:t>在完成各组件的独立调试后，将上肢ESP32主控板（集成四路MPU6050角度传感器）、下肢ESP32-s3-supermini主控板（集成JY901S九轴传感器）、阵列式压力传感器以及供电模块（18650锂电池组）进行了系统级集成。通过优化传感器在手臂绑带、腿部绑带和鞋垫中的安装位置与固定方式，确保了剧烈运动条件下信号采集的稳定性和可靠性，最终构建出总重量不超过180g的轻量化可穿戴原理样机，可无感佩戴并支持连续工作4小时以上。</w:t>
            </w:r>
          </w:p>
          <w:p w14:paraId="74075EA7">
            <w:pPr>
              <w:ind w:firstLine="480" w:firstLineChars="200"/>
              <w:rPr>
                <w:sz w:val="24"/>
                <w:szCs w:val="24"/>
              </w:rPr>
            </w:pPr>
            <w:r>
              <w:rPr>
                <w:rFonts w:ascii="宋体" w:hAnsi="宋体" w:eastAsia="宋体"/>
                <w:b/>
                <w:sz w:val="24"/>
                <w:szCs w:val="24"/>
              </w:rPr>
              <w:t>3.1.2 【运动数据处理流程与姿态评估模型构建】</w:t>
            </w:r>
          </w:p>
          <w:p w14:paraId="2A2270BB">
            <w:pPr>
              <w:ind w:firstLine="480" w:firstLineChars="200"/>
              <w:rPr>
                <w:sz w:val="24"/>
                <w:szCs w:val="24"/>
              </w:rPr>
            </w:pPr>
            <w:r>
              <w:rPr>
                <w:rFonts w:ascii="宋体" w:hAnsi="宋体" w:eastAsia="宋体"/>
                <w:b/>
                <w:sz w:val="24"/>
                <w:szCs w:val="24"/>
              </w:rPr>
              <w:t>（1）数据库逻辑设计与存储优化-</w:t>
            </w:r>
          </w:p>
          <w:p w14:paraId="3BB8EC06">
            <w:pPr>
              <w:ind w:firstLine="480" w:firstLineChars="200"/>
              <w:jc w:val="left"/>
              <w:rPr>
                <w:sz w:val="24"/>
                <w:szCs w:val="24"/>
              </w:rPr>
            </w:pPr>
            <w:r>
              <w:rPr>
                <w:rFonts w:ascii="宋体" w:hAnsi="宋体" w:eastAsia="宋体"/>
                <w:b w:val="0"/>
                <w:sz w:val="24"/>
                <w:szCs w:val="24"/>
              </w:rPr>
              <w:t>围绕项目的数据需求，首先梳理了系统需要处理的核心数据实体及其关系，包括用户基础信息（身高、体重、跑步年限、伤病史等）、单次训练记录（时间戳、持续时长、运动类型）、原始传感器时序数据（加速度、角速度、压力值）以及姿态解算结果（欧拉角序列、压力分布热力图）。基于MySQL关系型数据库设计了符合第三范式的表结构，对高频写入的传感器数据表建立了按用户ID和时间戳的联合索引，以保障在长时间连续采集场景下的查询效率。同时预留了面向后续扩展的数据字段（如心率、血氧等生理参数），保证数据库的可演进性。</w:t>
            </w:r>
          </w:p>
          <w:p w14:paraId="6949DCAB">
            <w:pPr>
              <w:ind w:firstLine="480" w:firstLineChars="200"/>
              <w:rPr>
                <w:sz w:val="24"/>
                <w:szCs w:val="24"/>
              </w:rPr>
            </w:pPr>
            <w:r>
              <w:rPr>
                <w:rFonts w:ascii="宋体" w:hAnsi="宋体" w:eastAsia="宋体"/>
                <w:b/>
                <w:sz w:val="24"/>
                <w:szCs w:val="24"/>
              </w:rPr>
              <w:t>（2）多级数据清洗流水线</w:t>
            </w:r>
          </w:p>
          <w:p w14:paraId="0170004D">
            <w:pPr>
              <w:ind w:firstLine="480" w:firstLineChars="200"/>
              <w:jc w:val="left"/>
              <w:rPr>
                <w:sz w:val="24"/>
                <w:szCs w:val="24"/>
              </w:rPr>
            </w:pPr>
            <w:r>
              <w:rPr>
                <w:rFonts w:ascii="宋体" w:hAnsi="宋体" w:eastAsia="宋体"/>
                <w:b w:val="0"/>
                <w:sz w:val="24"/>
                <w:szCs w:val="24"/>
              </w:rPr>
              <w:t>为保障进入姿态分析模型的数据质量，构建了三级递进式数据清洗流程：第一级——冗余过滤：对相邻时间戳内数值完全不变的传感器读数，仅保留首帧，剔除后续重复帧；对蓝牙/WiFi短暂断连导致的碎片化数据段，基于时间戳间隔阈值进行合并拼接。</w:t>
            </w:r>
          </w:p>
          <w:p w14:paraId="6E11531F">
            <w:pPr>
              <w:ind w:firstLine="480" w:firstLineChars="200"/>
              <w:jc w:val="left"/>
              <w:rPr>
                <w:sz w:val="24"/>
                <w:szCs w:val="24"/>
              </w:rPr>
            </w:pPr>
            <w:r>
              <w:rPr>
                <w:rFonts w:ascii="宋体" w:hAnsi="宋体" w:eastAsia="宋体"/>
                <w:b w:val="0"/>
                <w:sz w:val="24"/>
                <w:szCs w:val="24"/>
              </w:rPr>
              <w:t>第二级——缺失值处理：根据数据字段的关键程度执行差异化策略；对于核心姿态参数（如欧拉角、主压力区标识），若缺失比例超过10%则标记该次训练记录为无效并予以剔除；对于非关键辅助字段，采用前后帧滑动平均法或频数填充法进行估算补全。</w:t>
            </w:r>
          </w:p>
          <w:p w14:paraId="2FF97BC1">
            <w:pPr>
              <w:ind w:firstLine="480" w:firstLineChars="200"/>
              <w:jc w:val="left"/>
              <w:rPr>
                <w:sz w:val="24"/>
                <w:szCs w:val="24"/>
              </w:rPr>
            </w:pPr>
            <w:r>
              <w:rPr>
                <w:rFonts w:ascii="宋体" w:hAnsi="宋体" w:eastAsia="宋体"/>
                <w:b w:val="0"/>
                <w:sz w:val="24"/>
                <w:szCs w:val="24"/>
              </w:rPr>
              <w:t>第三级——异常值识别：综合运用统计学方法和物理约束进行数据校验。具体规则包括：时间戳单调性检查（剔除时间戳回退或跳跃的异常帧）、姿态角度物理边界检查（剔除超出传感器量程或人体关节活动范围的极端值）、压力值合理性检查（剔除负压或压力总和异常的帧）。经三级清洗后，数据有效利用率可达90%以上。</w:t>
            </w:r>
          </w:p>
          <w:p w14:paraId="7605112D">
            <w:pPr>
              <w:ind w:firstLine="480" w:firstLineChars="200"/>
              <w:rPr>
                <w:sz w:val="24"/>
                <w:szCs w:val="24"/>
              </w:rPr>
            </w:pPr>
            <w:r>
              <w:rPr>
                <w:rFonts w:ascii="宋体" w:hAnsi="宋体" w:eastAsia="宋体"/>
                <w:b/>
                <w:sz w:val="24"/>
                <w:szCs w:val="24"/>
              </w:rPr>
              <w:t>（3）运动姿态计算模型</w:t>
            </w:r>
          </w:p>
          <w:p w14:paraId="215470DC">
            <w:pPr>
              <w:ind w:firstLine="480" w:firstLineChars="200"/>
              <w:jc w:val="left"/>
              <w:rPr>
                <w:sz w:val="24"/>
                <w:szCs w:val="24"/>
              </w:rPr>
            </w:pPr>
            <w:r>
              <w:rPr>
                <w:rFonts w:ascii="宋体" w:hAnsi="宋体" w:eastAsia="宋体"/>
                <w:b w:val="0"/>
                <w:sz w:val="24"/>
                <w:szCs w:val="24"/>
              </w:rPr>
              <w:t>①手臂运动链建模</w:t>
            </w:r>
          </w:p>
          <w:p w14:paraId="5577B773">
            <w:pPr>
              <w:ind w:firstLine="480" w:firstLineChars="200"/>
              <w:jc w:val="left"/>
              <w:rPr>
                <w:sz w:val="24"/>
                <w:szCs w:val="24"/>
              </w:rPr>
            </w:pPr>
            <w:r>
              <w:rPr>
                <w:rFonts w:ascii="宋体" w:hAnsi="宋体" w:eastAsia="宋体"/>
                <w:b w:val="0"/>
                <w:sz w:val="24"/>
                <w:szCs w:val="24"/>
              </w:rPr>
              <w:t>在获取左右手臂大臂与小臂的欧拉角之后，以上肢运动链的层级结构进行空间姿态还原：以肩关节为根部坐标系原点，利用大臂欧拉角（俯仰/翻滚/偏航）通过旋转矩阵正算肘关节在空间中的三维位置；再以肘关节为子坐标系原点，结合小臂欧拉角递推还原小臂段的朝向与姿态。该层级式建模方法使得整体手臂运动姿态可分解为肩—肘两个独立关节的自由度组合，便于后续的异常姿态定位（如检测到“过度内旋”时可直接追溯至具体关节段）。</w:t>
            </w:r>
          </w:p>
          <w:p w14:paraId="315014E4">
            <w:pPr>
              <w:ind w:firstLine="480" w:firstLineChars="200"/>
              <w:jc w:val="left"/>
              <w:rPr>
                <w:sz w:val="24"/>
                <w:szCs w:val="24"/>
              </w:rPr>
            </w:pPr>
            <w:r>
              <w:rPr>
                <w:rFonts w:ascii="宋体" w:hAnsi="宋体" w:eastAsia="宋体"/>
                <w:b w:val="0"/>
                <w:sz w:val="24"/>
                <w:szCs w:val="24"/>
              </w:rPr>
              <w:t>②腿部运动链建模</w:t>
            </w:r>
          </w:p>
          <w:p w14:paraId="32ADDF0C">
            <w:pPr>
              <w:ind w:firstLine="480" w:firstLineChars="200"/>
              <w:jc w:val="left"/>
              <w:rPr>
                <w:sz w:val="24"/>
                <w:szCs w:val="24"/>
              </w:rPr>
            </w:pPr>
            <w:r>
              <w:rPr>
                <w:rFonts w:ascii="宋体" w:hAnsi="宋体" w:eastAsia="宋体"/>
                <w:b w:val="0"/>
                <w:sz w:val="24"/>
                <w:szCs w:val="24"/>
              </w:rPr>
              <w:t>在获取左右腿大腿与小腿的欧拉角之后，以下肢运动链的层级结构进行空间姿态还原：以髋关节为根部坐标系原点，利用大腿欧拉角（俯仰/翻滚/偏航）通过旋转矩阵正算膝关节在空间中的三维位置；再以膝关节为子坐标系原点，结合小腿欧拉角递推还原小腿段的朝向与姿态。该层级式建模方法使得整体腿部运动姿态可分解为髋—膝—踝三个独立关节的自由度组合，可用于量化分析跑步步态周期中的关键运动学指标，包括步幅角度、膝关节屈伸范围、大腿抬腿高度以及落地前小腿前伸角度等。当下肢姿态出现异常时（如检测到“膝关节过度内扣”或“左右步幅不对称”），系统可精确定位至具体关节段并给出针对性纠正建议。</w:t>
            </w:r>
          </w:p>
          <w:p w14:paraId="14D257DA">
            <w:pPr>
              <w:ind w:firstLine="480" w:firstLineChars="200"/>
              <w:jc w:val="left"/>
              <w:rPr>
                <w:sz w:val="24"/>
                <w:szCs w:val="24"/>
              </w:rPr>
            </w:pPr>
            <w:r>
              <w:rPr>
                <w:rFonts w:ascii="宋体" w:hAnsi="宋体" w:eastAsia="宋体"/>
                <w:b w:val="0"/>
                <w:sz w:val="24"/>
                <w:szCs w:val="24"/>
              </w:rPr>
              <w:t>③足部落地模式判断</w:t>
            </w:r>
          </w:p>
          <w:p w14:paraId="0DFC9EFD">
            <w:pPr>
              <w:ind w:firstLine="480" w:firstLineChars="200"/>
              <w:jc w:val="left"/>
              <w:rPr>
                <w:sz w:val="24"/>
                <w:szCs w:val="24"/>
              </w:rPr>
            </w:pPr>
            <w:r>
              <w:rPr>
                <w:rFonts w:ascii="宋体" w:hAnsi="宋体" w:eastAsia="宋体"/>
                <w:b w:val="0"/>
                <w:sz w:val="24"/>
                <w:szCs w:val="24"/>
              </w:rPr>
              <w:t>对压力传感器阵列的18个采样点按解剖学位置划分为前掌区（含趾骨区和跖骨头区）、足弓区和后跟区三大功能区。为每个采样点分配三个归一化权重系数，分别表征该点对前掌着地、全掌着地和足跟着地三种典型落地模式的贡献度。在实际分析中，将各区域的压力实测值乘以对应模式权重后分别累加，比较三种模式的加权总分，最大值所对应的落地方式即判定为当前步态周期的主导着地模式。该加权判别法相比简单的重心偏移法具有更强的抗噪声能力和更高的分类一致性。</w:t>
            </w:r>
          </w:p>
          <w:p w14:paraId="3EE77A91">
            <w:pPr>
              <w:ind w:firstLine="480" w:firstLineChars="200"/>
              <w:rPr>
                <w:sz w:val="24"/>
                <w:szCs w:val="24"/>
              </w:rPr>
            </w:pPr>
            <w:r>
              <w:rPr>
                <w:rFonts w:ascii="宋体" w:hAnsi="宋体" w:eastAsia="宋体"/>
                <w:b/>
                <w:sz w:val="24"/>
                <w:szCs w:val="24"/>
              </w:rPr>
              <w:t>3.1.3 【跑步数字孪生可视化平台搭建】</w:t>
            </w:r>
          </w:p>
          <w:p w14:paraId="59A8AD22">
            <w:pPr>
              <w:ind w:firstLine="480" w:firstLineChars="200"/>
              <w:rPr>
                <w:sz w:val="24"/>
                <w:szCs w:val="24"/>
              </w:rPr>
            </w:pPr>
            <w:r>
              <w:rPr>
                <w:rFonts w:ascii="宋体" w:hAnsi="宋体" w:eastAsia="宋体"/>
                <w:b/>
                <w:sz w:val="24"/>
                <w:szCs w:val="24"/>
              </w:rPr>
              <w:t>（1）前后端分层架构设计</w:t>
            </w:r>
          </w:p>
          <w:p w14:paraId="7D6E72A9">
            <w:pPr>
              <w:ind w:firstLine="480" w:firstLineChars="200"/>
              <w:jc w:val="left"/>
              <w:rPr>
                <w:sz w:val="24"/>
                <w:szCs w:val="24"/>
              </w:rPr>
            </w:pPr>
            <w:r>
              <w:rPr>
                <w:rFonts w:ascii="宋体" w:hAnsi="宋体" w:eastAsia="宋体"/>
                <w:b w:val="0"/>
                <w:sz w:val="24"/>
                <w:szCs w:val="24"/>
              </w:rPr>
              <w:t>数字孪生平台采用前后端分离的B/S架构，遵循关注点分离原则进行模块划分。前端层专注于用户交互体验与数据呈现，承担三维场景渲染、图表可视化和用户操作事件处理等职责；后端层聚焦于业务逻辑与数据管理，提供传感器数据接入、姿态分析算法调度、用户管理及数据库CRUD操作等服务。前后端之间以JSON格式通过RESTful API进行无状态通信，清晰的数据契约为后续功能模块的独立迭代和第三方接入提供了基础保障。</w:t>
            </w:r>
          </w:p>
          <w:p w14:paraId="39628D71">
            <w:pPr>
              <w:ind w:firstLine="480" w:firstLineChars="200"/>
              <w:rPr>
                <w:sz w:val="24"/>
                <w:szCs w:val="24"/>
              </w:rPr>
            </w:pPr>
            <w:r>
              <w:rPr>
                <w:rFonts w:ascii="宋体" w:hAnsi="宋体" w:eastAsia="宋体"/>
                <w:b/>
                <w:sz w:val="24"/>
                <w:szCs w:val="24"/>
              </w:rPr>
              <w:t>（2）技术选型与协同实现</w:t>
            </w:r>
          </w:p>
          <w:p w14:paraId="269AB26D">
            <w:pPr>
              <w:ind w:firstLine="480" w:firstLineChars="200"/>
              <w:jc w:val="left"/>
              <w:rPr>
                <w:sz w:val="24"/>
                <w:szCs w:val="24"/>
              </w:rPr>
            </w:pPr>
            <w:r>
              <w:rPr>
                <w:rFonts w:ascii="宋体" w:hAnsi="宋体" w:eastAsia="宋体"/>
                <w:b w:val="0"/>
                <w:sz w:val="24"/>
                <w:szCs w:val="24"/>
              </w:rPr>
              <w:t>后端技术栈方面，选用</w:t>
            </w:r>
            <w:r>
              <w:rPr>
                <w:rFonts w:ascii="宋体" w:hAnsi="宋体" w:eastAsia="宋体"/>
                <w:b/>
                <w:bCs/>
                <w:sz w:val="24"/>
                <w:szCs w:val="24"/>
              </w:rPr>
              <w:t>Python Django</w:t>
            </w:r>
            <w:r>
              <w:rPr>
                <w:rFonts w:ascii="宋体" w:hAnsi="宋体" w:eastAsia="宋体"/>
                <w:b w:val="0"/>
                <w:sz w:val="24"/>
                <w:szCs w:val="24"/>
              </w:rPr>
              <w:t>作为Web应用程序框架，利用其成熟的ORM系统和中间件机制高效管理数据模型和请求处理流水线；数据库层面沿用</w:t>
            </w:r>
            <w:r>
              <w:rPr>
                <w:rFonts w:ascii="宋体" w:hAnsi="宋体" w:eastAsia="宋体"/>
                <w:b/>
                <w:bCs/>
                <w:sz w:val="24"/>
                <w:szCs w:val="24"/>
              </w:rPr>
              <w:t>MySQL</w:t>
            </w:r>
            <w:r>
              <w:rPr>
                <w:rFonts w:ascii="宋体" w:hAnsi="宋体" w:eastAsia="宋体"/>
                <w:b w:val="0"/>
                <w:sz w:val="24"/>
                <w:szCs w:val="24"/>
              </w:rPr>
              <w:t>，通过Django Model层屏蔽底层SQL差异；数据处理与分析脚本以Python科学计算生态（NumPy/SciPy）为支撑，实现了从原始传感器数据到姿态指标的全流程自动化处理。前端技术选型方面，以Vue2作为响应式UI框架，整合</w:t>
            </w:r>
            <w:r>
              <w:rPr>
                <w:rFonts w:ascii="宋体" w:hAnsi="宋体" w:eastAsia="宋体"/>
                <w:b/>
                <w:bCs/>
                <w:sz w:val="24"/>
                <w:szCs w:val="24"/>
              </w:rPr>
              <w:t>ECharts</w:t>
            </w:r>
            <w:r>
              <w:rPr>
                <w:rFonts w:ascii="宋体" w:hAnsi="宋体" w:eastAsia="宋体"/>
                <w:b w:val="0"/>
                <w:sz w:val="24"/>
                <w:szCs w:val="24"/>
              </w:rPr>
              <w:t>实现训练报告中的统计图表展示（如步频曲线、着地模式饼图、左右对称性对比柱状图），借助</w:t>
            </w:r>
            <w:r>
              <w:rPr>
                <w:rFonts w:ascii="宋体" w:hAnsi="宋体" w:eastAsia="宋体"/>
                <w:b/>
                <w:bCs/>
                <w:sz w:val="24"/>
                <w:szCs w:val="24"/>
              </w:rPr>
              <w:t>Three.js</w:t>
            </w:r>
            <w:r>
              <w:rPr>
                <w:rFonts w:ascii="宋体" w:hAnsi="宋体" w:eastAsia="宋体"/>
                <w:b w:val="0"/>
                <w:sz w:val="24"/>
                <w:szCs w:val="24"/>
              </w:rPr>
              <w:t>构建3D人体骨骼动画，融合上肢摆臂数据与下肢步态数据，实时驱动虚拟跑者模型全方位复现用户的实际跑步姿态（涵盖手臂摆动、躯干姿态及腿部步幅动作），用户可通过鼠标拖拽切换观察视角。前后端通过</w:t>
            </w:r>
            <w:r>
              <w:rPr>
                <w:rFonts w:ascii="宋体" w:hAnsi="宋体" w:eastAsia="宋体"/>
                <w:b/>
                <w:bCs/>
                <w:sz w:val="24"/>
                <w:szCs w:val="24"/>
              </w:rPr>
              <w:t>WebSocket</w:t>
            </w:r>
            <w:r>
              <w:rPr>
                <w:rFonts w:ascii="宋体" w:hAnsi="宋体" w:eastAsia="宋体"/>
                <w:b w:val="0"/>
                <w:sz w:val="24"/>
                <w:szCs w:val="24"/>
              </w:rPr>
              <w:t>实现数据实时推送，确保数字孪生场景中虚拟模型与实际运动状态的同步延迟控制在100ms以内。</w:t>
            </w:r>
          </w:p>
          <w:p w14:paraId="3EBE267F">
            <w:pPr>
              <w:ind w:firstLine="480" w:firstLineChars="200"/>
              <w:rPr>
                <w:sz w:val="24"/>
                <w:szCs w:val="24"/>
              </w:rPr>
            </w:pPr>
            <w:r>
              <w:rPr>
                <w:rFonts w:ascii="宋体" w:hAnsi="宋体" w:eastAsia="宋体"/>
                <w:b/>
                <w:sz w:val="24"/>
                <w:szCs w:val="24"/>
              </w:rPr>
              <w:t>3.2【中期后的工作规划】</w:t>
            </w:r>
          </w:p>
          <w:p w14:paraId="0D29826F">
            <w:pPr>
              <w:ind w:firstLine="480" w:firstLineChars="200"/>
              <w:jc w:val="left"/>
              <w:rPr>
                <w:sz w:val="24"/>
                <w:szCs w:val="24"/>
              </w:rPr>
            </w:pPr>
            <w:r>
              <w:rPr>
                <w:rFonts w:ascii="宋体" w:hAnsi="宋体" w:eastAsia="宋体"/>
                <w:b w:val="0"/>
                <w:sz w:val="24"/>
                <w:szCs w:val="24"/>
              </w:rPr>
              <w:t>在中期检查之后，本项目将从以下维度持续深化研发工作：后端方面，一是进一步优化数据处理管线的计算效率，通过引入消息队列（如</w:t>
            </w:r>
            <w:r>
              <w:rPr>
                <w:rFonts w:ascii="宋体" w:hAnsi="宋体" w:eastAsia="宋体"/>
                <w:b/>
                <w:bCs/>
                <w:sz w:val="24"/>
                <w:szCs w:val="24"/>
              </w:rPr>
              <w:t>Redis</w:t>
            </w:r>
            <w:r>
              <w:rPr>
                <w:rFonts w:ascii="宋体" w:hAnsi="宋体" w:eastAsia="宋体"/>
                <w:b w:val="0"/>
                <w:sz w:val="24"/>
                <w:szCs w:val="24"/>
              </w:rPr>
              <w:t>）缓存高频传感器数据流，降低数据库写入压力；二是扩展传感器数据接入的适配层，设计统一的设备抽象接口以兼容未来可能集成的其他类型传感器（如心率带、血氧手环、GPS模块等），并实现对上肢MPU6050、下肢JY901S及足底压力传感器等多源异构感知设备的统一管理和即插即用接入；三是着手开发基于机器学习的跑姿评分模型，利用标注数据集训练分类器，实现从“规则判断”到“模型推理”的升级。前端方面，一是对数据可视化组件进行深度定制，增加动态热力图、步态周期分解图等更丰富的分析图表；二是优化移动端的适配体验，针对手机竖屏场景重新设计信息层级和触摸交互方式；三是引入Django SimpleUI对后台管理界面进行视觉美化，提升管理员的操作效率。通过前后端持续迭代，逐步完成跑步运动数字孪生平台从“可用”到“好用”的品质跃升。</w:t>
            </w:r>
          </w:p>
          <w:p w14:paraId="604DC742">
            <w:pPr>
              <w:jc w:val="left"/>
            </w:pPr>
          </w:p>
        </w:tc>
      </w:tr>
      <w:tr w14:paraId="337FB18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495" w:hRule="atLeast"/>
        </w:trPr>
        <w:tc>
          <w:tcPr>
            <w:tcW w:w="8500" w:type="dxa"/>
            <w:gridSpan w:val="6"/>
            <w:tcBorders>
              <w:top w:val="single" w:color="auto" w:sz="8" w:space="0"/>
              <w:left w:val="single" w:color="auto" w:sz="8" w:space="0"/>
              <w:bottom w:val="single" w:color="auto" w:sz="4" w:space="0"/>
              <w:right w:val="single" w:color="auto" w:sz="4" w:space="0"/>
            </w:tcBorders>
          </w:tcPr>
          <w:p w14:paraId="3BB1EA8B">
            <w:pPr>
              <w:jc w:val="center"/>
              <w:rPr>
                <w:rFonts w:hint="eastAsia" w:ascii="宋体" w:hAnsi="宋体"/>
                <w:b/>
                <w:bCs/>
                <w:sz w:val="28"/>
              </w:rPr>
            </w:pPr>
            <w:r>
              <w:rPr>
                <w:rFonts w:hint="eastAsia" w:ascii="宋体" w:hAnsi="宋体"/>
                <w:b/>
                <w:bCs/>
                <w:sz w:val="28"/>
              </w:rPr>
              <w:t>四、项目成员分工情况</w:t>
            </w:r>
          </w:p>
        </w:tc>
      </w:tr>
      <w:tr w14:paraId="5B29608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3674" w:hRule="atLeast"/>
        </w:trPr>
        <w:tc>
          <w:tcPr>
            <w:tcW w:w="8500" w:type="dxa"/>
            <w:gridSpan w:val="6"/>
            <w:tcBorders>
              <w:top w:val="single" w:color="auto" w:sz="4" w:space="0"/>
              <w:left w:val="single" w:color="auto" w:sz="8" w:space="0"/>
              <w:bottom w:val="single" w:color="auto" w:sz="8" w:space="0"/>
              <w:right w:val="single" w:color="auto" w:sz="4" w:space="0"/>
            </w:tcBorders>
          </w:tcPr>
          <w:p w14:paraId="44CAA2D8">
            <w:pPr>
              <w:rPr>
                <w:rFonts w:hint="eastAsia" w:ascii="宋体" w:hAnsi="宋体"/>
                <w:sz w:val="24"/>
              </w:rPr>
            </w:pPr>
            <w:r>
              <w:rPr>
                <w:rFonts w:hint="eastAsia" w:ascii="宋体" w:hAnsi="宋体"/>
                <w:sz w:val="24"/>
              </w:rPr>
              <w:t>项目成员分工及完成工作量情况</w:t>
            </w:r>
          </w:p>
          <w:tbl>
            <w:tblPr>
              <w:tblStyle w:val="12"/>
              <w:tblW w:w="8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28"/>
              <w:gridCol w:w="5657"/>
            </w:tblGrid>
            <w:tr w14:paraId="3B535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2828" w:type="dxa"/>
                </w:tcPr>
                <w:p w14:paraId="2CD61CA6">
                  <w:pPr>
                    <w:jc w:val="center"/>
                    <w:rPr>
                      <w:rFonts w:hint="eastAsia" w:ascii="宋体" w:hAnsi="宋体"/>
                      <w:sz w:val="24"/>
                    </w:rPr>
                  </w:pPr>
                  <w:r>
                    <w:rPr>
                      <w:rFonts w:hint="eastAsia" w:ascii="宋体" w:hAnsi="宋体"/>
                      <w:sz w:val="24"/>
                    </w:rPr>
                    <w:t>成员</w:t>
                  </w:r>
                </w:p>
              </w:tc>
              <w:tc>
                <w:tcPr>
                  <w:tcW w:w="5657" w:type="dxa"/>
                </w:tcPr>
                <w:p w14:paraId="2D15E087">
                  <w:pPr>
                    <w:jc w:val="center"/>
                    <w:rPr>
                      <w:rFonts w:hint="eastAsia" w:ascii="宋体" w:hAnsi="宋体"/>
                      <w:sz w:val="24"/>
                    </w:rPr>
                  </w:pPr>
                  <w:r>
                    <w:rPr>
                      <w:rFonts w:hint="eastAsia" w:ascii="宋体" w:hAnsi="宋体"/>
                      <w:sz w:val="24"/>
                    </w:rPr>
                    <w:t>工作量</w:t>
                  </w:r>
                </w:p>
              </w:tc>
            </w:tr>
            <w:tr w14:paraId="5C194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2828" w:type="dxa"/>
                </w:tcPr>
                <w:p w14:paraId="06E98B21">
                  <w:pPr>
                    <w:jc w:val="center"/>
                    <w:rPr>
                      <w:rFonts w:hint="eastAsia" w:ascii="宋体" w:hAnsi="宋体"/>
                      <w:sz w:val="24"/>
                    </w:rPr>
                  </w:pPr>
                </w:p>
                <w:p w14:paraId="488B231D">
                  <w:pPr>
                    <w:jc w:val="center"/>
                    <w:rPr>
                      <w:rFonts w:hint="eastAsia" w:ascii="宋体" w:hAnsi="宋体"/>
                      <w:sz w:val="24"/>
                    </w:rPr>
                  </w:pPr>
                </w:p>
                <w:p w14:paraId="1CCEFD3C">
                  <w:pPr>
                    <w:jc w:val="center"/>
                    <w:rPr>
                      <w:rFonts w:hint="eastAsia" w:ascii="宋体" w:hAnsi="宋体"/>
                      <w:sz w:val="24"/>
                    </w:rPr>
                  </w:pPr>
                  <w:r>
                    <w:rPr>
                      <w:rFonts w:hint="eastAsia" w:ascii="宋体" w:hAnsi="宋体"/>
                      <w:sz w:val="24"/>
                    </w:rPr>
                    <w:t>汪子轩</w:t>
                  </w:r>
                </w:p>
              </w:tc>
              <w:tc>
                <w:tcPr>
                  <w:tcW w:w="5657" w:type="dxa"/>
                </w:tcPr>
                <w:p w14:paraId="4BD59746">
                  <w:pPr>
                    <w:rPr>
                      <w:rFonts w:hint="eastAsia" w:ascii="宋体" w:hAnsi="宋体"/>
                      <w:sz w:val="24"/>
                    </w:rPr>
                  </w:pPr>
                  <w:r>
                    <w:rPr>
                      <w:rFonts w:hint="eastAsia" w:ascii="宋体" w:hAnsi="宋体" w:cs="宋体"/>
                      <w:b/>
                      <w:bCs/>
                      <w:sz w:val="24"/>
                    </w:rPr>
                    <w:t>作为项目负责人，统筹协调团队整体工作进度，同时主导软件平台的架构设计与核心开发。①根据项目需求调研结果，规划并设计了前端展示模块与后端数据处理模块的功能边界及交互规范，基于Vue2 + Django技术栈独立完成了前后端主体框架的搭建与本地开发环境的部署；②研究并实现了ESP32设备与后端服务器之间的WiFi数据透传机制，制定了传感器数据上传的应用层通信协议，确保多设备并发接入时的数据完整性和时序一致性；③负责网站的持续性迭代优化与日常运维，包括性能调优、Bug修复、用户体验改进等；④代表项目团队参加各类创新创业竞赛，负责项目申报材料的撰写、答辩PPT制作及现场</w:t>
                  </w:r>
                  <w:r>
                    <w:rPr>
                      <w:rFonts w:hint="eastAsia" w:ascii="宋体" w:hAnsi="宋体" w:cs="宋体"/>
                      <w:b/>
                      <w:bCs/>
                      <w:sz w:val="24"/>
                      <w:lang w:val="en-US" w:eastAsia="zh-CN"/>
                    </w:rPr>
                    <w:t>答辩</w:t>
                  </w:r>
                  <w:r>
                    <w:rPr>
                      <w:rFonts w:hint="eastAsia" w:ascii="宋体" w:hAnsi="宋体" w:cs="宋体"/>
                      <w:b/>
                      <w:bCs/>
                      <w:sz w:val="24"/>
                    </w:rPr>
                    <w:t>。</w:t>
                  </w:r>
                </w:p>
              </w:tc>
            </w:tr>
            <w:tr w14:paraId="1BA42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2828" w:type="dxa"/>
                </w:tcPr>
                <w:p w14:paraId="50A9D035">
                  <w:pPr>
                    <w:jc w:val="center"/>
                    <w:rPr>
                      <w:rFonts w:hint="eastAsia" w:ascii="宋体" w:hAnsi="宋体"/>
                      <w:sz w:val="24"/>
                    </w:rPr>
                  </w:pPr>
                </w:p>
                <w:p w14:paraId="1DA566DC">
                  <w:pPr>
                    <w:jc w:val="center"/>
                    <w:rPr>
                      <w:rFonts w:hint="eastAsia" w:ascii="宋体" w:hAnsi="宋体"/>
                      <w:sz w:val="24"/>
                    </w:rPr>
                  </w:pPr>
                </w:p>
                <w:p w14:paraId="6D67C515">
                  <w:pPr>
                    <w:jc w:val="center"/>
                    <w:rPr>
                      <w:rFonts w:hint="eastAsia" w:ascii="宋体" w:hAnsi="宋体"/>
                      <w:sz w:val="24"/>
                    </w:rPr>
                  </w:pPr>
                </w:p>
                <w:p w14:paraId="4100BB8D">
                  <w:pPr>
                    <w:jc w:val="center"/>
                    <w:rPr>
                      <w:rFonts w:hint="eastAsia" w:ascii="宋体" w:hAnsi="宋体"/>
                      <w:sz w:val="24"/>
                    </w:rPr>
                  </w:pPr>
                  <w:r>
                    <w:rPr>
                      <w:rFonts w:hint="eastAsia" w:ascii="宋体" w:hAnsi="宋体"/>
                      <w:sz w:val="24"/>
                    </w:rPr>
                    <w:t>叶腾龙</w:t>
                  </w:r>
                </w:p>
              </w:tc>
              <w:tc>
                <w:tcPr>
                  <w:tcW w:w="5657" w:type="dxa"/>
                </w:tcPr>
                <w:p w14:paraId="5427F30D">
                  <w:pPr>
                    <w:rPr>
                      <w:rFonts w:hint="eastAsia" w:ascii="宋体" w:hAnsi="宋体"/>
                      <w:sz w:val="24"/>
                    </w:rPr>
                  </w:pPr>
                  <w:r>
                    <w:rPr>
                      <w:rFonts w:hint="eastAsia" w:ascii="宋体" w:hAnsi="宋体" w:cs="宋体"/>
                      <w:b/>
                      <w:bCs/>
                      <w:sz w:val="24"/>
                    </w:rPr>
                    <w:t>作为硬件研发的核心骨干，全面负责可穿戴设备端的技术攻关与工程实现。①独立完成了硬件总体方案设计，确定以ESP32为主控平台，整合MPU6050六轴传感器、阵列式压力传感器、HC-05蓝牙模块及WiFi通信模块，构建了一套模块化、可扩展的跑步姿态感知系统；②攻克了多协议异构通信的技术难点：一方面通过IIC总线实现ESP32与MPU6050之间的高速数据交互（4路传感器并行采样），另一方面通过BLE与足底压力传感器建立稳定的无线数据链路；③设计了传感器原始数据的帧结构定义与校验机制（含起始标识、数据载荷、CRC校验），并编写了对应的嵌入式解析固件，确保数据传输的可靠性；④主导了硬件系统的集成调试与性能标定工作，通过多次迭代优化传感器布局和采样参数，将系统整体测量误差控制在目标范围内。</w:t>
                  </w:r>
                </w:p>
              </w:tc>
            </w:tr>
            <w:tr w14:paraId="2D02C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2828" w:type="dxa"/>
                </w:tcPr>
                <w:p w14:paraId="03EAC652">
                  <w:pPr>
                    <w:rPr>
                      <w:rFonts w:hint="eastAsia" w:ascii="宋体" w:hAnsi="宋体"/>
                      <w:sz w:val="24"/>
                    </w:rPr>
                  </w:pPr>
                </w:p>
                <w:p w14:paraId="60C6E63E">
                  <w:pPr>
                    <w:jc w:val="center"/>
                    <w:rPr>
                      <w:rFonts w:hint="eastAsia" w:ascii="宋体" w:hAnsi="宋体"/>
                      <w:sz w:val="24"/>
                    </w:rPr>
                  </w:pPr>
                  <w:r>
                    <w:rPr>
                      <w:rFonts w:hint="eastAsia" w:ascii="宋体" w:hAnsi="宋体"/>
                      <w:sz w:val="24"/>
                    </w:rPr>
                    <w:t>刘禹豪</w:t>
                  </w:r>
                </w:p>
              </w:tc>
              <w:tc>
                <w:tcPr>
                  <w:tcW w:w="5657" w:type="dxa"/>
                </w:tcPr>
                <w:p w14:paraId="497BCA0A">
                  <w:pPr>
                    <w:pStyle w:val="21"/>
                    <w:numPr>
                      <w:ilvl w:val="0"/>
                      <w:numId w:val="1"/>
                    </w:numPr>
                    <w:ind w:firstLineChars="0"/>
                    <w:rPr>
                      <w:rFonts w:hint="eastAsia" w:ascii="宋体" w:hAnsi="宋体"/>
                      <w:sz w:val="24"/>
                    </w:rPr>
                  </w:pPr>
                  <w:r>
                    <w:rPr>
                      <w:rFonts w:hint="eastAsia" w:ascii="宋体" w:hAnsi="宋体"/>
                      <w:sz w:val="24"/>
                    </w:rPr>
                    <w:t>项目初期配合进行了跑步运动生物力学相关文献的检索与整理，协助建立了姿态分析所需的理论知识框架；②在日常开发过程中提供代码审查（Code Review）和技术文档整理方面的辅助支持，协助维护项目的技术Wiki；③参与前端页面的样式调试和跨浏览器兼容性测试工作。</w:t>
                  </w:r>
                </w:p>
              </w:tc>
            </w:tr>
            <w:tr w14:paraId="724CF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2828" w:type="dxa"/>
                </w:tcPr>
                <w:p w14:paraId="5DEFF657">
                  <w:pPr>
                    <w:jc w:val="center"/>
                    <w:rPr>
                      <w:rFonts w:hint="eastAsia" w:ascii="宋体" w:hAnsi="宋体"/>
                      <w:sz w:val="24"/>
                    </w:rPr>
                  </w:pPr>
                </w:p>
                <w:p w14:paraId="59CA5F7D">
                  <w:pPr>
                    <w:jc w:val="center"/>
                    <w:rPr>
                      <w:rFonts w:hint="eastAsia" w:ascii="宋体" w:hAnsi="宋体"/>
                      <w:sz w:val="24"/>
                    </w:rPr>
                  </w:pPr>
                  <w:r>
                    <w:rPr>
                      <w:rFonts w:hint="eastAsia" w:ascii="宋体" w:hAnsi="宋体"/>
                      <w:sz w:val="24"/>
                    </w:rPr>
                    <w:t>潘彦希</w:t>
                  </w:r>
                </w:p>
              </w:tc>
              <w:tc>
                <w:tcPr>
                  <w:tcW w:w="5657" w:type="dxa"/>
                </w:tcPr>
                <w:p w14:paraId="43BE303A">
                  <w:pPr>
                    <w:pStyle w:val="21"/>
                    <w:numPr>
                      <w:ilvl w:val="0"/>
                      <w:numId w:val="2"/>
                    </w:numPr>
                    <w:ind w:firstLineChars="0"/>
                    <w:rPr>
                      <w:rFonts w:hint="eastAsia" w:ascii="宋体" w:hAnsi="宋体"/>
                      <w:sz w:val="24"/>
                    </w:rPr>
                  </w:pPr>
                  <w:r>
                    <w:rPr>
                      <w:rFonts w:hint="eastAsia" w:ascii="宋体" w:hAnsi="宋体"/>
                      <w:sz w:val="24"/>
                    </w:rPr>
                    <w:t>项目启动初期，系统调研了国内外跑步姿态检测领域的相关文献和市售产品，梳理了技术发展脉络和竞品功能矩阵，为项目技术路线的确定提供了情报支撑；②作为团队中具备丰富马拉松实战经验的资深跑者，从跑者第一视角为系统功能设计提供了大量符合实际使用场景的需求建议，包括但不限于穿戴舒适性指标、实时反馈延迟容忍度、训练报告的可读性要求等；③协助负责人进行项目成果的对外展示包装，参与演示视频的策划与录制。</w:t>
                  </w:r>
                </w:p>
              </w:tc>
            </w:tr>
            <w:tr w14:paraId="57C17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2828" w:type="dxa"/>
                </w:tcPr>
                <w:p w14:paraId="0DC13424">
                  <w:pPr>
                    <w:jc w:val="center"/>
                    <w:rPr>
                      <w:rFonts w:hint="eastAsia" w:ascii="宋体" w:hAnsi="宋体"/>
                      <w:sz w:val="24"/>
                    </w:rPr>
                  </w:pPr>
                </w:p>
                <w:p w14:paraId="47F9F5CF">
                  <w:pPr>
                    <w:jc w:val="center"/>
                    <w:rPr>
                      <w:rFonts w:hint="eastAsia" w:ascii="宋体" w:hAnsi="宋体"/>
                      <w:sz w:val="24"/>
                    </w:rPr>
                  </w:pPr>
                  <w:r>
                    <w:rPr>
                      <w:rFonts w:hint="eastAsia" w:ascii="宋体" w:hAnsi="宋体"/>
                      <w:sz w:val="24"/>
                    </w:rPr>
                    <w:t>梁淇深</w:t>
                  </w:r>
                </w:p>
              </w:tc>
              <w:tc>
                <w:tcPr>
                  <w:tcW w:w="5657" w:type="dxa"/>
                </w:tcPr>
                <w:p w14:paraId="5B57F0E5">
                  <w:pPr>
                    <w:rPr>
                      <w:rFonts w:hint="eastAsia" w:ascii="宋体" w:hAnsi="宋体"/>
                      <w:sz w:val="24"/>
                    </w:rPr>
                  </w:pPr>
                  <w:r>
                    <w:rPr>
                      <w:rFonts w:hint="eastAsia" w:ascii="宋体" w:hAnsi="宋体"/>
                      <w:sz w:val="24"/>
                    </w:rPr>
                    <w:t>①项目初期参与了背景调研和竞品分析工作，为项目申报书的文献综述部分提供了素材；②负责项目汇报PPT的美化设计、发言文稿的撰写与润色，以及项目宣传物料的视觉设计，提升了项目对外展示的专业形象；③在中期答辩准备阶段，协助整理项目佐证材料和成果展示内容。</w:t>
                  </w:r>
                </w:p>
              </w:tc>
            </w:tr>
          </w:tbl>
          <w:p w14:paraId="20206102">
            <w:pPr>
              <w:numPr>
                <w:ilvl w:val="0"/>
                <w:numId w:val="3"/>
              </w:numPr>
              <w:jc w:val="center"/>
              <w:rPr>
                <w:rFonts w:hint="eastAsia" w:ascii="宋体" w:hAnsi="宋体"/>
                <w:b/>
                <w:bCs/>
                <w:sz w:val="28"/>
              </w:rPr>
            </w:pPr>
            <w:r>
              <w:rPr>
                <w:rFonts w:hint="eastAsia" w:ascii="宋体" w:hAnsi="宋体"/>
                <w:b/>
                <w:bCs/>
                <w:sz w:val="28"/>
              </w:rPr>
              <w:t>项目创新点及阶段成果</w:t>
            </w:r>
          </w:p>
        </w:tc>
      </w:tr>
      <w:tr w14:paraId="1C7F0B2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419" w:hRule="atLeast"/>
        </w:trPr>
        <w:tc>
          <w:tcPr>
            <w:tcW w:w="8500" w:type="dxa"/>
            <w:gridSpan w:val="6"/>
            <w:tcBorders>
              <w:top w:val="single" w:color="auto" w:sz="8" w:space="0"/>
              <w:left w:val="single" w:color="auto" w:sz="8" w:space="0"/>
              <w:bottom w:val="single" w:color="auto" w:sz="4" w:space="0"/>
              <w:right w:val="single" w:color="auto" w:sz="8" w:space="0"/>
            </w:tcBorders>
          </w:tcPr>
          <w:p w14:paraId="25A023DC">
            <w:pPr>
              <w:rPr>
                <w:sz w:val="24"/>
                <w:szCs w:val="24"/>
              </w:rPr>
            </w:pPr>
            <w:r>
              <w:rPr>
                <w:rFonts w:ascii="宋体" w:hAnsi="宋体" w:eastAsia="宋体"/>
                <w:b/>
                <w:sz w:val="24"/>
                <w:szCs w:val="24"/>
              </w:rPr>
              <w:t>项目创新点：</w:t>
            </w:r>
          </w:p>
          <w:p w14:paraId="14C9A543">
            <w:pPr>
              <w:ind w:firstLine="480" w:firstLineChars="200"/>
              <w:jc w:val="left"/>
              <w:rPr>
                <w:sz w:val="24"/>
                <w:szCs w:val="24"/>
              </w:rPr>
            </w:pPr>
            <w:r>
              <w:rPr>
                <w:rFonts w:ascii="宋体" w:hAnsi="宋体" w:eastAsia="宋体"/>
                <w:b w:val="0"/>
                <w:sz w:val="24"/>
                <w:szCs w:val="24"/>
              </w:rPr>
              <w:t>本项目的创新之处贯穿产品理念、技术架构、用户价值和服务模式四个层面，从根本逻辑上区别于市面上已有的跑步监测产品，形成了一套差异显著、自成体系的解决方案。</w:t>
            </w:r>
          </w:p>
          <w:p w14:paraId="7069DBDF">
            <w:pPr>
              <w:ind w:firstLine="480" w:firstLineChars="200"/>
              <w:rPr>
                <w:color w:val="FF0000"/>
                <w:sz w:val="24"/>
                <w:szCs w:val="24"/>
                <w:highlight w:val="none"/>
              </w:rPr>
            </w:pPr>
            <w:r>
              <w:rPr>
                <w:rFonts w:ascii="宋体" w:hAnsi="宋体" w:eastAsia="宋体"/>
                <w:b/>
                <w:color w:val="FF0000"/>
                <w:sz w:val="24"/>
                <w:szCs w:val="24"/>
                <w:highlight w:val="none"/>
              </w:rPr>
              <w:t>创新一：产品形态——从“鞋体绑定”到“鞋垫即插即用”的模块化重构。</w:t>
            </w:r>
          </w:p>
          <w:p w14:paraId="126A9F4F">
            <w:pPr>
              <w:ind w:firstLine="480" w:firstLineChars="200"/>
              <w:jc w:val="left"/>
              <w:rPr>
                <w:sz w:val="24"/>
                <w:szCs w:val="24"/>
              </w:rPr>
            </w:pPr>
            <w:r>
              <w:rPr>
                <w:rFonts w:ascii="宋体" w:hAnsi="宋体" w:eastAsia="宋体"/>
                <w:b w:val="0"/>
                <w:sz w:val="24"/>
                <w:szCs w:val="24"/>
              </w:rPr>
              <w:t>目前市场上主流的跑步姿态检测设备（例如Nike Adapt系列智能鞋、Under Armour HOVR系列跑鞋等）均采用将传感器永久性嵌入鞋体本身的“鞋服一体化”路线，这导致了两个阻碍产品普及的结构性缺陷：其一，用户被锁定在特定的品牌和型号生态中，如需更换跑鞋（比如因鞋底磨损、款式更新或不同运动场景需要不同功能的鞋款），原有传感器也随之废弃，造成较高的沉没成本；其二，产品的初始购置门槛偏高，市面上智能跑鞋的售价普遍在2000元至3000元区间，远超普通消费者的心理预期。</w:t>
            </w:r>
          </w:p>
          <w:p w14:paraId="6B5D189D">
            <w:pPr>
              <w:ind w:firstLine="480" w:firstLineChars="200"/>
              <w:jc w:val="left"/>
              <w:rPr>
                <w:sz w:val="24"/>
                <w:szCs w:val="24"/>
              </w:rPr>
            </w:pPr>
            <w:r>
              <w:rPr>
                <w:rFonts w:ascii="宋体" w:hAnsi="宋体" w:eastAsia="宋体"/>
                <w:b w:val="0"/>
                <w:sz w:val="24"/>
                <w:szCs w:val="24"/>
              </w:rPr>
              <w:t>针对上述问题，本项目的核心产品创新在于提出了一种“可替换智能鞋垫 + 任意标准跑鞋”的分离式架构。所有核心传感元件（压力传感器阵列、信号调理电路、蓝牙通信模块）均被集成在一副厚度不超过4mm的柔性鞋垫内，用户可以将其自由放入任何一双现有跑鞋中使用。这一设计带来两个维度的颠覆性改善：</w:t>
            </w:r>
          </w:p>
          <w:p w14:paraId="5C5BE301">
            <w:pPr>
              <w:ind w:firstLine="480" w:firstLineChars="200"/>
              <w:jc w:val="left"/>
              <w:rPr>
                <w:sz w:val="24"/>
                <w:szCs w:val="24"/>
              </w:rPr>
            </w:pPr>
            <w:r>
              <w:rPr>
                <w:rFonts w:ascii="宋体" w:hAnsi="宋体" w:eastAsia="宋体"/>
                <w:b/>
                <w:bCs/>
                <w:sz w:val="24"/>
                <w:szCs w:val="24"/>
              </w:rPr>
              <w:t>第一，使用成本大幅压缩。单套智能鞋垫的物料和生产成本可控制在500元以内，约为传统智能整鞋方案的四分之一到五分之一。模块化的设计理念使得传感单元与跑鞋本体完全解耦，用户更换跑鞋时无需重复购买传感设备，显著降低了长期使用的综合成本。</w:t>
            </w:r>
          </w:p>
          <w:p w14:paraId="1F59A64D">
            <w:pPr>
              <w:ind w:firstLine="480" w:firstLineChars="200"/>
              <w:jc w:val="left"/>
              <w:rPr>
                <w:sz w:val="24"/>
                <w:szCs w:val="24"/>
              </w:rPr>
            </w:pPr>
            <w:r>
              <w:rPr>
                <w:rFonts w:ascii="宋体" w:hAnsi="宋体" w:eastAsia="宋体"/>
                <w:b/>
                <w:bCs/>
                <w:sz w:val="24"/>
                <w:szCs w:val="24"/>
              </w:rPr>
              <w:t>第二，场景适配能力质的飞跃。跑者可以根据天气条件、路面类型和个人偏好自由切换不同功能的跑鞋——雨天的防滑鞋、竞赛日的碳板竞速鞋、日常训练的缓震鞋——而姿态监测功能通过鞋垫跟随用户无缝迁移，真正实现了“一次购买、全场景覆盖”的灵活性。此外，鞋垫本身具备良好的柔性和可剪裁设计，适配从36码至46码的广泛鞋型范围。</w:t>
            </w:r>
          </w:p>
          <w:p w14:paraId="2B1A9D45">
            <w:pPr>
              <w:ind w:firstLine="480" w:firstLineChars="200"/>
              <w:rPr>
                <w:color w:val="FF0000"/>
                <w:sz w:val="24"/>
                <w:szCs w:val="24"/>
              </w:rPr>
            </w:pPr>
            <w:r>
              <w:rPr>
                <w:rFonts w:ascii="宋体" w:hAnsi="宋体" w:eastAsia="宋体"/>
                <w:b/>
                <w:color w:val="FF0000"/>
                <w:sz w:val="24"/>
                <w:szCs w:val="24"/>
              </w:rPr>
              <w:t>创新二：技术架构——“边端轻量采集 + 云端深度分析”的协同计算范式。</w:t>
            </w:r>
          </w:p>
          <w:p w14:paraId="67ABEB90">
            <w:pPr>
              <w:ind w:firstLine="480" w:firstLineChars="200"/>
              <w:jc w:val="left"/>
              <w:rPr>
                <w:sz w:val="24"/>
                <w:szCs w:val="24"/>
              </w:rPr>
            </w:pPr>
            <w:r>
              <w:rPr>
                <w:rFonts w:ascii="宋体" w:hAnsi="宋体" w:eastAsia="宋体"/>
                <w:b w:val="0"/>
                <w:sz w:val="24"/>
                <w:szCs w:val="24"/>
              </w:rPr>
              <w:t>区别于传统方案将所有原始数据直接上传云端处理的粗暴模式，本项目设计了一套兼顾实时性和分析深度的分层计算架构。在边端（ESP32），利用MCU的有限算力完成数据采集、初步滤波和姿态角实时解算等低延迟任务，仅将经过压缩和结构化处理后的中间结果通过WiFi上传，大幅降低了无线传输的数据量和功耗；在云端（Django后端），则利用服务器的充裕算力执行历史数据挖掘、个性化模型训练和跨用户对比分析等高计算成本任务。这种“边缘预处理 + 中心深分析”的协同模式，使得系统在保持低于50ms端到端响应速度的同时，仍具备执行复杂生物力学分析的能力。硬件微型化方面，ESP32主控整合了WiFi/蓝牙双模无线通信，整体开发板面积相比传统Arduino+独立WiFi模块方案缩小了约60%，待机功耗下降了约40%，为后续定制化PCB设计和进一步的穿戴舒适度提升预留了充足空间。</w:t>
            </w:r>
          </w:p>
          <w:p w14:paraId="749C7943">
            <w:pPr>
              <w:jc w:val="left"/>
              <w:rPr>
                <w:sz w:val="24"/>
                <w:szCs w:val="24"/>
              </w:rPr>
            </w:pPr>
          </w:p>
          <w:p w14:paraId="61430EB9">
            <w:pPr>
              <w:ind w:firstLine="480" w:firstLineChars="200"/>
              <w:rPr>
                <w:color w:val="FF0000"/>
                <w:sz w:val="24"/>
                <w:szCs w:val="24"/>
              </w:rPr>
            </w:pPr>
            <w:r>
              <w:rPr>
                <w:rFonts w:ascii="宋体" w:hAnsi="宋体" w:eastAsia="宋体"/>
                <w:b/>
                <w:color w:val="FF0000"/>
                <w:sz w:val="24"/>
                <w:szCs w:val="24"/>
              </w:rPr>
              <w:t>创新三：用户价值——从“一刀切的通用建议”到“千人千策的精准指导”。</w:t>
            </w:r>
          </w:p>
          <w:p w14:paraId="666A2D75">
            <w:pPr>
              <w:ind w:firstLine="480" w:firstLineChars="200"/>
              <w:jc w:val="left"/>
              <w:rPr>
                <w:sz w:val="24"/>
                <w:szCs w:val="24"/>
              </w:rPr>
            </w:pPr>
            <w:r>
              <w:rPr>
                <w:rFonts w:ascii="宋体" w:hAnsi="宋体" w:eastAsia="宋体"/>
                <w:b w:val="0"/>
                <w:sz w:val="24"/>
                <w:szCs w:val="24"/>
              </w:rPr>
              <w:t>传统跑步监测产品普遍停留在“数据播报员”的角色——仅向用户展示步频、配速、卡路里等基础统计量，或内置若干固定的姿态模板（比如简单提示“建议将步频提升至180步/分钟”），完全忽视了跑者之间在身体条件、运动基础、训练目标和伤病史上存在的巨大个体差异。这样的“一刀切”式指导不仅参考价值有限，有时甚至会因不适用而引发新的运动风险。</w:t>
            </w:r>
          </w:p>
          <w:p w14:paraId="7EA45333">
            <w:pPr>
              <w:ind w:firstLine="480" w:firstLineChars="200"/>
              <w:jc w:val="left"/>
              <w:rPr>
                <w:sz w:val="24"/>
                <w:szCs w:val="24"/>
              </w:rPr>
            </w:pPr>
            <w:r>
              <w:rPr>
                <w:rFonts w:ascii="宋体" w:hAnsi="宋体" w:eastAsia="宋体"/>
                <w:b w:val="0"/>
                <w:sz w:val="24"/>
                <w:szCs w:val="24"/>
              </w:rPr>
              <w:t>本项目的差异化策略在于引入了个性化自适应推荐引擎。在用户首次使用时，系统会采集其基础身体参数（身高、体重、足弓类型、腿型等）、跑步履历（跑龄、周跑量、历史最佳成绩）及伤病记录，据此构建该用户的个人基准模型。在日常训练中，系统围绕三个维度输出高度个性化的分析反馈：</w:t>
            </w:r>
          </w:p>
          <w:p w14:paraId="2CDFAC8D">
            <w:pPr>
              <w:ind w:firstLine="480" w:firstLineChars="200"/>
              <w:jc w:val="left"/>
              <w:rPr>
                <w:sz w:val="24"/>
                <w:szCs w:val="24"/>
              </w:rPr>
            </w:pPr>
            <w:r>
              <w:rPr>
                <w:rFonts w:ascii="宋体" w:hAnsi="宋体" w:eastAsia="宋体"/>
                <w:b w:val="0"/>
                <w:sz w:val="24"/>
                <w:szCs w:val="24"/>
              </w:rPr>
              <w:t>①损伤风险动态预警。通过持续量化足底压力分布的左右对称性（例如，当左右脚前掌区压力峰值比持续超过15%时触发踝关节/膝关节代偿风险预警）以及摆臂动作的双侧一致性（双臂摆角差异超过10°时提示可能存在肩袖肌群代偿），在潜在损伤发生前向跑者发出预警，将运动防护从事后治疗推进到事前预防。</w:t>
            </w:r>
          </w:p>
          <w:p w14:paraId="5CBCB131">
            <w:pPr>
              <w:ind w:firstLine="480" w:firstLineChars="200"/>
              <w:jc w:val="left"/>
              <w:rPr>
                <w:sz w:val="24"/>
                <w:szCs w:val="24"/>
              </w:rPr>
            </w:pPr>
            <w:r>
              <w:rPr>
                <w:rFonts w:ascii="宋体" w:hAnsi="宋体" w:eastAsia="宋体"/>
                <w:b w:val="0"/>
                <w:sz w:val="24"/>
                <w:szCs w:val="24"/>
              </w:rPr>
              <w:t>②训练效率定向优化。根据跑者设定的具体目标（如5公里PB突破、长距离耐力提升、燃脂减肥等），动态匹配最优的姿态调整策略。例如，对以配速为目标的跑者，模型会建议将前掌触地角度收敛至15°±2°区间以减少着地制动时间；对于以续航为主要诉求的跑者，则推荐通过强化足弓支撑来降低不必要的能量损耗。</w:t>
            </w:r>
          </w:p>
          <w:p w14:paraId="142C3D2F">
            <w:pPr>
              <w:ind w:firstLine="480" w:firstLineChars="200"/>
              <w:jc w:val="left"/>
              <w:rPr>
                <w:sz w:val="24"/>
                <w:szCs w:val="24"/>
              </w:rPr>
            </w:pPr>
            <w:r>
              <w:rPr>
                <w:rFonts w:ascii="宋体" w:hAnsi="宋体" w:eastAsia="宋体"/>
                <w:b w:val="0"/>
                <w:sz w:val="24"/>
                <w:szCs w:val="24"/>
              </w:rPr>
              <w:t>③可追溯的渐进式改善轨迹。系统以周为单位自动汇总跑者的姿态指标变化（如步频的环比增长率、着地模式的分布演变、左右对称性的改善幅度），生成清晰直观的“姿态改善曲线”，使跑者能够量化感知自身技术的进步，增强持续训练的正向激励。建议跑者保持至少4周以上的连续数据记录，以获得具有统计显著性的趋势分析结果。</w:t>
            </w:r>
          </w:p>
          <w:p w14:paraId="68BC102E">
            <w:pPr>
              <w:numPr>
                <w:ilvl w:val="0"/>
                <w:numId w:val="0"/>
              </w:numPr>
              <w:jc w:val="both"/>
              <w:rPr>
                <w:rFonts w:hint="eastAsia" w:ascii="宋体" w:hAnsi="宋体"/>
                <w:b/>
                <w:bCs/>
                <w:sz w:val="24"/>
                <w:szCs w:val="24"/>
              </w:rPr>
            </w:pPr>
          </w:p>
          <w:p w14:paraId="1CDDB302">
            <w:pPr>
              <w:numPr>
                <w:ilvl w:val="0"/>
                <w:numId w:val="0"/>
              </w:numPr>
              <w:jc w:val="both"/>
              <w:rPr>
                <w:rFonts w:hint="eastAsia" w:ascii="宋体" w:hAnsi="宋体"/>
                <w:b/>
                <w:bCs/>
                <w:sz w:val="28"/>
              </w:rPr>
            </w:pPr>
          </w:p>
          <w:p w14:paraId="7A8D545A">
            <w:pPr>
              <w:numPr>
                <w:ilvl w:val="0"/>
                <w:numId w:val="0"/>
              </w:numPr>
              <w:jc w:val="both"/>
              <w:rPr>
                <w:rFonts w:hint="eastAsia" w:ascii="宋体" w:hAnsi="宋体"/>
                <w:b/>
                <w:bCs/>
                <w:sz w:val="28"/>
              </w:rPr>
            </w:pPr>
          </w:p>
          <w:p w14:paraId="40C2183F">
            <w:pPr>
              <w:numPr>
                <w:ilvl w:val="0"/>
                <w:numId w:val="0"/>
              </w:numPr>
              <w:jc w:val="both"/>
              <w:rPr>
                <w:rFonts w:hint="eastAsia" w:ascii="宋体" w:hAnsi="宋体"/>
                <w:b/>
                <w:bCs/>
                <w:sz w:val="28"/>
              </w:rPr>
            </w:pPr>
          </w:p>
          <w:p w14:paraId="6D605D70">
            <w:pPr>
              <w:numPr>
                <w:ilvl w:val="0"/>
                <w:numId w:val="0"/>
              </w:numPr>
              <w:jc w:val="both"/>
              <w:rPr>
                <w:rFonts w:hint="eastAsia" w:ascii="宋体" w:hAnsi="宋体"/>
                <w:b/>
                <w:bCs/>
                <w:sz w:val="28"/>
              </w:rPr>
            </w:pPr>
          </w:p>
          <w:p w14:paraId="7FAE403E">
            <w:pPr>
              <w:numPr>
                <w:ilvl w:val="0"/>
                <w:numId w:val="0"/>
              </w:numPr>
              <w:jc w:val="both"/>
              <w:rPr>
                <w:rFonts w:hint="eastAsia" w:ascii="宋体" w:hAnsi="宋体"/>
                <w:b/>
                <w:bCs/>
                <w:sz w:val="28"/>
              </w:rPr>
            </w:pPr>
          </w:p>
          <w:p w14:paraId="0CF26699">
            <w:pPr>
              <w:numPr>
                <w:ilvl w:val="0"/>
                <w:numId w:val="0"/>
              </w:numPr>
              <w:jc w:val="both"/>
              <w:rPr>
                <w:rFonts w:hint="eastAsia" w:ascii="宋体" w:hAnsi="宋体"/>
                <w:b/>
                <w:bCs/>
                <w:sz w:val="28"/>
              </w:rPr>
            </w:pPr>
          </w:p>
          <w:p w14:paraId="5CF11D74">
            <w:pPr>
              <w:jc w:val="left"/>
              <w:rPr>
                <w:rFonts w:ascii="宋体" w:hAnsi="宋体" w:eastAsia="宋体"/>
                <w:b w:val="0"/>
                <w:sz w:val="24"/>
              </w:rPr>
            </w:pPr>
          </w:p>
          <w:p w14:paraId="0F5837BB">
            <w:pPr>
              <w:jc w:val="left"/>
              <w:rPr>
                <w:rFonts w:hint="eastAsia" w:ascii="宋体" w:hAnsi="宋体"/>
                <w:b/>
                <w:bCs/>
                <w:sz w:val="28"/>
              </w:rPr>
            </w:pPr>
            <w:r>
              <w:rPr>
                <w:rFonts w:ascii="宋体" w:hAnsi="宋体" w:eastAsia="宋体"/>
                <w:b w:val="0"/>
                <w:sz w:val="24"/>
              </w:rPr>
              <w:t>创新点对比分析（与市售主流产品）</w:t>
            </w:r>
          </w:p>
        </w:tc>
      </w:tr>
      <w:tr w14:paraId="7640B87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3915" w:hRule="atLeast"/>
        </w:trPr>
        <w:tc>
          <w:tcPr>
            <w:tcW w:w="8500" w:type="dxa"/>
            <w:gridSpan w:val="6"/>
            <w:tcBorders>
              <w:top w:val="single" w:color="auto" w:sz="4" w:space="0"/>
              <w:left w:val="single" w:color="auto" w:sz="8" w:space="0"/>
              <w:bottom w:val="single" w:color="auto" w:sz="8" w:space="0"/>
              <w:right w:val="single" w:color="auto" w:sz="8" w:space="0"/>
            </w:tcBorders>
          </w:tcPr>
          <w:tbl>
            <w:tblPr>
              <w:tblStyle w:val="11"/>
              <w:tblW w:w="12000" w:type="dxa"/>
              <w:tblInd w:w="0" w:type="dxa"/>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tblLayout w:type="fixed"/>
              <w:tblCellMar>
                <w:top w:w="15" w:type="dxa"/>
                <w:left w:w="15" w:type="dxa"/>
                <w:bottom w:w="15" w:type="dxa"/>
                <w:right w:w="15" w:type="dxa"/>
              </w:tblCellMar>
            </w:tblPr>
            <w:tblGrid>
              <w:gridCol w:w="3000"/>
              <w:gridCol w:w="2306"/>
              <w:gridCol w:w="3694"/>
              <w:gridCol w:w="3000"/>
            </w:tblGrid>
            <w:tr w14:paraId="1C6F5F0C">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tblCellMar>
                  <w:top w:w="15" w:type="dxa"/>
                  <w:left w:w="15" w:type="dxa"/>
                  <w:bottom w:w="15" w:type="dxa"/>
                  <w:right w:w="15" w:type="dxa"/>
                </w:tblCellMar>
              </w:tblPrEx>
              <w:trPr>
                <w:trHeight w:val="641" w:hRule="atLeast"/>
              </w:trPr>
              <w:tc>
                <w:tcPr>
                  <w:tcW w:w="3000" w:type="dxa"/>
                  <w:tcBorders>
                    <w:top w:val="single" w:color="auto" w:sz="4" w:space="0"/>
                    <w:left w:val="single" w:color="auto" w:sz="6" w:space="0"/>
                    <w:bottom w:val="single" w:color="auto" w:sz="4" w:space="0"/>
                    <w:right w:val="nil"/>
                  </w:tcBorders>
                  <w:shd w:val="clear" w:color="auto" w:fill="B8CCE4" w:themeFill="accent1" w:themeFillTint="66"/>
                  <w:tcMar>
                    <w:top w:w="135" w:type="dxa"/>
                    <w:left w:w="120" w:type="dxa"/>
                    <w:bottom w:w="135" w:type="dxa"/>
                    <w:right w:w="120" w:type="dxa"/>
                  </w:tcMar>
                </w:tcPr>
                <w:p w14:paraId="2F9FB2FB">
                  <w:pPr>
                    <w:ind w:firstLine="420"/>
                    <w:jc w:val="center"/>
                    <w:rPr>
                      <w:rFonts w:hint="eastAsia"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维度</w:t>
                  </w:r>
                </w:p>
              </w:tc>
              <w:tc>
                <w:tcPr>
                  <w:tcW w:w="2306" w:type="dxa"/>
                  <w:tcBorders>
                    <w:top w:val="single" w:color="auto" w:sz="4" w:space="0"/>
                    <w:left w:val="nil"/>
                    <w:bottom w:val="single" w:color="auto" w:sz="4" w:space="0"/>
                    <w:right w:val="nil"/>
                  </w:tcBorders>
                  <w:shd w:val="clear" w:color="auto" w:fill="B8CCE4" w:themeFill="accent1" w:themeFillTint="66"/>
                  <w:tcMar>
                    <w:top w:w="135" w:type="dxa"/>
                    <w:left w:w="120" w:type="dxa"/>
                    <w:bottom w:w="135" w:type="dxa"/>
                    <w:right w:w="120" w:type="dxa"/>
                  </w:tcMar>
                </w:tcPr>
                <w:p w14:paraId="1CA21BBE">
                  <w:pPr>
                    <w:ind w:firstLine="420"/>
                    <w:jc w:val="center"/>
                    <w:rPr>
                      <w:rFonts w:hint="eastAsia"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传统整鞋设备</w:t>
                  </w:r>
                </w:p>
                <w:p w14:paraId="120F0DF9">
                  <w:pPr>
                    <w:ind w:firstLine="420"/>
                    <w:jc w:val="center"/>
                    <w:rPr>
                      <w:rFonts w:hint="eastAsia"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（如耐克）</w:t>
                  </w:r>
                </w:p>
              </w:tc>
              <w:tc>
                <w:tcPr>
                  <w:tcW w:w="3694" w:type="dxa"/>
                  <w:tcBorders>
                    <w:top w:val="single" w:color="auto" w:sz="4" w:space="0"/>
                    <w:left w:val="nil"/>
                    <w:bottom w:val="single" w:color="auto" w:sz="4" w:space="0"/>
                    <w:right w:val="single" w:color="auto" w:sz="4" w:space="0"/>
                  </w:tcBorders>
                  <w:shd w:val="clear" w:color="auto" w:fill="B8CCE4" w:themeFill="accent1" w:themeFillTint="66"/>
                  <w:tcMar>
                    <w:top w:w="135" w:type="dxa"/>
                    <w:left w:w="120" w:type="dxa"/>
                    <w:bottom w:w="135" w:type="dxa"/>
                    <w:right w:w="120" w:type="dxa"/>
                  </w:tcMar>
                </w:tcPr>
                <w:p w14:paraId="6697BF4A">
                  <w:pPr>
                    <w:ind w:firstLine="420"/>
                    <w:jc w:val="center"/>
                    <w:rPr>
                      <w:rFonts w:hint="eastAsia"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本项目方案</w:t>
                  </w:r>
                </w:p>
              </w:tc>
              <w:tc>
                <w:tcPr>
                  <w:tcW w:w="3000" w:type="dxa"/>
                  <w:tcBorders>
                    <w:top w:val="single" w:color="DEE0E3" w:sz="6" w:space="0"/>
                    <w:left w:val="single" w:color="auto" w:sz="4" w:space="0"/>
                    <w:bottom w:val="single" w:color="DEE0E3" w:sz="6" w:space="0"/>
                    <w:right w:val="single" w:color="DEE0E3" w:sz="6" w:space="0"/>
                  </w:tcBorders>
                  <w:tcMar>
                    <w:top w:w="135" w:type="dxa"/>
                    <w:left w:w="120" w:type="dxa"/>
                    <w:bottom w:w="135" w:type="dxa"/>
                    <w:right w:w="120" w:type="dxa"/>
                  </w:tcMar>
                </w:tcPr>
                <w:p w14:paraId="66927A6C">
                  <w:pPr>
                    <w:ind w:firstLine="420"/>
                    <w:rPr>
                      <w:rFonts w:hint="eastAsia" w:ascii="宋体" w:hAnsi="宋体" w:cs="宋体"/>
                      <w:sz w:val="24"/>
                    </w:rPr>
                  </w:pPr>
                  <w:r>
                    <w:rPr>
                      <w:rFonts w:ascii="宋体" w:hAnsi="宋体" w:cs="宋体"/>
                      <w:sz w:val="24"/>
                    </w:rPr>
                    <w:t>优势差值</w:t>
                  </w:r>
                </w:p>
              </w:tc>
            </w:tr>
            <w:tr w14:paraId="0AF7E76C">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tblCellMar>
                  <w:top w:w="15" w:type="dxa"/>
                  <w:left w:w="15" w:type="dxa"/>
                  <w:bottom w:w="15" w:type="dxa"/>
                  <w:right w:w="15" w:type="dxa"/>
                </w:tblCellMar>
              </w:tblPrEx>
              <w:trPr>
                <w:trHeight w:val="600" w:hRule="atLeast"/>
              </w:trPr>
              <w:tc>
                <w:tcPr>
                  <w:tcW w:w="3000" w:type="dxa"/>
                  <w:tcBorders>
                    <w:top w:val="single" w:color="auto" w:sz="4" w:space="0"/>
                    <w:left w:val="single" w:color="auto" w:sz="4" w:space="0"/>
                    <w:bottom w:val="nil"/>
                    <w:right w:val="nil"/>
                  </w:tcBorders>
                  <w:shd w:val="clear" w:color="auto" w:fill="DCE6F2" w:themeFill="accent1" w:themeFillTint="32"/>
                  <w:tcMar>
                    <w:top w:w="135" w:type="dxa"/>
                    <w:left w:w="120" w:type="dxa"/>
                    <w:bottom w:w="135" w:type="dxa"/>
                    <w:right w:w="120" w:type="dxa"/>
                  </w:tcMar>
                </w:tcPr>
                <w:p w14:paraId="779E12B8">
                  <w:pPr>
                    <w:jc w:val="center"/>
                    <w:rPr>
                      <w:rFonts w:hint="eastAsia" w:ascii="宋体" w:hAnsi="宋体" w:cs="宋体"/>
                      <w:sz w:val="24"/>
                    </w:rPr>
                  </w:pPr>
                  <w:r>
                    <w:rPr>
                      <w:rFonts w:ascii="宋体" w:hAnsi="宋体" w:cs="宋体"/>
                      <w:sz w:val="24"/>
                    </w:rPr>
                    <w:t>设备成本</w:t>
                  </w:r>
                </w:p>
              </w:tc>
              <w:tc>
                <w:tcPr>
                  <w:tcW w:w="2306" w:type="dxa"/>
                  <w:tcBorders>
                    <w:top w:val="single" w:color="auto" w:sz="4" w:space="0"/>
                    <w:left w:val="nil"/>
                    <w:bottom w:val="nil"/>
                    <w:right w:val="nil"/>
                  </w:tcBorders>
                  <w:shd w:val="clear" w:color="auto" w:fill="DCE6F2" w:themeFill="accent1" w:themeFillTint="32"/>
                  <w:tcMar>
                    <w:top w:w="135" w:type="dxa"/>
                    <w:left w:w="120" w:type="dxa"/>
                    <w:bottom w:w="135" w:type="dxa"/>
                    <w:right w:w="120" w:type="dxa"/>
                  </w:tcMar>
                </w:tcPr>
                <w:p w14:paraId="06410200">
                  <w:pPr>
                    <w:jc w:val="center"/>
                    <w:rPr>
                      <w:rFonts w:hint="eastAsia" w:ascii="宋体" w:hAnsi="宋体" w:cs="宋体"/>
                      <w:sz w:val="24"/>
                    </w:rPr>
                  </w:pPr>
                  <w:r>
                    <w:rPr>
                      <w:rFonts w:ascii="宋体" w:hAnsi="宋体" w:cs="宋体"/>
                      <w:sz w:val="24"/>
                    </w:rPr>
                    <w:t>2000-3000 元</w:t>
                  </w:r>
                </w:p>
              </w:tc>
              <w:tc>
                <w:tcPr>
                  <w:tcW w:w="3694" w:type="dxa"/>
                  <w:tcBorders>
                    <w:top w:val="single" w:color="auto" w:sz="4" w:space="0"/>
                    <w:left w:val="nil"/>
                    <w:bottom w:val="nil"/>
                    <w:right w:val="single" w:color="auto" w:sz="4" w:space="0"/>
                  </w:tcBorders>
                  <w:shd w:val="clear" w:color="auto" w:fill="DCE6F2" w:themeFill="accent1" w:themeFillTint="32"/>
                  <w:tcMar>
                    <w:top w:w="135" w:type="dxa"/>
                    <w:left w:w="120" w:type="dxa"/>
                    <w:bottom w:w="135" w:type="dxa"/>
                    <w:right w:w="120" w:type="dxa"/>
                  </w:tcMar>
                </w:tcPr>
                <w:p w14:paraId="06F675DF">
                  <w:pPr>
                    <w:jc w:val="center"/>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150-250</w:t>
                  </w:r>
                  <w:r>
                    <w:rPr>
                      <w:rFonts w:ascii="宋体" w:hAnsi="宋体" w:cs="宋体"/>
                      <w:color w:val="000000" w:themeColor="text1"/>
                      <w:sz w:val="24"/>
                      <w14:textFill>
                        <w14:solidFill>
                          <w14:schemeClr w14:val="tx1"/>
                        </w14:solidFill>
                      </w14:textFill>
                    </w:rPr>
                    <w:t xml:space="preserve"> 元</w:t>
                  </w:r>
                </w:p>
              </w:tc>
              <w:tc>
                <w:tcPr>
                  <w:tcW w:w="3000" w:type="dxa"/>
                  <w:tcBorders>
                    <w:top w:val="single" w:color="DEE0E3" w:sz="6" w:space="0"/>
                    <w:left w:val="single" w:color="auto" w:sz="4" w:space="0"/>
                    <w:bottom w:val="single" w:color="DEE0E3" w:sz="6" w:space="0"/>
                    <w:right w:val="single" w:color="DEE0E3" w:sz="6" w:space="0"/>
                  </w:tcBorders>
                  <w:tcMar>
                    <w:top w:w="135" w:type="dxa"/>
                    <w:left w:w="120" w:type="dxa"/>
                    <w:bottom w:w="135" w:type="dxa"/>
                    <w:right w:w="120" w:type="dxa"/>
                  </w:tcMar>
                </w:tcPr>
                <w:p w14:paraId="3814A482">
                  <w:pPr>
                    <w:ind w:firstLine="420"/>
                    <w:rPr>
                      <w:rFonts w:hint="eastAsia" w:ascii="宋体" w:hAnsi="宋体" w:cs="宋体"/>
                      <w:sz w:val="24"/>
                    </w:rPr>
                  </w:pPr>
                  <w:r>
                    <w:rPr>
                      <w:rFonts w:ascii="宋体" w:hAnsi="宋体" w:cs="宋体"/>
                      <w:sz w:val="24"/>
                    </w:rPr>
                    <w:t>降低 70%-80%</w:t>
                  </w:r>
                </w:p>
              </w:tc>
            </w:tr>
            <w:tr w14:paraId="15CB75CE">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tblCellMar>
                  <w:top w:w="15" w:type="dxa"/>
                  <w:left w:w="15" w:type="dxa"/>
                  <w:bottom w:w="15" w:type="dxa"/>
                  <w:right w:w="15" w:type="dxa"/>
                </w:tblCellMar>
              </w:tblPrEx>
              <w:trPr>
                <w:trHeight w:val="600" w:hRule="atLeast"/>
              </w:trPr>
              <w:tc>
                <w:tcPr>
                  <w:tcW w:w="3000" w:type="dxa"/>
                  <w:tcBorders>
                    <w:top w:val="nil"/>
                    <w:left w:val="single" w:color="auto" w:sz="4" w:space="0"/>
                    <w:bottom w:val="nil"/>
                    <w:right w:val="nil"/>
                  </w:tcBorders>
                  <w:shd w:val="clear" w:color="auto" w:fill="DCE6F2" w:themeFill="accent1" w:themeFillTint="32"/>
                  <w:tcMar>
                    <w:top w:w="135" w:type="dxa"/>
                    <w:left w:w="120" w:type="dxa"/>
                    <w:bottom w:w="135" w:type="dxa"/>
                    <w:right w:w="120" w:type="dxa"/>
                  </w:tcMar>
                </w:tcPr>
                <w:p w14:paraId="6375C5B1">
                  <w:pPr>
                    <w:jc w:val="center"/>
                    <w:rPr>
                      <w:rFonts w:hint="eastAsia" w:ascii="宋体" w:hAnsi="宋体" w:cs="宋体"/>
                      <w:sz w:val="24"/>
                    </w:rPr>
                  </w:pPr>
                  <w:r>
                    <w:rPr>
                      <w:rFonts w:ascii="宋体" w:hAnsi="宋体" w:cs="宋体"/>
                      <w:sz w:val="24"/>
                    </w:rPr>
                    <w:t>适配鞋款</w:t>
                  </w:r>
                </w:p>
              </w:tc>
              <w:tc>
                <w:tcPr>
                  <w:tcW w:w="2306" w:type="dxa"/>
                  <w:tcBorders>
                    <w:top w:val="nil"/>
                    <w:left w:val="nil"/>
                    <w:bottom w:val="nil"/>
                    <w:right w:val="nil"/>
                  </w:tcBorders>
                  <w:shd w:val="clear" w:color="auto" w:fill="DCE6F2" w:themeFill="accent1" w:themeFillTint="32"/>
                  <w:tcMar>
                    <w:top w:w="135" w:type="dxa"/>
                    <w:left w:w="120" w:type="dxa"/>
                    <w:bottom w:w="135" w:type="dxa"/>
                    <w:right w:w="120" w:type="dxa"/>
                  </w:tcMar>
                </w:tcPr>
                <w:p w14:paraId="382DFEA1">
                  <w:pPr>
                    <w:jc w:val="center"/>
                    <w:rPr>
                      <w:rFonts w:hint="eastAsia" w:ascii="宋体" w:hAnsi="宋体" w:cs="宋体"/>
                      <w:sz w:val="24"/>
                    </w:rPr>
                  </w:pPr>
                  <w:r>
                    <w:rPr>
                      <w:rFonts w:ascii="宋体" w:hAnsi="宋体" w:cs="宋体"/>
                      <w:sz w:val="24"/>
                    </w:rPr>
                    <w:t>仅适配自有品牌鞋</w:t>
                  </w:r>
                </w:p>
              </w:tc>
              <w:tc>
                <w:tcPr>
                  <w:tcW w:w="3694" w:type="dxa"/>
                  <w:tcBorders>
                    <w:top w:val="nil"/>
                    <w:left w:val="nil"/>
                    <w:bottom w:val="nil"/>
                    <w:right w:val="single" w:color="auto" w:sz="4" w:space="0"/>
                  </w:tcBorders>
                  <w:shd w:val="clear" w:color="auto" w:fill="DCE6F2" w:themeFill="accent1" w:themeFillTint="32"/>
                  <w:tcMar>
                    <w:top w:w="135" w:type="dxa"/>
                    <w:left w:w="120" w:type="dxa"/>
                    <w:bottom w:w="135" w:type="dxa"/>
                    <w:right w:w="120" w:type="dxa"/>
                  </w:tcMar>
                </w:tcPr>
                <w:p w14:paraId="578E2C78">
                  <w:pPr>
                    <w:jc w:val="center"/>
                    <w:rPr>
                      <w:rFonts w:hint="eastAsia"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兼容</w:t>
                  </w:r>
                  <w:r>
                    <w:rPr>
                      <w:rFonts w:hint="eastAsia" w:ascii="宋体" w:hAnsi="宋体" w:cs="宋体"/>
                      <w:color w:val="000000" w:themeColor="text1"/>
                      <w:sz w:val="24"/>
                      <w14:textFill>
                        <w14:solidFill>
                          <w14:schemeClr w14:val="tx1"/>
                        </w14:solidFill>
                      </w14:textFill>
                    </w:rPr>
                    <w:t>所有</w:t>
                  </w:r>
                  <w:r>
                    <w:rPr>
                      <w:rFonts w:ascii="宋体" w:hAnsi="宋体" w:cs="宋体"/>
                      <w:color w:val="000000" w:themeColor="text1"/>
                      <w:sz w:val="24"/>
                      <w14:textFill>
                        <w14:solidFill>
                          <w14:schemeClr w14:val="tx1"/>
                        </w14:solidFill>
                      </w14:textFill>
                    </w:rPr>
                    <w:t>市售跑鞋</w:t>
                  </w:r>
                </w:p>
              </w:tc>
              <w:tc>
                <w:tcPr>
                  <w:tcW w:w="3000" w:type="dxa"/>
                  <w:tcBorders>
                    <w:top w:val="single" w:color="DEE0E3" w:sz="6" w:space="0"/>
                    <w:left w:val="single" w:color="auto" w:sz="4" w:space="0"/>
                    <w:bottom w:val="single" w:color="DEE0E3" w:sz="6" w:space="0"/>
                    <w:right w:val="single" w:color="DEE0E3" w:sz="6" w:space="0"/>
                  </w:tcBorders>
                  <w:tcMar>
                    <w:top w:w="135" w:type="dxa"/>
                    <w:left w:w="120" w:type="dxa"/>
                    <w:bottom w:w="135" w:type="dxa"/>
                    <w:right w:w="120" w:type="dxa"/>
                  </w:tcMar>
                </w:tcPr>
                <w:p w14:paraId="044CEA76">
                  <w:pPr>
                    <w:ind w:firstLine="420"/>
                    <w:rPr>
                      <w:rFonts w:hint="eastAsia" w:ascii="宋体" w:hAnsi="宋体" w:cs="宋体"/>
                      <w:sz w:val="24"/>
                    </w:rPr>
                  </w:pPr>
                  <w:r>
                    <w:rPr>
                      <w:rFonts w:ascii="宋体" w:hAnsi="宋体" w:cs="宋体"/>
                      <w:sz w:val="24"/>
                    </w:rPr>
                    <w:t>适配性提升 5 倍 +</w:t>
                  </w:r>
                </w:p>
              </w:tc>
            </w:tr>
            <w:tr w14:paraId="593B5FAC">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tblCellMar>
                  <w:top w:w="15" w:type="dxa"/>
                  <w:left w:w="15" w:type="dxa"/>
                  <w:bottom w:w="15" w:type="dxa"/>
                  <w:right w:w="15" w:type="dxa"/>
                </w:tblCellMar>
              </w:tblPrEx>
              <w:trPr>
                <w:trHeight w:val="600" w:hRule="atLeast"/>
              </w:trPr>
              <w:tc>
                <w:tcPr>
                  <w:tcW w:w="3000" w:type="dxa"/>
                  <w:tcBorders>
                    <w:top w:val="nil"/>
                    <w:left w:val="single" w:color="auto" w:sz="4" w:space="0"/>
                    <w:bottom w:val="nil"/>
                    <w:right w:val="nil"/>
                  </w:tcBorders>
                  <w:shd w:val="clear" w:color="auto" w:fill="DCE6F2" w:themeFill="accent1" w:themeFillTint="32"/>
                  <w:tcMar>
                    <w:top w:w="135" w:type="dxa"/>
                    <w:left w:w="120" w:type="dxa"/>
                    <w:bottom w:w="135" w:type="dxa"/>
                    <w:right w:w="120" w:type="dxa"/>
                  </w:tcMar>
                </w:tcPr>
                <w:p w14:paraId="39731782">
                  <w:pPr>
                    <w:jc w:val="center"/>
                    <w:rPr>
                      <w:rFonts w:hint="eastAsia" w:ascii="宋体" w:hAnsi="宋体" w:cs="宋体"/>
                      <w:sz w:val="24"/>
                    </w:rPr>
                  </w:pPr>
                  <w:r>
                    <w:rPr>
                      <w:rFonts w:ascii="宋体" w:hAnsi="宋体" w:cs="宋体"/>
                      <w:sz w:val="24"/>
                    </w:rPr>
                    <w:t>数据指导</w:t>
                  </w:r>
                </w:p>
              </w:tc>
              <w:tc>
                <w:tcPr>
                  <w:tcW w:w="2306" w:type="dxa"/>
                  <w:tcBorders>
                    <w:top w:val="nil"/>
                    <w:left w:val="nil"/>
                    <w:bottom w:val="nil"/>
                    <w:right w:val="nil"/>
                  </w:tcBorders>
                  <w:shd w:val="clear" w:color="auto" w:fill="DCE6F2" w:themeFill="accent1" w:themeFillTint="32"/>
                  <w:tcMar>
                    <w:top w:w="135" w:type="dxa"/>
                    <w:left w:w="120" w:type="dxa"/>
                    <w:bottom w:w="135" w:type="dxa"/>
                    <w:right w:w="120" w:type="dxa"/>
                  </w:tcMar>
                </w:tcPr>
                <w:p w14:paraId="0F59AE7F">
                  <w:pPr>
                    <w:jc w:val="center"/>
                    <w:rPr>
                      <w:rFonts w:hint="eastAsia" w:ascii="宋体" w:hAnsi="宋体" w:cs="宋体"/>
                      <w:sz w:val="24"/>
                    </w:rPr>
                  </w:pPr>
                  <w:r>
                    <w:rPr>
                      <w:rFonts w:ascii="宋体" w:hAnsi="宋体" w:cs="宋体"/>
                      <w:sz w:val="24"/>
                    </w:rPr>
                    <w:t>基础数据展示</w:t>
                  </w:r>
                </w:p>
              </w:tc>
              <w:tc>
                <w:tcPr>
                  <w:tcW w:w="3694" w:type="dxa"/>
                  <w:tcBorders>
                    <w:top w:val="nil"/>
                    <w:left w:val="nil"/>
                    <w:bottom w:val="nil"/>
                    <w:right w:val="single" w:color="auto" w:sz="4" w:space="0"/>
                  </w:tcBorders>
                  <w:shd w:val="clear" w:color="auto" w:fill="DCE6F2" w:themeFill="accent1" w:themeFillTint="32"/>
                  <w:tcMar>
                    <w:top w:w="135" w:type="dxa"/>
                    <w:left w:w="120" w:type="dxa"/>
                    <w:bottom w:w="135" w:type="dxa"/>
                    <w:right w:w="120" w:type="dxa"/>
                  </w:tcMar>
                </w:tcPr>
                <w:p w14:paraId="7E87F08F">
                  <w:pPr>
                    <w:jc w:val="center"/>
                    <w:rPr>
                      <w:rFonts w:hint="eastAsia"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实时个性化建议</w:t>
                  </w:r>
                </w:p>
              </w:tc>
              <w:tc>
                <w:tcPr>
                  <w:tcW w:w="3000" w:type="dxa"/>
                  <w:tcBorders>
                    <w:top w:val="single" w:color="DEE0E3" w:sz="6" w:space="0"/>
                    <w:left w:val="single" w:color="auto" w:sz="4" w:space="0"/>
                    <w:bottom w:val="single" w:color="DEE0E3" w:sz="6" w:space="0"/>
                    <w:right w:val="single" w:color="DEE0E3" w:sz="6" w:space="0"/>
                  </w:tcBorders>
                  <w:tcMar>
                    <w:top w:w="135" w:type="dxa"/>
                    <w:left w:w="120" w:type="dxa"/>
                    <w:bottom w:w="135" w:type="dxa"/>
                    <w:right w:w="120" w:type="dxa"/>
                  </w:tcMar>
                </w:tcPr>
                <w:p w14:paraId="4024A785">
                  <w:pPr>
                    <w:ind w:firstLine="420"/>
                    <w:rPr>
                      <w:rFonts w:hint="eastAsia" w:ascii="宋体" w:hAnsi="宋体" w:cs="宋体"/>
                      <w:sz w:val="24"/>
                    </w:rPr>
                  </w:pPr>
                  <w:r>
                    <w:rPr>
                      <w:rFonts w:ascii="宋体" w:hAnsi="宋体" w:cs="宋体"/>
                      <w:sz w:val="24"/>
                    </w:rPr>
                    <w:t>决策价值质变</w:t>
                  </w:r>
                </w:p>
              </w:tc>
            </w:tr>
            <w:tr w14:paraId="62E97EDD">
              <w:tblPrEx>
                <w:tblBorders>
                  <w:top w:val="single" w:color="DEE0E3" w:sz="6" w:space="0"/>
                  <w:left w:val="single" w:color="DEE0E3" w:sz="6" w:space="0"/>
                  <w:bottom w:val="single" w:color="DEE0E3" w:sz="6" w:space="0"/>
                  <w:right w:val="single" w:color="DEE0E3" w:sz="6" w:space="0"/>
                  <w:insideH w:val="outset" w:color="auto" w:sz="6" w:space="0"/>
                  <w:insideV w:val="outset" w:color="auto" w:sz="6" w:space="0"/>
                </w:tblBorders>
                <w:tblCellMar>
                  <w:top w:w="15" w:type="dxa"/>
                  <w:left w:w="15" w:type="dxa"/>
                  <w:bottom w:w="15" w:type="dxa"/>
                  <w:right w:w="15" w:type="dxa"/>
                </w:tblCellMar>
              </w:tblPrEx>
              <w:trPr>
                <w:trHeight w:val="600" w:hRule="atLeast"/>
              </w:trPr>
              <w:tc>
                <w:tcPr>
                  <w:tcW w:w="3000" w:type="dxa"/>
                  <w:tcBorders>
                    <w:top w:val="nil"/>
                    <w:left w:val="single" w:color="auto" w:sz="4" w:space="0"/>
                    <w:bottom w:val="single" w:color="auto" w:sz="4" w:space="0"/>
                    <w:right w:val="nil"/>
                  </w:tcBorders>
                  <w:shd w:val="clear" w:color="auto" w:fill="DCE6F2" w:themeFill="accent1" w:themeFillTint="32"/>
                  <w:tcMar>
                    <w:top w:w="135" w:type="dxa"/>
                    <w:left w:w="120" w:type="dxa"/>
                    <w:bottom w:w="135" w:type="dxa"/>
                    <w:right w:w="120" w:type="dxa"/>
                  </w:tcMar>
                </w:tcPr>
                <w:p w14:paraId="55D238D4">
                  <w:pPr>
                    <w:jc w:val="center"/>
                    <w:rPr>
                      <w:rFonts w:hint="eastAsia" w:ascii="宋体" w:hAnsi="宋体" w:cs="宋体"/>
                      <w:sz w:val="24"/>
                    </w:rPr>
                  </w:pPr>
                  <w:r>
                    <w:rPr>
                      <w:rFonts w:ascii="宋体" w:hAnsi="宋体" w:cs="宋体"/>
                      <w:sz w:val="24"/>
                    </w:rPr>
                    <w:t>使用场景</w:t>
                  </w:r>
                </w:p>
              </w:tc>
              <w:tc>
                <w:tcPr>
                  <w:tcW w:w="2306" w:type="dxa"/>
                  <w:tcBorders>
                    <w:top w:val="nil"/>
                    <w:left w:val="nil"/>
                    <w:bottom w:val="single" w:color="auto" w:sz="4" w:space="0"/>
                    <w:right w:val="nil"/>
                  </w:tcBorders>
                  <w:shd w:val="clear" w:color="auto" w:fill="DCE6F2" w:themeFill="accent1" w:themeFillTint="32"/>
                  <w:tcMar>
                    <w:top w:w="135" w:type="dxa"/>
                    <w:left w:w="120" w:type="dxa"/>
                    <w:bottom w:w="135" w:type="dxa"/>
                    <w:right w:w="120" w:type="dxa"/>
                  </w:tcMar>
                </w:tcPr>
                <w:p w14:paraId="7CDAF3B4">
                  <w:pPr>
                    <w:jc w:val="center"/>
                    <w:rPr>
                      <w:rFonts w:hint="eastAsia" w:ascii="宋体" w:hAnsi="宋体" w:cs="宋体"/>
                      <w:sz w:val="24"/>
                    </w:rPr>
                  </w:pPr>
                  <w:r>
                    <w:rPr>
                      <w:rFonts w:ascii="宋体" w:hAnsi="宋体" w:cs="宋体"/>
                      <w:sz w:val="24"/>
                    </w:rPr>
                    <w:t>单一场景</w:t>
                  </w:r>
                </w:p>
                <w:p w14:paraId="76C446A9">
                  <w:pPr>
                    <w:jc w:val="center"/>
                    <w:rPr>
                      <w:rFonts w:hint="eastAsia" w:ascii="宋体" w:hAnsi="宋体" w:cs="宋体"/>
                      <w:sz w:val="24"/>
                    </w:rPr>
                  </w:pPr>
                  <w:r>
                    <w:rPr>
                      <w:rFonts w:ascii="宋体" w:hAnsi="宋体" w:cs="宋体"/>
                      <w:sz w:val="24"/>
                    </w:rPr>
                    <w:t>（如公路跑）</w:t>
                  </w:r>
                </w:p>
              </w:tc>
              <w:tc>
                <w:tcPr>
                  <w:tcW w:w="3694" w:type="dxa"/>
                  <w:tcBorders>
                    <w:top w:val="nil"/>
                    <w:left w:val="nil"/>
                    <w:bottom w:val="single" w:color="auto" w:sz="4" w:space="0"/>
                    <w:right w:val="single" w:color="auto" w:sz="4" w:space="0"/>
                  </w:tcBorders>
                  <w:shd w:val="clear" w:color="auto" w:fill="DCE6F2" w:themeFill="accent1" w:themeFillTint="32"/>
                  <w:tcMar>
                    <w:top w:w="135" w:type="dxa"/>
                    <w:left w:w="120" w:type="dxa"/>
                    <w:bottom w:w="135" w:type="dxa"/>
                    <w:right w:w="120" w:type="dxa"/>
                  </w:tcMar>
                </w:tcPr>
                <w:p w14:paraId="62D7AE6A">
                  <w:pPr>
                    <w:jc w:val="center"/>
                    <w:rPr>
                      <w:rFonts w:hint="eastAsia"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全场景覆盖</w:t>
                  </w:r>
                </w:p>
              </w:tc>
              <w:tc>
                <w:tcPr>
                  <w:tcW w:w="3000" w:type="dxa"/>
                  <w:tcBorders>
                    <w:top w:val="single" w:color="DEE0E3" w:sz="6" w:space="0"/>
                    <w:left w:val="single" w:color="auto" w:sz="4" w:space="0"/>
                    <w:bottom w:val="single" w:color="DEE0E3" w:sz="6" w:space="0"/>
                    <w:right w:val="single" w:color="DEE0E3" w:sz="6" w:space="0"/>
                  </w:tcBorders>
                  <w:tcMar>
                    <w:top w:w="135" w:type="dxa"/>
                    <w:left w:w="120" w:type="dxa"/>
                    <w:bottom w:w="135" w:type="dxa"/>
                    <w:right w:w="120" w:type="dxa"/>
                  </w:tcMar>
                </w:tcPr>
                <w:p w14:paraId="074AFD71">
                  <w:pPr>
                    <w:ind w:firstLine="420"/>
                    <w:rPr>
                      <w:rFonts w:hint="eastAsia" w:ascii="宋体" w:hAnsi="宋体" w:cs="宋体"/>
                      <w:sz w:val="24"/>
                    </w:rPr>
                  </w:pPr>
                  <w:r>
                    <w:rPr>
                      <w:rFonts w:ascii="宋体" w:hAnsi="宋体" w:cs="宋体"/>
                      <w:sz w:val="24"/>
                    </w:rPr>
                    <w:t>场景拓展无边界</w:t>
                  </w:r>
                </w:p>
              </w:tc>
            </w:tr>
          </w:tbl>
          <w:p w14:paraId="4C09E7A7">
            <w:pPr>
              <w:jc w:val="left"/>
              <w:rPr>
                <w:rFonts w:ascii="宋体" w:hAnsi="宋体" w:eastAsia="宋体"/>
                <w:b w:val="0"/>
                <w:sz w:val="24"/>
              </w:rPr>
            </w:pPr>
          </w:p>
          <w:p w14:paraId="7108E34D">
            <w:pPr>
              <w:jc w:val="left"/>
            </w:pPr>
          </w:p>
          <w:p w14:paraId="111C5968">
            <w:pPr>
              <w:jc w:val="left"/>
            </w:pPr>
          </w:p>
          <w:p w14:paraId="4D357100">
            <w:pPr>
              <w:rPr>
                <w:sz w:val="24"/>
                <w:szCs w:val="24"/>
              </w:rPr>
            </w:pPr>
            <w:r>
              <w:rPr>
                <w:rFonts w:ascii="宋体" w:hAnsi="宋体" w:eastAsia="宋体"/>
                <w:b/>
                <w:sz w:val="24"/>
                <w:szCs w:val="24"/>
              </w:rPr>
              <w:t>阶段成果：</w:t>
            </w:r>
          </w:p>
          <w:p w14:paraId="2E7DA7BF">
            <w:pPr>
              <w:ind w:firstLine="480" w:firstLineChars="200"/>
              <w:jc w:val="left"/>
              <w:rPr>
                <w:sz w:val="24"/>
                <w:szCs w:val="24"/>
              </w:rPr>
            </w:pPr>
            <w:r>
              <w:rPr>
                <w:rFonts w:ascii="宋体" w:hAnsi="宋体" w:eastAsia="宋体"/>
                <w:b w:val="0"/>
                <w:sz w:val="24"/>
                <w:szCs w:val="24"/>
              </w:rPr>
              <w:t>①核心姿态解算算法（四元数+Kalman滤波+互补滤波融合方案）已开发完毕并通过了不同运动强度（步行/慢跑/冲刺）下的精度验证，已分别成功部署于上肢姿态采集单元（ESP32+MPU6050）和下肢姿态采集单元（ESP32-s3-supermini+JY901S）的嵌入式固件中，上下肢模块采用统一的算法架构，姿态角解算精度保持一致，姿态角解算误差满足预设技术指标，已成功嵌入ESP32固件并稳定运行。</w:t>
            </w:r>
          </w:p>
          <w:p w14:paraId="4C6D0391">
            <w:pPr>
              <w:ind w:firstLine="480" w:firstLineChars="200"/>
              <w:jc w:val="left"/>
              <w:rPr>
                <w:sz w:val="24"/>
                <w:szCs w:val="24"/>
              </w:rPr>
            </w:pPr>
            <w:r>
              <w:rPr>
                <w:rFonts w:ascii="宋体" w:hAnsi="宋体" w:eastAsia="宋体"/>
                <w:b w:val="0"/>
                <w:sz w:val="24"/>
                <w:szCs w:val="24"/>
              </w:rPr>
              <w:t>②可穿戴硬件原理样机（涵盖上肢臂带式MPU6050姿态采集模块、下肢腿带式JY901S姿态采集模块及足底压力智能鞋垫三大感知单元）与软件基础平台的全部核心模块均已开发完成，从多源传感器信号采集、嵌入式数据处理、无线传输、后端存储到前端可视化展示的全链条已实现贯通，端到端集成测试表明系统各环节协同工作稳定，为后续功能横向扩展和性能纵向优化提供了可靠的技术基座。</w:t>
            </w:r>
          </w:p>
          <w:p w14:paraId="3C4BA4C2">
            <w:pPr>
              <w:ind w:firstLine="480" w:firstLineChars="200"/>
              <w:jc w:val="left"/>
            </w:pPr>
            <w:r>
              <w:rPr>
                <w:rFonts w:ascii="宋体" w:hAnsi="宋体" w:eastAsia="宋体"/>
                <w:b w:val="0"/>
                <w:sz w:val="24"/>
                <w:szCs w:val="24"/>
              </w:rPr>
              <w:t>③项目已启动知识产权保护与学术成果转化工作。团队正在对项目中的关键技术方案（包括智能鞋垫的传感器布局设计、上下肢协同的姿态解算与落地模式联合判别算法、以及腿部运动链建模方法等）进行专利挖掘和申请书撰写，同时组织核心成员将研发过程中积累的工程经验和实验数据提炼为学术论文，计划投稿至国内相关领域的专业期刊或学术会议，实现工程实践与学术研究的相互促进。</w:t>
            </w:r>
          </w:p>
        </w:tc>
      </w:tr>
      <w:tr w14:paraId="1620E83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450" w:hRule="atLeast"/>
        </w:trPr>
        <w:tc>
          <w:tcPr>
            <w:tcW w:w="8500" w:type="dxa"/>
            <w:gridSpan w:val="6"/>
            <w:tcBorders>
              <w:top w:val="single" w:color="auto" w:sz="8" w:space="0"/>
              <w:left w:val="single" w:color="auto" w:sz="8" w:space="0"/>
              <w:bottom w:val="single" w:color="auto" w:sz="4" w:space="0"/>
              <w:right w:val="single" w:color="auto" w:sz="8" w:space="0"/>
            </w:tcBorders>
            <w:vAlign w:val="center"/>
          </w:tcPr>
          <w:p w14:paraId="2BF2A140">
            <w:pPr>
              <w:jc w:val="center"/>
              <w:rPr>
                <w:rFonts w:hint="eastAsia" w:ascii="宋体" w:hAnsi="宋体" w:cs="KaiTi_GB2312"/>
                <w:b/>
                <w:bCs/>
                <w:spacing w:val="20"/>
                <w:sz w:val="24"/>
                <w:u w:val="single"/>
              </w:rPr>
            </w:pPr>
            <w:r>
              <w:rPr>
                <w:rFonts w:hint="eastAsia" w:ascii="宋体" w:hAnsi="宋体"/>
                <w:b/>
                <w:bCs/>
                <w:sz w:val="28"/>
              </w:rPr>
              <w:t>六、教师指导情况</w:t>
            </w:r>
          </w:p>
        </w:tc>
      </w:tr>
      <w:tr w14:paraId="34F1C37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450" w:hRule="atLeast"/>
        </w:trPr>
        <w:tc>
          <w:tcPr>
            <w:tcW w:w="8500" w:type="dxa"/>
            <w:gridSpan w:val="6"/>
            <w:tcBorders>
              <w:top w:val="single" w:color="auto" w:sz="4" w:space="0"/>
              <w:left w:val="single" w:color="auto" w:sz="8" w:space="0"/>
              <w:bottom w:val="single" w:color="auto" w:sz="4" w:space="0"/>
              <w:right w:val="single" w:color="auto" w:sz="8" w:space="0"/>
            </w:tcBorders>
          </w:tcPr>
          <w:p w14:paraId="077A841E">
            <w:pPr>
              <w:rPr>
                <w:rFonts w:hint="eastAsia" w:ascii="宋体" w:hAnsi="宋体"/>
                <w:b/>
                <w:sz w:val="24"/>
              </w:rPr>
            </w:pPr>
            <w:r>
              <w:rPr>
                <w:rFonts w:hint="eastAsia" w:ascii="宋体" w:hAnsi="宋体"/>
                <w:b/>
                <w:sz w:val="24"/>
              </w:rPr>
              <w:t>6.1【</w:t>
            </w:r>
            <w:r>
              <w:rPr>
                <w:rFonts w:ascii="宋体" w:hAnsi="宋体"/>
                <w:b/>
                <w:sz w:val="24"/>
              </w:rPr>
              <w:t>线上开会指导</w:t>
            </w:r>
            <w:r>
              <w:rPr>
                <w:rFonts w:hint="eastAsia" w:ascii="宋体" w:hAnsi="宋体"/>
                <w:b/>
                <w:sz w:val="24"/>
              </w:rPr>
              <w:t>】</w:t>
            </w:r>
            <w:r>
              <w:rPr>
                <w:rFonts w:ascii="宋体" w:hAnsi="宋体"/>
                <w:b/>
                <w:sz w:val="24"/>
              </w:rPr>
              <w:t>​</w:t>
            </w:r>
          </w:p>
          <w:p w14:paraId="022B3477">
            <w:pPr>
              <w:rPr>
                <w:rFonts w:hint="eastAsia" w:ascii="宋体" w:hAnsi="宋体"/>
                <w:bCs/>
                <w:sz w:val="24"/>
              </w:rPr>
            </w:pPr>
            <w:r>
              <w:rPr>
                <w:rFonts w:ascii="宋体" w:hAnsi="宋体"/>
                <w:bCs/>
                <w:sz w:val="24"/>
              </w:rPr>
              <w:t>① 2026.01.1</w:t>
            </w:r>
            <w:r>
              <w:rPr>
                <w:rFonts w:hint="eastAsia" w:ascii="宋体" w:hAnsi="宋体"/>
                <w:bCs/>
                <w:sz w:val="24"/>
                <w:lang w:val="en-US" w:eastAsia="zh-CN"/>
              </w:rPr>
              <w:t>5</w:t>
            </w:r>
            <w:r>
              <w:rPr>
                <w:rFonts w:ascii="宋体" w:hAnsi="宋体"/>
                <w:bCs/>
                <w:sz w:val="24"/>
              </w:rPr>
              <w:t>，教师开展线上会议，围绕寒假期间的课题研究方向深化、文献调研方法优化进行指导，时长3小时。​</w:t>
            </w:r>
          </w:p>
          <w:p w14:paraId="4E886A3C">
            <w:pPr>
              <w:rPr>
                <w:rFonts w:hint="eastAsia" w:ascii="宋体" w:hAnsi="宋体"/>
                <w:bCs/>
                <w:sz w:val="24"/>
              </w:rPr>
            </w:pPr>
            <w:r>
              <w:rPr>
                <w:rFonts w:ascii="宋体" w:hAnsi="宋体"/>
                <w:bCs/>
                <w:sz w:val="24"/>
              </w:rPr>
              <w:t>② 2026.0</w:t>
            </w:r>
            <w:r>
              <w:rPr>
                <w:rFonts w:hint="eastAsia" w:ascii="宋体" w:hAnsi="宋体"/>
                <w:bCs/>
                <w:sz w:val="24"/>
                <w:lang w:val="en-US" w:eastAsia="zh-CN"/>
              </w:rPr>
              <w:t>2.01</w:t>
            </w:r>
            <w:r>
              <w:rPr>
                <w:rFonts w:ascii="宋体" w:hAnsi="宋体"/>
                <w:bCs/>
                <w:sz w:val="24"/>
              </w:rPr>
              <w:t>针对寒假开展的模拟实验与数据预分析工作，教师在线上进行详细指导，帮助解决技术难题，时长3小时。​</w:t>
            </w:r>
          </w:p>
          <w:p w14:paraId="626051B2">
            <w:pPr>
              <w:rPr>
                <w:rFonts w:hint="eastAsia" w:ascii="宋体" w:hAnsi="宋体"/>
                <w:bCs/>
                <w:sz w:val="24"/>
              </w:rPr>
            </w:pPr>
            <w:r>
              <w:rPr>
                <w:rFonts w:ascii="宋体" w:hAnsi="宋体"/>
                <w:bCs/>
                <w:sz w:val="24"/>
              </w:rPr>
              <w:t>③ 2026.03.</w:t>
            </w:r>
            <w:r>
              <w:rPr>
                <w:rFonts w:hint="eastAsia" w:ascii="宋体" w:hAnsi="宋体"/>
                <w:bCs/>
                <w:sz w:val="24"/>
                <w:lang w:val="en-US" w:eastAsia="zh-CN"/>
              </w:rPr>
              <w:t>10</w:t>
            </w:r>
            <w:r>
              <w:rPr>
                <w:rFonts w:ascii="宋体" w:hAnsi="宋体"/>
                <w:bCs/>
                <w:sz w:val="24"/>
              </w:rPr>
              <w:t>，通过线上会议，教师指导新学期任务部署，明确科研项目阶段性目标与团队分工，时长3小时。​</w:t>
            </w:r>
          </w:p>
          <w:p w14:paraId="242AF89A">
            <w:pPr>
              <w:rPr>
                <w:rFonts w:hint="eastAsia" w:ascii="宋体" w:hAnsi="宋体"/>
                <w:bCs/>
                <w:sz w:val="24"/>
              </w:rPr>
            </w:pPr>
            <w:r>
              <w:rPr>
                <w:rFonts w:ascii="宋体" w:hAnsi="宋体"/>
                <w:bCs/>
                <w:sz w:val="24"/>
              </w:rPr>
              <w:t>④ 2026.0</w:t>
            </w:r>
            <w:r>
              <w:rPr>
                <w:rFonts w:hint="eastAsia" w:ascii="宋体" w:hAnsi="宋体"/>
                <w:bCs/>
                <w:sz w:val="24"/>
              </w:rPr>
              <w:t>5</w:t>
            </w:r>
            <w:r>
              <w:rPr>
                <w:rFonts w:ascii="宋体" w:hAnsi="宋体"/>
                <w:bCs/>
                <w:sz w:val="24"/>
              </w:rPr>
              <w:t>.10，为备战暑期各类学术竞赛，教师在线上讲解竞赛规则、选题要点及答辩技巧，时长1.5小时。​</w:t>
            </w:r>
          </w:p>
          <w:p w14:paraId="1F8FE4BE">
            <w:pPr>
              <w:rPr>
                <w:rFonts w:hint="eastAsia" w:ascii="宋体" w:hAnsi="宋体"/>
                <w:b/>
                <w:sz w:val="24"/>
              </w:rPr>
            </w:pPr>
            <w:r>
              <w:rPr>
                <w:rFonts w:hint="eastAsia" w:ascii="宋体" w:hAnsi="宋体"/>
                <w:b/>
                <w:sz w:val="24"/>
              </w:rPr>
              <w:t>6.2【</w:t>
            </w:r>
            <w:r>
              <w:rPr>
                <w:rFonts w:ascii="宋体" w:hAnsi="宋体"/>
                <w:b/>
                <w:sz w:val="24"/>
              </w:rPr>
              <w:t>线下开会指导</w:t>
            </w:r>
            <w:r>
              <w:rPr>
                <w:rFonts w:hint="eastAsia" w:ascii="宋体" w:hAnsi="宋体"/>
                <w:b/>
                <w:sz w:val="24"/>
              </w:rPr>
              <w:t>】</w:t>
            </w:r>
          </w:p>
          <w:p w14:paraId="6E471AB9">
            <w:pPr>
              <w:rPr>
                <w:rFonts w:hint="eastAsia" w:ascii="宋体" w:hAnsi="宋体"/>
                <w:bCs/>
                <w:sz w:val="24"/>
              </w:rPr>
            </w:pPr>
            <w:r>
              <w:rPr>
                <w:rFonts w:ascii="宋体" w:hAnsi="宋体"/>
                <w:bCs/>
                <w:sz w:val="24"/>
              </w:rPr>
              <w:t>① 2025.12.20，指导教师与项目全体成员开展线下会议，重点进行项目年度规划、工作流程优化与任务分配，时长2小时。​</w:t>
            </w:r>
          </w:p>
          <w:p w14:paraId="38D912E9">
            <w:pPr>
              <w:rPr>
                <w:rFonts w:hint="eastAsia" w:ascii="宋体" w:hAnsi="宋体"/>
                <w:bCs/>
                <w:sz w:val="24"/>
              </w:rPr>
            </w:pPr>
            <w:r>
              <w:rPr>
                <w:rFonts w:ascii="宋体" w:hAnsi="宋体"/>
                <w:bCs/>
                <w:sz w:val="24"/>
              </w:rPr>
              <w:t>② 2026.0</w:t>
            </w:r>
            <w:r>
              <w:rPr>
                <w:rFonts w:hint="eastAsia" w:ascii="宋体" w:hAnsi="宋体"/>
                <w:bCs/>
                <w:sz w:val="24"/>
                <w:lang w:val="en-US" w:eastAsia="zh-CN"/>
              </w:rPr>
              <w:t>3</w:t>
            </w:r>
            <w:r>
              <w:rPr>
                <w:rFonts w:ascii="宋体" w:hAnsi="宋体"/>
                <w:bCs/>
                <w:sz w:val="24"/>
              </w:rPr>
              <w:t>.</w:t>
            </w:r>
            <w:r>
              <w:rPr>
                <w:rFonts w:hint="eastAsia" w:ascii="宋体" w:hAnsi="宋体"/>
                <w:bCs/>
                <w:sz w:val="24"/>
                <w:lang w:val="en-US" w:eastAsia="zh-CN"/>
              </w:rPr>
              <w:t>02</w:t>
            </w:r>
            <w:r>
              <w:rPr>
                <w:rFonts w:ascii="宋体" w:hAnsi="宋体"/>
                <w:bCs/>
                <w:sz w:val="24"/>
              </w:rPr>
              <w:t>，组织线下会议进行寒假工作复盘，</w:t>
            </w:r>
            <w:r>
              <w:rPr>
                <w:rFonts w:hint="eastAsia" w:ascii="宋体" w:hAnsi="宋体"/>
                <w:bCs/>
                <w:sz w:val="24"/>
              </w:rPr>
              <w:t>与学长交流探讨，</w:t>
            </w:r>
            <w:r>
              <w:rPr>
                <w:rFonts w:ascii="宋体" w:hAnsi="宋体"/>
                <w:bCs/>
                <w:sz w:val="24"/>
              </w:rPr>
              <w:t>部署新学期学术科研任务，启动创新实践项目筹备工作，时长1.5小时。​​</w:t>
            </w:r>
          </w:p>
          <w:p w14:paraId="7AB7371A">
            <w:pPr>
              <w:rPr>
                <w:rFonts w:hint="eastAsia" w:ascii="宋体" w:hAnsi="宋体"/>
                <w:bCs/>
                <w:sz w:val="24"/>
              </w:rPr>
            </w:pPr>
          </w:p>
          <w:p w14:paraId="61C9E511">
            <w:pPr>
              <w:rPr>
                <w:rFonts w:hint="eastAsia" w:ascii="宋体" w:hAnsi="宋体"/>
                <w:b/>
                <w:sz w:val="24"/>
              </w:rPr>
            </w:pPr>
            <w:r>
              <w:rPr>
                <w:rFonts w:hint="eastAsia" w:ascii="宋体" w:hAnsi="宋体"/>
                <w:b/>
                <w:sz w:val="24"/>
              </w:rPr>
              <w:t>6.3【</w:t>
            </w:r>
            <w:r>
              <w:rPr>
                <w:rFonts w:ascii="宋体" w:hAnsi="宋体"/>
                <w:b/>
                <w:sz w:val="24"/>
              </w:rPr>
              <w:t>日常交流指导</w:t>
            </w:r>
            <w:r>
              <w:rPr>
                <w:rFonts w:hint="eastAsia" w:ascii="宋体" w:hAnsi="宋体"/>
                <w:b/>
                <w:sz w:val="24"/>
              </w:rPr>
              <w:t>】</w:t>
            </w:r>
          </w:p>
          <w:p w14:paraId="1965AA80">
            <w:pPr>
              <w:rPr>
                <w:rFonts w:hint="eastAsia" w:ascii="宋体" w:hAnsi="宋体"/>
                <w:bCs/>
                <w:sz w:val="24"/>
              </w:rPr>
            </w:pPr>
            <w:r>
              <w:rPr>
                <w:rFonts w:ascii="宋体" w:hAnsi="宋体"/>
                <w:bCs/>
                <w:sz w:val="24"/>
              </w:rPr>
              <w:t xml:space="preserve">项目成员与指导教师保持高频互动，借助即时通讯工具、科研协作平台等，平均每 </w:t>
            </w:r>
            <w:r>
              <w:rPr>
                <w:rFonts w:hint="eastAsia" w:ascii="宋体" w:hAnsi="宋体"/>
                <w:bCs/>
                <w:sz w:val="24"/>
              </w:rPr>
              <w:t>5</w:t>
            </w:r>
            <w:r>
              <w:rPr>
                <w:rFonts w:ascii="宋体" w:hAnsi="宋体"/>
                <w:bCs/>
                <w:sz w:val="24"/>
              </w:rPr>
              <w:t xml:space="preserve"> 天进行一次沟通交流。教师在科研思路拓展、实验设计、论文写作，以及学习方法、职业规划、心理调适等多方面给予全面指导。</w:t>
            </w:r>
          </w:p>
          <w:p w14:paraId="6C4AA47F">
            <w:pPr>
              <w:rPr>
                <w:rFonts w:hint="eastAsia" w:ascii="宋体" w:hAnsi="宋体"/>
                <w:b/>
                <w:bCs/>
                <w:sz w:val="24"/>
              </w:rPr>
            </w:pPr>
          </w:p>
          <w:p w14:paraId="06959E97">
            <w:pPr>
              <w:rPr>
                <w:rFonts w:hint="eastAsia" w:ascii="宋体" w:hAnsi="宋体"/>
                <w:b/>
                <w:bCs/>
                <w:sz w:val="24"/>
              </w:rPr>
            </w:pPr>
          </w:p>
        </w:tc>
      </w:tr>
      <w:tr w14:paraId="1A2A114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452" w:hRule="atLeast"/>
        </w:trPr>
        <w:tc>
          <w:tcPr>
            <w:tcW w:w="8500" w:type="dxa"/>
            <w:gridSpan w:val="6"/>
            <w:tcBorders>
              <w:top w:val="single" w:color="auto" w:sz="4" w:space="0"/>
              <w:left w:val="single" w:color="auto" w:sz="8" w:space="0"/>
              <w:bottom w:val="single" w:color="auto" w:sz="4" w:space="0"/>
              <w:right w:val="single" w:color="auto" w:sz="8" w:space="0"/>
            </w:tcBorders>
          </w:tcPr>
          <w:p w14:paraId="39E4D0C6">
            <w:pPr>
              <w:jc w:val="center"/>
              <w:rPr>
                <w:rFonts w:hint="eastAsia" w:ascii="宋体" w:hAnsi="宋体"/>
                <w:bCs/>
                <w:szCs w:val="21"/>
              </w:rPr>
            </w:pPr>
            <w:r>
              <w:rPr>
                <w:rFonts w:hint="eastAsia" w:ascii="宋体" w:hAnsi="宋体"/>
                <w:b/>
                <w:bCs/>
                <w:sz w:val="28"/>
              </w:rPr>
              <w:t>七、经费使用情况</w:t>
            </w:r>
          </w:p>
        </w:tc>
      </w:tr>
      <w:tr w14:paraId="49506D2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3285" w:hRule="atLeast"/>
        </w:trPr>
        <w:tc>
          <w:tcPr>
            <w:tcW w:w="8500" w:type="dxa"/>
            <w:gridSpan w:val="6"/>
            <w:tcBorders>
              <w:top w:val="single" w:color="auto" w:sz="4" w:space="0"/>
              <w:left w:val="single" w:color="auto" w:sz="8" w:space="0"/>
              <w:bottom w:val="single" w:color="auto" w:sz="4" w:space="0"/>
              <w:right w:val="single" w:color="auto" w:sz="8" w:space="0"/>
            </w:tcBorders>
          </w:tcPr>
          <w:p w14:paraId="5AE57FFF">
            <w:pPr>
              <w:rPr>
                <w:rFonts w:hint="eastAsia" w:ascii="宋体" w:hAnsi="宋体"/>
                <w:bCs/>
                <w:sz w:val="24"/>
                <w:szCs w:val="24"/>
              </w:rPr>
            </w:pPr>
            <w:r>
              <w:rPr>
                <w:rFonts w:hint="eastAsia" w:ascii="宋体" w:hAnsi="宋体"/>
                <w:bCs/>
                <w:sz w:val="24"/>
                <w:szCs w:val="24"/>
              </w:rPr>
              <w:t>7.1【已花销经费使用说明】</w:t>
            </w:r>
          </w:p>
          <w:p w14:paraId="316C441C">
            <w:pPr>
              <w:rPr>
                <w:rFonts w:hint="eastAsia" w:ascii="宋体" w:hAnsi="宋体" w:cs="宋体"/>
                <w:sz w:val="24"/>
                <w:szCs w:val="24"/>
              </w:rPr>
            </w:pPr>
            <w:r>
              <w:rPr>
                <w:rFonts w:hint="eastAsia" w:ascii="宋体" w:hAnsi="宋体" w:cs="宋体"/>
                <w:sz w:val="24"/>
                <w:szCs w:val="24"/>
              </w:rPr>
              <w:t>足部压力传感器*2+电子小元件（排针）+设计费+各种开发主板+树莓派5（+显示屏加树莓派专用键鼠）+四个蓝牙模块</w:t>
            </w:r>
          </w:p>
          <w:p w14:paraId="217DC449">
            <w:pPr>
              <w:rPr>
                <w:rFonts w:hint="eastAsia" w:ascii="宋体" w:hAnsi="宋体" w:cs="宋体"/>
                <w:sz w:val="24"/>
                <w:szCs w:val="24"/>
              </w:rPr>
            </w:pPr>
            <w:r>
              <w:rPr>
                <w:rFonts w:hint="eastAsia" w:ascii="宋体" w:hAnsi="宋体" w:cs="宋体"/>
                <w:sz w:val="24"/>
                <w:szCs w:val="24"/>
              </w:rPr>
              <w:t>共计2500元左右</w:t>
            </w:r>
          </w:p>
          <w:tbl>
            <w:tblPr>
              <w:tblStyle w:val="12"/>
              <w:tblW w:w="8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2"/>
              <w:gridCol w:w="904"/>
              <w:gridCol w:w="1573"/>
              <w:gridCol w:w="1414"/>
              <w:gridCol w:w="444"/>
              <w:gridCol w:w="2388"/>
            </w:tblGrid>
            <w:tr w14:paraId="30E3A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tcBorders>
                    <w:left w:val="nil"/>
                  </w:tcBorders>
                  <w:vAlign w:val="center"/>
                </w:tcPr>
                <w:p w14:paraId="70DFDD63">
                  <w:pPr>
                    <w:jc w:val="center"/>
                    <w:rPr>
                      <w:rFonts w:hint="eastAsia" w:ascii="宋体" w:hAnsi="宋体"/>
                      <w:b/>
                      <w:bCs/>
                      <w:sz w:val="24"/>
                      <w:szCs w:val="24"/>
                    </w:rPr>
                  </w:pPr>
                  <w:r>
                    <w:rPr>
                      <w:b/>
                      <w:bCs/>
                      <w:sz w:val="24"/>
                      <w:szCs w:val="24"/>
                    </w:rPr>
                    <w:t>物品名称</w:t>
                  </w:r>
                </w:p>
              </w:tc>
              <w:tc>
                <w:tcPr>
                  <w:tcW w:w="904" w:type="dxa"/>
                  <w:vAlign w:val="center"/>
                </w:tcPr>
                <w:p w14:paraId="573D19FF">
                  <w:pPr>
                    <w:jc w:val="center"/>
                    <w:rPr>
                      <w:rFonts w:hint="eastAsia" w:ascii="宋体" w:hAnsi="宋体"/>
                      <w:b/>
                      <w:bCs/>
                      <w:sz w:val="24"/>
                      <w:szCs w:val="24"/>
                    </w:rPr>
                  </w:pPr>
                  <w:r>
                    <w:rPr>
                      <w:b/>
                      <w:bCs/>
                      <w:sz w:val="24"/>
                      <w:szCs w:val="24"/>
                    </w:rPr>
                    <w:t>单位</w:t>
                  </w:r>
                </w:p>
              </w:tc>
              <w:tc>
                <w:tcPr>
                  <w:tcW w:w="1573" w:type="dxa"/>
                  <w:vAlign w:val="center"/>
                </w:tcPr>
                <w:p w14:paraId="5E1B2F5D">
                  <w:pPr>
                    <w:jc w:val="center"/>
                    <w:rPr>
                      <w:rFonts w:hint="eastAsia" w:ascii="宋体" w:hAnsi="宋体"/>
                      <w:b/>
                      <w:bCs/>
                      <w:sz w:val="24"/>
                      <w:szCs w:val="24"/>
                    </w:rPr>
                  </w:pPr>
                  <w:r>
                    <w:rPr>
                      <w:b/>
                      <w:bCs/>
                      <w:sz w:val="24"/>
                      <w:szCs w:val="24"/>
                    </w:rPr>
                    <w:t>数量</w:t>
                  </w:r>
                </w:p>
              </w:tc>
              <w:tc>
                <w:tcPr>
                  <w:tcW w:w="1414" w:type="dxa"/>
                  <w:vAlign w:val="center"/>
                </w:tcPr>
                <w:p w14:paraId="53F4F9EC">
                  <w:pPr>
                    <w:jc w:val="center"/>
                    <w:rPr>
                      <w:rFonts w:hint="eastAsia" w:ascii="宋体" w:hAnsi="宋体"/>
                      <w:b/>
                      <w:bCs/>
                      <w:sz w:val="24"/>
                      <w:szCs w:val="24"/>
                    </w:rPr>
                  </w:pPr>
                  <w:r>
                    <w:rPr>
                      <w:b/>
                      <w:bCs/>
                      <w:sz w:val="24"/>
                      <w:szCs w:val="24"/>
                    </w:rPr>
                    <w:t>单价</w:t>
                  </w:r>
                </w:p>
              </w:tc>
              <w:tc>
                <w:tcPr>
                  <w:tcW w:w="2832" w:type="dxa"/>
                  <w:gridSpan w:val="2"/>
                  <w:tcBorders>
                    <w:right w:val="nil"/>
                  </w:tcBorders>
                  <w:vAlign w:val="center"/>
                </w:tcPr>
                <w:p w14:paraId="7824A53A">
                  <w:pPr>
                    <w:jc w:val="center"/>
                    <w:rPr>
                      <w:rFonts w:hint="eastAsia" w:ascii="宋体" w:hAnsi="宋体"/>
                      <w:b/>
                      <w:bCs/>
                      <w:sz w:val="24"/>
                      <w:szCs w:val="24"/>
                    </w:rPr>
                  </w:pPr>
                  <w:r>
                    <w:rPr>
                      <w:b/>
                      <w:bCs/>
                      <w:sz w:val="24"/>
                      <w:szCs w:val="24"/>
                    </w:rPr>
                    <w:t>金额（元）</w:t>
                  </w:r>
                </w:p>
              </w:tc>
            </w:tr>
            <w:tr w14:paraId="1EB38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tcBorders>
                    <w:left w:val="nil"/>
                  </w:tcBorders>
                  <w:vAlign w:val="center"/>
                </w:tcPr>
                <w:p w14:paraId="27C10A02">
                  <w:pPr>
                    <w:jc w:val="center"/>
                    <w:rPr>
                      <w:rFonts w:hint="eastAsia" w:ascii="宋体" w:hAnsi="宋体"/>
                      <w:sz w:val="24"/>
                      <w:szCs w:val="24"/>
                    </w:rPr>
                  </w:pPr>
                  <w:r>
                    <w:rPr>
                      <w:rFonts w:hint="eastAsia" w:ascii="宋体" w:hAnsi="宋体"/>
                      <w:sz w:val="24"/>
                      <w:szCs w:val="24"/>
                    </w:rPr>
                    <w:t>ESP32学习套件</w:t>
                  </w:r>
                </w:p>
              </w:tc>
              <w:tc>
                <w:tcPr>
                  <w:tcW w:w="904" w:type="dxa"/>
                  <w:vAlign w:val="center"/>
                </w:tcPr>
                <w:p w14:paraId="33A9BE9A">
                  <w:pPr>
                    <w:jc w:val="center"/>
                    <w:rPr>
                      <w:rFonts w:hint="eastAsia" w:ascii="宋体" w:hAnsi="宋体"/>
                      <w:sz w:val="24"/>
                      <w:szCs w:val="24"/>
                    </w:rPr>
                  </w:pPr>
                  <w:r>
                    <w:rPr>
                      <w:sz w:val="24"/>
                      <w:szCs w:val="24"/>
                    </w:rPr>
                    <w:t>个</w:t>
                  </w:r>
                </w:p>
              </w:tc>
              <w:tc>
                <w:tcPr>
                  <w:tcW w:w="1573" w:type="dxa"/>
                  <w:vAlign w:val="center"/>
                </w:tcPr>
                <w:p w14:paraId="1201E58D">
                  <w:pPr>
                    <w:jc w:val="center"/>
                    <w:rPr>
                      <w:rFonts w:hint="eastAsia" w:ascii="宋体" w:hAnsi="宋体"/>
                      <w:sz w:val="24"/>
                      <w:szCs w:val="24"/>
                    </w:rPr>
                  </w:pPr>
                  <w:r>
                    <w:rPr>
                      <w:rFonts w:hint="eastAsia" w:ascii="宋体" w:hAnsi="宋体"/>
                      <w:sz w:val="24"/>
                      <w:szCs w:val="24"/>
                    </w:rPr>
                    <w:t>2</w:t>
                  </w:r>
                </w:p>
              </w:tc>
              <w:tc>
                <w:tcPr>
                  <w:tcW w:w="1414" w:type="dxa"/>
                  <w:vAlign w:val="center"/>
                </w:tcPr>
                <w:p w14:paraId="6DD01043">
                  <w:pPr>
                    <w:jc w:val="center"/>
                    <w:rPr>
                      <w:rFonts w:hint="eastAsia" w:ascii="宋体" w:hAnsi="宋体"/>
                      <w:sz w:val="24"/>
                      <w:szCs w:val="24"/>
                    </w:rPr>
                  </w:pPr>
                  <w:r>
                    <w:rPr>
                      <w:rFonts w:hint="eastAsia" w:ascii="宋体" w:hAnsi="宋体"/>
                      <w:sz w:val="24"/>
                      <w:szCs w:val="24"/>
                    </w:rPr>
                    <w:t>193</w:t>
                  </w:r>
                </w:p>
              </w:tc>
              <w:tc>
                <w:tcPr>
                  <w:tcW w:w="2832" w:type="dxa"/>
                  <w:gridSpan w:val="2"/>
                  <w:tcBorders>
                    <w:right w:val="nil"/>
                  </w:tcBorders>
                  <w:vAlign w:val="center"/>
                </w:tcPr>
                <w:p w14:paraId="620CC376">
                  <w:pPr>
                    <w:jc w:val="center"/>
                    <w:rPr>
                      <w:rFonts w:hint="eastAsia" w:ascii="宋体" w:hAnsi="宋体"/>
                      <w:sz w:val="24"/>
                      <w:szCs w:val="24"/>
                    </w:rPr>
                  </w:pPr>
                  <w:r>
                    <w:rPr>
                      <w:rFonts w:hint="eastAsia"/>
                      <w:sz w:val="24"/>
                      <w:szCs w:val="24"/>
                    </w:rPr>
                    <w:t>386</w:t>
                  </w:r>
                </w:p>
              </w:tc>
            </w:tr>
            <w:tr w14:paraId="1127B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tcBorders>
                    <w:left w:val="nil"/>
                  </w:tcBorders>
                  <w:vAlign w:val="center"/>
                </w:tcPr>
                <w:p w14:paraId="67453C8E">
                  <w:pPr>
                    <w:jc w:val="center"/>
                    <w:rPr>
                      <w:rFonts w:hint="eastAsia" w:ascii="宋体" w:hAnsi="宋体"/>
                      <w:b/>
                      <w:bCs/>
                      <w:sz w:val="24"/>
                      <w:szCs w:val="24"/>
                    </w:rPr>
                  </w:pPr>
                  <w:r>
                    <w:rPr>
                      <w:rFonts w:hint="eastAsia"/>
                      <w:sz w:val="24"/>
                      <w:szCs w:val="24"/>
                    </w:rPr>
                    <w:t>ESP32编程手表</w:t>
                  </w:r>
                </w:p>
              </w:tc>
              <w:tc>
                <w:tcPr>
                  <w:tcW w:w="904" w:type="dxa"/>
                  <w:vAlign w:val="center"/>
                </w:tcPr>
                <w:p w14:paraId="663103C0">
                  <w:pPr>
                    <w:jc w:val="center"/>
                    <w:rPr>
                      <w:rFonts w:hint="eastAsia" w:ascii="宋体" w:hAnsi="宋体"/>
                      <w:b/>
                      <w:bCs/>
                      <w:sz w:val="24"/>
                      <w:szCs w:val="24"/>
                    </w:rPr>
                  </w:pPr>
                  <w:r>
                    <w:rPr>
                      <w:sz w:val="24"/>
                      <w:szCs w:val="24"/>
                    </w:rPr>
                    <w:t>个</w:t>
                  </w:r>
                </w:p>
              </w:tc>
              <w:tc>
                <w:tcPr>
                  <w:tcW w:w="1573" w:type="dxa"/>
                  <w:vAlign w:val="center"/>
                </w:tcPr>
                <w:p w14:paraId="0169D9BC">
                  <w:pPr>
                    <w:jc w:val="center"/>
                    <w:rPr>
                      <w:rFonts w:hint="eastAsia" w:ascii="宋体" w:hAnsi="宋体"/>
                      <w:b/>
                      <w:bCs/>
                      <w:sz w:val="24"/>
                      <w:szCs w:val="24"/>
                    </w:rPr>
                  </w:pPr>
                  <w:r>
                    <w:rPr>
                      <w:rFonts w:hint="eastAsia"/>
                      <w:sz w:val="24"/>
                      <w:szCs w:val="24"/>
                    </w:rPr>
                    <w:t>1</w:t>
                  </w:r>
                </w:p>
              </w:tc>
              <w:tc>
                <w:tcPr>
                  <w:tcW w:w="1414" w:type="dxa"/>
                  <w:vAlign w:val="center"/>
                </w:tcPr>
                <w:p w14:paraId="54D2B3DF">
                  <w:pPr>
                    <w:jc w:val="center"/>
                    <w:rPr>
                      <w:rFonts w:hint="eastAsia" w:ascii="宋体" w:hAnsi="宋体"/>
                      <w:b/>
                      <w:bCs/>
                      <w:sz w:val="24"/>
                      <w:szCs w:val="24"/>
                    </w:rPr>
                  </w:pPr>
                  <w:r>
                    <w:rPr>
                      <w:rFonts w:hint="eastAsia"/>
                      <w:sz w:val="24"/>
                      <w:szCs w:val="24"/>
                    </w:rPr>
                    <w:t>409.83</w:t>
                  </w:r>
                </w:p>
              </w:tc>
              <w:tc>
                <w:tcPr>
                  <w:tcW w:w="2832" w:type="dxa"/>
                  <w:gridSpan w:val="2"/>
                  <w:tcBorders>
                    <w:right w:val="nil"/>
                  </w:tcBorders>
                  <w:vAlign w:val="center"/>
                </w:tcPr>
                <w:p w14:paraId="324B6328">
                  <w:pPr>
                    <w:jc w:val="center"/>
                    <w:rPr>
                      <w:rFonts w:hint="eastAsia" w:ascii="宋体" w:hAnsi="宋体"/>
                      <w:b/>
                      <w:bCs/>
                      <w:sz w:val="24"/>
                      <w:szCs w:val="24"/>
                    </w:rPr>
                  </w:pPr>
                  <w:r>
                    <w:rPr>
                      <w:rFonts w:hint="eastAsia"/>
                      <w:sz w:val="24"/>
                      <w:szCs w:val="24"/>
                    </w:rPr>
                    <w:t>409.83</w:t>
                  </w:r>
                </w:p>
              </w:tc>
            </w:tr>
            <w:tr w14:paraId="4CF79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tcBorders>
                    <w:left w:val="nil"/>
                  </w:tcBorders>
                  <w:vAlign w:val="center"/>
                </w:tcPr>
                <w:p w14:paraId="3CDB7D3F">
                  <w:pPr>
                    <w:jc w:val="center"/>
                    <w:rPr>
                      <w:sz w:val="24"/>
                      <w:szCs w:val="24"/>
                    </w:rPr>
                  </w:pPr>
                  <w:r>
                    <w:rPr>
                      <w:rFonts w:hint="eastAsia"/>
                      <w:sz w:val="24"/>
                      <w:szCs w:val="24"/>
                    </w:rPr>
                    <w:t>18650锂电池</w:t>
                  </w:r>
                </w:p>
              </w:tc>
              <w:tc>
                <w:tcPr>
                  <w:tcW w:w="904" w:type="dxa"/>
                  <w:vAlign w:val="center"/>
                </w:tcPr>
                <w:p w14:paraId="4B60BF30">
                  <w:pPr>
                    <w:jc w:val="center"/>
                    <w:rPr>
                      <w:sz w:val="24"/>
                      <w:szCs w:val="24"/>
                    </w:rPr>
                  </w:pPr>
                  <w:r>
                    <w:rPr>
                      <w:sz w:val="24"/>
                      <w:szCs w:val="24"/>
                    </w:rPr>
                    <w:t>个</w:t>
                  </w:r>
                </w:p>
              </w:tc>
              <w:tc>
                <w:tcPr>
                  <w:tcW w:w="1573" w:type="dxa"/>
                  <w:vAlign w:val="center"/>
                </w:tcPr>
                <w:p w14:paraId="59938474">
                  <w:pPr>
                    <w:jc w:val="center"/>
                    <w:rPr>
                      <w:sz w:val="24"/>
                      <w:szCs w:val="24"/>
                    </w:rPr>
                  </w:pPr>
                  <w:r>
                    <w:rPr>
                      <w:rFonts w:hint="eastAsia"/>
                      <w:sz w:val="24"/>
                      <w:szCs w:val="24"/>
                    </w:rPr>
                    <w:t>9</w:t>
                  </w:r>
                </w:p>
              </w:tc>
              <w:tc>
                <w:tcPr>
                  <w:tcW w:w="1414" w:type="dxa"/>
                  <w:vAlign w:val="center"/>
                </w:tcPr>
                <w:p w14:paraId="0B4D4530">
                  <w:pPr>
                    <w:jc w:val="center"/>
                    <w:rPr>
                      <w:sz w:val="24"/>
                      <w:szCs w:val="24"/>
                    </w:rPr>
                  </w:pPr>
                  <w:r>
                    <w:rPr>
                      <w:rFonts w:hint="eastAsia"/>
                      <w:sz w:val="24"/>
                      <w:szCs w:val="24"/>
                    </w:rPr>
                    <w:t>11.2</w:t>
                  </w:r>
                </w:p>
              </w:tc>
              <w:tc>
                <w:tcPr>
                  <w:tcW w:w="2832" w:type="dxa"/>
                  <w:gridSpan w:val="2"/>
                  <w:tcBorders>
                    <w:right w:val="nil"/>
                  </w:tcBorders>
                  <w:vAlign w:val="center"/>
                </w:tcPr>
                <w:p w14:paraId="2E63FD42">
                  <w:pPr>
                    <w:jc w:val="center"/>
                    <w:rPr>
                      <w:sz w:val="24"/>
                      <w:szCs w:val="24"/>
                    </w:rPr>
                  </w:pPr>
                  <w:r>
                    <w:rPr>
                      <w:rFonts w:hint="eastAsia"/>
                      <w:sz w:val="24"/>
                      <w:szCs w:val="24"/>
                    </w:rPr>
                    <w:t>100.8</w:t>
                  </w:r>
                </w:p>
              </w:tc>
            </w:tr>
            <w:tr w14:paraId="2C06C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tcBorders>
                    <w:left w:val="nil"/>
                  </w:tcBorders>
                  <w:vAlign w:val="center"/>
                </w:tcPr>
                <w:p w14:paraId="5168ECE2">
                  <w:pPr>
                    <w:jc w:val="center"/>
                    <w:rPr>
                      <w:sz w:val="24"/>
                      <w:szCs w:val="24"/>
                    </w:rPr>
                  </w:pPr>
                  <w:r>
                    <w:rPr>
                      <w:rFonts w:hint="eastAsia"/>
                      <w:sz w:val="24"/>
                      <w:szCs w:val="24"/>
                    </w:rPr>
                    <w:t>魔术贴绑带</w:t>
                  </w:r>
                </w:p>
              </w:tc>
              <w:tc>
                <w:tcPr>
                  <w:tcW w:w="904" w:type="dxa"/>
                  <w:vAlign w:val="center"/>
                </w:tcPr>
                <w:p w14:paraId="41548D0B">
                  <w:pPr>
                    <w:jc w:val="center"/>
                    <w:rPr>
                      <w:sz w:val="24"/>
                      <w:szCs w:val="24"/>
                    </w:rPr>
                  </w:pPr>
                  <w:r>
                    <w:rPr>
                      <w:sz w:val="24"/>
                      <w:szCs w:val="24"/>
                    </w:rPr>
                    <w:t>个</w:t>
                  </w:r>
                </w:p>
              </w:tc>
              <w:tc>
                <w:tcPr>
                  <w:tcW w:w="1573" w:type="dxa"/>
                  <w:vAlign w:val="center"/>
                </w:tcPr>
                <w:p w14:paraId="63B3AAE6">
                  <w:pPr>
                    <w:jc w:val="center"/>
                    <w:rPr>
                      <w:sz w:val="24"/>
                      <w:szCs w:val="24"/>
                    </w:rPr>
                  </w:pPr>
                  <w:r>
                    <w:rPr>
                      <w:sz w:val="24"/>
                      <w:szCs w:val="24"/>
                    </w:rPr>
                    <w:t>1</w:t>
                  </w:r>
                </w:p>
              </w:tc>
              <w:tc>
                <w:tcPr>
                  <w:tcW w:w="1414" w:type="dxa"/>
                  <w:vAlign w:val="center"/>
                </w:tcPr>
                <w:p w14:paraId="7EB01377">
                  <w:pPr>
                    <w:jc w:val="center"/>
                    <w:rPr>
                      <w:sz w:val="24"/>
                      <w:szCs w:val="24"/>
                    </w:rPr>
                  </w:pPr>
                  <w:r>
                    <w:rPr>
                      <w:rFonts w:hint="eastAsia"/>
                      <w:sz w:val="24"/>
                      <w:szCs w:val="24"/>
                    </w:rPr>
                    <w:t>7.9</w:t>
                  </w:r>
                </w:p>
              </w:tc>
              <w:tc>
                <w:tcPr>
                  <w:tcW w:w="2832" w:type="dxa"/>
                  <w:gridSpan w:val="2"/>
                  <w:tcBorders>
                    <w:right w:val="nil"/>
                  </w:tcBorders>
                  <w:vAlign w:val="center"/>
                </w:tcPr>
                <w:p w14:paraId="43E7BB3C">
                  <w:pPr>
                    <w:jc w:val="center"/>
                    <w:rPr>
                      <w:sz w:val="24"/>
                      <w:szCs w:val="24"/>
                    </w:rPr>
                  </w:pPr>
                  <w:r>
                    <w:rPr>
                      <w:rFonts w:hint="eastAsia"/>
                      <w:sz w:val="24"/>
                      <w:szCs w:val="24"/>
                    </w:rPr>
                    <w:t>7.9</w:t>
                  </w:r>
                </w:p>
              </w:tc>
            </w:tr>
            <w:tr w14:paraId="37B2D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tcBorders>
                    <w:left w:val="nil"/>
                  </w:tcBorders>
                  <w:vAlign w:val="center"/>
                </w:tcPr>
                <w:p w14:paraId="1A52B4A6">
                  <w:pPr>
                    <w:jc w:val="center"/>
                    <w:rPr>
                      <w:rFonts w:hint="eastAsia" w:ascii="宋体" w:hAnsi="宋体"/>
                      <w:sz w:val="24"/>
                      <w:szCs w:val="24"/>
                    </w:rPr>
                  </w:pPr>
                  <w:r>
                    <w:rPr>
                      <w:rFonts w:hint="eastAsia"/>
                      <w:sz w:val="24"/>
                      <w:szCs w:val="24"/>
                    </w:rPr>
                    <w:t>电线收纳管</w:t>
                  </w:r>
                </w:p>
              </w:tc>
              <w:tc>
                <w:tcPr>
                  <w:tcW w:w="904" w:type="dxa"/>
                  <w:vAlign w:val="center"/>
                </w:tcPr>
                <w:p w14:paraId="71E90869">
                  <w:pPr>
                    <w:jc w:val="center"/>
                    <w:rPr>
                      <w:rFonts w:hint="eastAsia" w:ascii="宋体" w:hAnsi="宋体"/>
                      <w:sz w:val="24"/>
                      <w:szCs w:val="24"/>
                    </w:rPr>
                  </w:pPr>
                  <w:r>
                    <w:rPr>
                      <w:sz w:val="24"/>
                      <w:szCs w:val="24"/>
                    </w:rPr>
                    <w:t>个</w:t>
                  </w:r>
                </w:p>
              </w:tc>
              <w:tc>
                <w:tcPr>
                  <w:tcW w:w="1573" w:type="dxa"/>
                  <w:vAlign w:val="center"/>
                </w:tcPr>
                <w:p w14:paraId="13F4A89F">
                  <w:pPr>
                    <w:jc w:val="center"/>
                    <w:rPr>
                      <w:rFonts w:hint="eastAsia" w:ascii="宋体" w:hAnsi="宋体"/>
                      <w:sz w:val="24"/>
                      <w:szCs w:val="24"/>
                    </w:rPr>
                  </w:pPr>
                  <w:r>
                    <w:rPr>
                      <w:rFonts w:hint="eastAsia"/>
                      <w:sz w:val="24"/>
                      <w:szCs w:val="24"/>
                    </w:rPr>
                    <w:t>1</w:t>
                  </w:r>
                </w:p>
              </w:tc>
              <w:tc>
                <w:tcPr>
                  <w:tcW w:w="1414" w:type="dxa"/>
                  <w:vAlign w:val="center"/>
                </w:tcPr>
                <w:p w14:paraId="2BF594A2">
                  <w:pPr>
                    <w:jc w:val="center"/>
                    <w:rPr>
                      <w:rFonts w:hint="eastAsia" w:ascii="宋体" w:hAnsi="宋体"/>
                      <w:sz w:val="24"/>
                      <w:szCs w:val="24"/>
                    </w:rPr>
                  </w:pPr>
                  <w:r>
                    <w:rPr>
                      <w:rFonts w:hint="eastAsia"/>
                      <w:sz w:val="24"/>
                      <w:szCs w:val="24"/>
                    </w:rPr>
                    <w:t>1.3</w:t>
                  </w:r>
                </w:p>
              </w:tc>
              <w:tc>
                <w:tcPr>
                  <w:tcW w:w="2832" w:type="dxa"/>
                  <w:gridSpan w:val="2"/>
                  <w:tcBorders>
                    <w:right w:val="nil"/>
                  </w:tcBorders>
                  <w:vAlign w:val="center"/>
                </w:tcPr>
                <w:p w14:paraId="0753DF86">
                  <w:pPr>
                    <w:jc w:val="center"/>
                    <w:rPr>
                      <w:rFonts w:hint="eastAsia" w:ascii="宋体" w:hAnsi="宋体"/>
                      <w:sz w:val="24"/>
                      <w:szCs w:val="24"/>
                    </w:rPr>
                  </w:pPr>
                  <w:r>
                    <w:rPr>
                      <w:rFonts w:hint="eastAsia"/>
                      <w:sz w:val="24"/>
                      <w:szCs w:val="24"/>
                    </w:rPr>
                    <w:t>1.3</w:t>
                  </w:r>
                </w:p>
              </w:tc>
            </w:tr>
            <w:tr w14:paraId="2A37C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tcBorders>
                    <w:left w:val="nil"/>
                  </w:tcBorders>
                  <w:vAlign w:val="center"/>
                </w:tcPr>
                <w:p w14:paraId="629E3E64">
                  <w:pPr>
                    <w:jc w:val="center"/>
                    <w:rPr>
                      <w:rFonts w:hint="eastAsia" w:ascii="宋体" w:hAnsi="宋体"/>
                      <w:sz w:val="24"/>
                      <w:szCs w:val="24"/>
                    </w:rPr>
                  </w:pPr>
                  <w:r>
                    <w:rPr>
                      <w:rFonts w:hint="eastAsia" w:ascii="宋体" w:hAnsi="宋体"/>
                      <w:sz w:val="24"/>
                      <w:szCs w:val="24"/>
                    </w:rPr>
                    <w:t>HC-05蓝牙</w:t>
                  </w:r>
                </w:p>
              </w:tc>
              <w:tc>
                <w:tcPr>
                  <w:tcW w:w="904" w:type="dxa"/>
                  <w:vAlign w:val="center"/>
                </w:tcPr>
                <w:p w14:paraId="6BCC5D10">
                  <w:pPr>
                    <w:jc w:val="center"/>
                    <w:rPr>
                      <w:sz w:val="24"/>
                      <w:szCs w:val="24"/>
                    </w:rPr>
                  </w:pPr>
                  <w:r>
                    <w:rPr>
                      <w:rFonts w:hint="eastAsia"/>
                      <w:sz w:val="24"/>
                      <w:szCs w:val="24"/>
                    </w:rPr>
                    <w:t>个</w:t>
                  </w:r>
                </w:p>
              </w:tc>
              <w:tc>
                <w:tcPr>
                  <w:tcW w:w="1573" w:type="dxa"/>
                  <w:vAlign w:val="center"/>
                </w:tcPr>
                <w:p w14:paraId="1A1B2DBE">
                  <w:pPr>
                    <w:jc w:val="center"/>
                    <w:rPr>
                      <w:sz w:val="24"/>
                      <w:szCs w:val="24"/>
                    </w:rPr>
                  </w:pPr>
                  <w:r>
                    <w:rPr>
                      <w:rFonts w:hint="eastAsia"/>
                      <w:sz w:val="24"/>
                      <w:szCs w:val="24"/>
                    </w:rPr>
                    <w:t>4</w:t>
                  </w:r>
                </w:p>
              </w:tc>
              <w:tc>
                <w:tcPr>
                  <w:tcW w:w="1414" w:type="dxa"/>
                  <w:vAlign w:val="center"/>
                </w:tcPr>
                <w:p w14:paraId="1FB6A07A">
                  <w:pPr>
                    <w:jc w:val="center"/>
                    <w:rPr>
                      <w:sz w:val="24"/>
                      <w:szCs w:val="24"/>
                    </w:rPr>
                  </w:pPr>
                  <w:r>
                    <w:rPr>
                      <w:rFonts w:hint="eastAsia"/>
                      <w:sz w:val="24"/>
                      <w:szCs w:val="24"/>
                    </w:rPr>
                    <w:t>13.1</w:t>
                  </w:r>
                </w:p>
              </w:tc>
              <w:tc>
                <w:tcPr>
                  <w:tcW w:w="2832" w:type="dxa"/>
                  <w:gridSpan w:val="2"/>
                  <w:tcBorders>
                    <w:right w:val="nil"/>
                  </w:tcBorders>
                  <w:vAlign w:val="center"/>
                </w:tcPr>
                <w:p w14:paraId="3C37229D">
                  <w:pPr>
                    <w:jc w:val="center"/>
                    <w:rPr>
                      <w:sz w:val="24"/>
                      <w:szCs w:val="24"/>
                    </w:rPr>
                  </w:pPr>
                  <w:r>
                    <w:rPr>
                      <w:rFonts w:hint="eastAsia"/>
                      <w:sz w:val="24"/>
                      <w:szCs w:val="24"/>
                    </w:rPr>
                    <w:t>52.4</w:t>
                  </w:r>
                </w:p>
              </w:tc>
            </w:tr>
            <w:tr w14:paraId="0C9BE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tcBorders>
                    <w:left w:val="nil"/>
                  </w:tcBorders>
                  <w:vAlign w:val="center"/>
                </w:tcPr>
                <w:p w14:paraId="02C67229">
                  <w:pPr>
                    <w:jc w:val="center"/>
                    <w:rPr>
                      <w:rFonts w:hint="eastAsia" w:eastAsia="宋体"/>
                      <w:sz w:val="24"/>
                      <w:szCs w:val="24"/>
                      <w:lang w:eastAsia="zh-CN"/>
                    </w:rPr>
                  </w:pPr>
                  <w:r>
                    <w:rPr>
                      <w:rFonts w:hint="eastAsia"/>
                      <w:sz w:val="24"/>
                      <w:szCs w:val="24"/>
                    </w:rPr>
                    <w:t>MPU6050</w:t>
                  </w:r>
                </w:p>
                <w:p w14:paraId="38DAA019">
                  <w:pPr>
                    <w:jc w:val="center"/>
                    <w:rPr>
                      <w:rFonts w:hint="eastAsia" w:ascii="宋体" w:hAnsi="宋体"/>
                      <w:sz w:val="24"/>
                      <w:szCs w:val="24"/>
                    </w:rPr>
                  </w:pPr>
                  <w:r>
                    <w:rPr>
                      <w:rFonts w:hint="eastAsia"/>
                      <w:sz w:val="24"/>
                      <w:szCs w:val="24"/>
                    </w:rPr>
                    <w:t>姿态传感器</w:t>
                  </w:r>
                </w:p>
              </w:tc>
              <w:tc>
                <w:tcPr>
                  <w:tcW w:w="904" w:type="dxa"/>
                  <w:vAlign w:val="center"/>
                </w:tcPr>
                <w:p w14:paraId="363CA90A">
                  <w:pPr>
                    <w:jc w:val="center"/>
                    <w:rPr>
                      <w:sz w:val="24"/>
                      <w:szCs w:val="24"/>
                    </w:rPr>
                  </w:pPr>
                  <w:r>
                    <w:rPr>
                      <w:rFonts w:hint="eastAsia"/>
                      <w:sz w:val="24"/>
                      <w:szCs w:val="24"/>
                    </w:rPr>
                    <w:t>个</w:t>
                  </w:r>
                </w:p>
              </w:tc>
              <w:tc>
                <w:tcPr>
                  <w:tcW w:w="1573" w:type="dxa"/>
                  <w:vAlign w:val="center"/>
                </w:tcPr>
                <w:p w14:paraId="502DA2D3">
                  <w:pPr>
                    <w:jc w:val="center"/>
                    <w:rPr>
                      <w:sz w:val="24"/>
                      <w:szCs w:val="24"/>
                    </w:rPr>
                  </w:pPr>
                  <w:r>
                    <w:rPr>
                      <w:rFonts w:hint="eastAsia"/>
                      <w:sz w:val="24"/>
                      <w:szCs w:val="24"/>
                    </w:rPr>
                    <w:t>4</w:t>
                  </w:r>
                </w:p>
              </w:tc>
              <w:tc>
                <w:tcPr>
                  <w:tcW w:w="1414" w:type="dxa"/>
                  <w:vAlign w:val="center"/>
                </w:tcPr>
                <w:p w14:paraId="01CC495B">
                  <w:pPr>
                    <w:jc w:val="center"/>
                    <w:rPr>
                      <w:sz w:val="24"/>
                      <w:szCs w:val="24"/>
                    </w:rPr>
                  </w:pPr>
                  <w:r>
                    <w:rPr>
                      <w:rFonts w:hint="eastAsia"/>
                      <w:sz w:val="24"/>
                      <w:szCs w:val="24"/>
                    </w:rPr>
                    <w:t>9.5</w:t>
                  </w:r>
                </w:p>
              </w:tc>
              <w:tc>
                <w:tcPr>
                  <w:tcW w:w="2832" w:type="dxa"/>
                  <w:gridSpan w:val="2"/>
                  <w:tcBorders>
                    <w:right w:val="nil"/>
                  </w:tcBorders>
                  <w:vAlign w:val="center"/>
                </w:tcPr>
                <w:p w14:paraId="1526CD3A">
                  <w:pPr>
                    <w:jc w:val="center"/>
                    <w:rPr>
                      <w:sz w:val="24"/>
                      <w:szCs w:val="24"/>
                    </w:rPr>
                  </w:pPr>
                  <w:r>
                    <w:rPr>
                      <w:rFonts w:hint="eastAsia"/>
                      <w:sz w:val="24"/>
                      <w:szCs w:val="24"/>
                    </w:rPr>
                    <w:t>38</w:t>
                  </w:r>
                </w:p>
              </w:tc>
            </w:tr>
            <w:tr w14:paraId="1B4FA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tcBorders>
                    <w:left w:val="nil"/>
                    <w:bottom w:val="single" w:color="auto" w:sz="4" w:space="0"/>
                  </w:tcBorders>
                  <w:vAlign w:val="center"/>
                </w:tcPr>
                <w:p w14:paraId="53192653">
                  <w:pPr>
                    <w:jc w:val="center"/>
                    <w:rPr>
                      <w:sz w:val="24"/>
                      <w:szCs w:val="24"/>
                    </w:rPr>
                  </w:pPr>
                  <w:r>
                    <w:rPr>
                      <w:rFonts w:hint="eastAsia"/>
                      <w:sz w:val="24"/>
                      <w:szCs w:val="24"/>
                    </w:rPr>
                    <w:t>拓展坞</w:t>
                  </w:r>
                </w:p>
              </w:tc>
              <w:tc>
                <w:tcPr>
                  <w:tcW w:w="904" w:type="dxa"/>
                  <w:tcBorders>
                    <w:bottom w:val="single" w:color="auto" w:sz="4" w:space="0"/>
                  </w:tcBorders>
                  <w:vAlign w:val="center"/>
                </w:tcPr>
                <w:p w14:paraId="06E02ED9">
                  <w:pPr>
                    <w:jc w:val="center"/>
                    <w:rPr>
                      <w:sz w:val="24"/>
                      <w:szCs w:val="24"/>
                    </w:rPr>
                  </w:pPr>
                  <w:r>
                    <w:rPr>
                      <w:rFonts w:hint="eastAsia"/>
                      <w:sz w:val="24"/>
                      <w:szCs w:val="24"/>
                    </w:rPr>
                    <w:t>个</w:t>
                  </w:r>
                </w:p>
              </w:tc>
              <w:tc>
                <w:tcPr>
                  <w:tcW w:w="1573" w:type="dxa"/>
                  <w:tcBorders>
                    <w:bottom w:val="single" w:color="auto" w:sz="4" w:space="0"/>
                  </w:tcBorders>
                  <w:vAlign w:val="center"/>
                </w:tcPr>
                <w:p w14:paraId="6171F580">
                  <w:pPr>
                    <w:jc w:val="center"/>
                    <w:rPr>
                      <w:sz w:val="24"/>
                      <w:szCs w:val="24"/>
                    </w:rPr>
                  </w:pPr>
                  <w:r>
                    <w:rPr>
                      <w:rFonts w:hint="eastAsia"/>
                      <w:sz w:val="24"/>
                      <w:szCs w:val="24"/>
                    </w:rPr>
                    <w:t>1</w:t>
                  </w:r>
                </w:p>
              </w:tc>
              <w:tc>
                <w:tcPr>
                  <w:tcW w:w="1414" w:type="dxa"/>
                  <w:tcBorders>
                    <w:bottom w:val="single" w:color="auto" w:sz="4" w:space="0"/>
                  </w:tcBorders>
                  <w:vAlign w:val="center"/>
                </w:tcPr>
                <w:p w14:paraId="6BE411F4">
                  <w:pPr>
                    <w:jc w:val="center"/>
                    <w:rPr>
                      <w:sz w:val="24"/>
                      <w:szCs w:val="24"/>
                    </w:rPr>
                  </w:pPr>
                  <w:r>
                    <w:rPr>
                      <w:rFonts w:hint="eastAsia"/>
                      <w:sz w:val="24"/>
                      <w:szCs w:val="24"/>
                    </w:rPr>
                    <w:t>45.6</w:t>
                  </w:r>
                </w:p>
              </w:tc>
              <w:tc>
                <w:tcPr>
                  <w:tcW w:w="2832" w:type="dxa"/>
                  <w:gridSpan w:val="2"/>
                  <w:tcBorders>
                    <w:bottom w:val="single" w:color="auto" w:sz="4" w:space="0"/>
                    <w:right w:val="nil"/>
                  </w:tcBorders>
                  <w:vAlign w:val="center"/>
                </w:tcPr>
                <w:p w14:paraId="2791B168">
                  <w:pPr>
                    <w:jc w:val="center"/>
                    <w:rPr>
                      <w:sz w:val="24"/>
                      <w:szCs w:val="24"/>
                    </w:rPr>
                  </w:pPr>
                  <w:r>
                    <w:rPr>
                      <w:rFonts w:hint="eastAsia"/>
                      <w:sz w:val="24"/>
                      <w:szCs w:val="24"/>
                    </w:rPr>
                    <w:t>45.6</w:t>
                  </w:r>
                </w:p>
              </w:tc>
            </w:tr>
            <w:tr w14:paraId="6FCC1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tcBorders>
                    <w:left w:val="nil"/>
                    <w:bottom w:val="single" w:color="auto" w:sz="4" w:space="0"/>
                  </w:tcBorders>
                  <w:vAlign w:val="center"/>
                </w:tcPr>
                <w:p w14:paraId="5AED497D">
                  <w:pPr>
                    <w:jc w:val="center"/>
                    <w:rPr>
                      <w:sz w:val="24"/>
                      <w:szCs w:val="24"/>
                    </w:rPr>
                  </w:pPr>
                  <w:r>
                    <w:rPr>
                      <w:rFonts w:hint="eastAsia"/>
                      <w:sz w:val="24"/>
                      <w:szCs w:val="24"/>
                    </w:rPr>
                    <w:t>ESP8266</w:t>
                  </w:r>
                </w:p>
                <w:p w14:paraId="5C29190D">
                  <w:pPr>
                    <w:jc w:val="center"/>
                    <w:rPr>
                      <w:sz w:val="24"/>
                      <w:szCs w:val="24"/>
                    </w:rPr>
                  </w:pPr>
                  <w:r>
                    <w:rPr>
                      <w:rFonts w:hint="eastAsia"/>
                      <w:sz w:val="24"/>
                      <w:szCs w:val="24"/>
                    </w:rPr>
                    <w:t>WiFi模块</w:t>
                  </w:r>
                </w:p>
              </w:tc>
              <w:tc>
                <w:tcPr>
                  <w:tcW w:w="904" w:type="dxa"/>
                  <w:tcBorders>
                    <w:bottom w:val="single" w:color="auto" w:sz="4" w:space="0"/>
                  </w:tcBorders>
                  <w:vAlign w:val="center"/>
                </w:tcPr>
                <w:p w14:paraId="2FB2DCFE">
                  <w:pPr>
                    <w:jc w:val="center"/>
                    <w:rPr>
                      <w:sz w:val="24"/>
                      <w:szCs w:val="24"/>
                    </w:rPr>
                  </w:pPr>
                  <w:r>
                    <w:rPr>
                      <w:rFonts w:hint="eastAsia"/>
                      <w:sz w:val="24"/>
                      <w:szCs w:val="24"/>
                    </w:rPr>
                    <w:t>个</w:t>
                  </w:r>
                </w:p>
              </w:tc>
              <w:tc>
                <w:tcPr>
                  <w:tcW w:w="1573" w:type="dxa"/>
                  <w:tcBorders>
                    <w:bottom w:val="single" w:color="auto" w:sz="4" w:space="0"/>
                  </w:tcBorders>
                  <w:vAlign w:val="center"/>
                </w:tcPr>
                <w:p w14:paraId="7BD4CADF">
                  <w:pPr>
                    <w:jc w:val="center"/>
                    <w:rPr>
                      <w:sz w:val="24"/>
                      <w:szCs w:val="24"/>
                    </w:rPr>
                  </w:pPr>
                  <w:r>
                    <w:rPr>
                      <w:rFonts w:hint="eastAsia"/>
                      <w:sz w:val="24"/>
                      <w:szCs w:val="24"/>
                    </w:rPr>
                    <w:t>2</w:t>
                  </w:r>
                </w:p>
              </w:tc>
              <w:tc>
                <w:tcPr>
                  <w:tcW w:w="1414" w:type="dxa"/>
                  <w:tcBorders>
                    <w:bottom w:val="single" w:color="auto" w:sz="4" w:space="0"/>
                  </w:tcBorders>
                  <w:vAlign w:val="center"/>
                </w:tcPr>
                <w:p w14:paraId="2D77BB9B">
                  <w:pPr>
                    <w:jc w:val="center"/>
                    <w:rPr>
                      <w:sz w:val="24"/>
                      <w:szCs w:val="24"/>
                    </w:rPr>
                  </w:pPr>
                  <w:r>
                    <w:rPr>
                      <w:rFonts w:hint="eastAsia"/>
                      <w:sz w:val="24"/>
                      <w:szCs w:val="24"/>
                    </w:rPr>
                    <w:t>7.42</w:t>
                  </w:r>
                </w:p>
              </w:tc>
              <w:tc>
                <w:tcPr>
                  <w:tcW w:w="2832" w:type="dxa"/>
                  <w:gridSpan w:val="2"/>
                  <w:tcBorders>
                    <w:bottom w:val="single" w:color="auto" w:sz="4" w:space="0"/>
                    <w:right w:val="nil"/>
                  </w:tcBorders>
                  <w:vAlign w:val="center"/>
                </w:tcPr>
                <w:p w14:paraId="6565070B">
                  <w:pPr>
                    <w:jc w:val="center"/>
                    <w:rPr>
                      <w:sz w:val="24"/>
                      <w:szCs w:val="24"/>
                    </w:rPr>
                  </w:pPr>
                  <w:r>
                    <w:rPr>
                      <w:rFonts w:hint="eastAsia"/>
                      <w:sz w:val="24"/>
                      <w:szCs w:val="24"/>
                    </w:rPr>
                    <w:t>14.84</w:t>
                  </w:r>
                </w:p>
              </w:tc>
            </w:tr>
            <w:tr w14:paraId="570FD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tcBorders>
                    <w:top w:val="single" w:color="auto" w:sz="4" w:space="0"/>
                    <w:left w:val="single" w:color="auto" w:sz="4" w:space="0"/>
                    <w:bottom w:val="single" w:color="auto" w:sz="4" w:space="0"/>
                    <w:right w:val="single" w:color="auto" w:sz="4" w:space="0"/>
                  </w:tcBorders>
                  <w:vAlign w:val="center"/>
                </w:tcPr>
                <w:p w14:paraId="031E9607">
                  <w:pPr>
                    <w:jc w:val="center"/>
                    <w:rPr>
                      <w:sz w:val="24"/>
                      <w:szCs w:val="24"/>
                    </w:rPr>
                  </w:pPr>
                  <w:r>
                    <w:rPr>
                      <w:rFonts w:hint="eastAsia"/>
                      <w:sz w:val="24"/>
                      <w:szCs w:val="24"/>
                    </w:rPr>
                    <w:t>合计</w:t>
                  </w:r>
                </w:p>
              </w:tc>
              <w:tc>
                <w:tcPr>
                  <w:tcW w:w="4335" w:type="dxa"/>
                  <w:gridSpan w:val="4"/>
                  <w:tcBorders>
                    <w:top w:val="single" w:color="auto" w:sz="4" w:space="0"/>
                    <w:left w:val="single" w:color="auto" w:sz="4" w:space="0"/>
                    <w:bottom w:val="single" w:color="auto" w:sz="4" w:space="0"/>
                    <w:right w:val="single" w:color="auto" w:sz="4" w:space="0"/>
                  </w:tcBorders>
                  <w:vAlign w:val="center"/>
                </w:tcPr>
                <w:p w14:paraId="476E45F6">
                  <w:pPr>
                    <w:jc w:val="center"/>
                    <w:rPr>
                      <w:sz w:val="24"/>
                      <w:szCs w:val="24"/>
                    </w:rPr>
                  </w:pPr>
                  <w:r>
                    <w:rPr>
                      <w:rStyle w:val="14"/>
                      <w:rFonts w:ascii="Segoe UI" w:hAnsi="Segoe UI" w:eastAsia="Segoe UI" w:cs="Segoe UI"/>
                      <w:sz w:val="24"/>
                      <w:szCs w:val="24"/>
                      <w:shd w:val="clear" w:color="auto" w:fill="FFFFFF"/>
                    </w:rPr>
                    <w:t>壹仟零伍拾陆元陆角柒分</w:t>
                  </w:r>
                </w:p>
              </w:tc>
              <w:tc>
                <w:tcPr>
                  <w:tcW w:w="2388" w:type="dxa"/>
                  <w:tcBorders>
                    <w:top w:val="single" w:color="auto" w:sz="4" w:space="0"/>
                    <w:left w:val="single" w:color="auto" w:sz="4" w:space="0"/>
                    <w:bottom w:val="single" w:color="auto" w:sz="4" w:space="0"/>
                    <w:right w:val="single" w:color="auto" w:sz="4" w:space="0"/>
                  </w:tcBorders>
                  <w:vAlign w:val="center"/>
                </w:tcPr>
                <w:p w14:paraId="6C7EC9C8">
                  <w:pPr>
                    <w:jc w:val="center"/>
                    <w:rPr>
                      <w:sz w:val="24"/>
                      <w:szCs w:val="24"/>
                    </w:rPr>
                  </w:pPr>
                  <w:r>
                    <w:rPr>
                      <w:rFonts w:hint="eastAsia"/>
                      <w:sz w:val="24"/>
                      <w:szCs w:val="24"/>
                    </w:rPr>
                    <w:t>1056.67</w:t>
                  </w:r>
                </w:p>
              </w:tc>
            </w:tr>
          </w:tbl>
          <w:p w14:paraId="16F307A4">
            <w:pPr>
              <w:rPr>
                <w:rFonts w:hint="eastAsia" w:ascii="宋体" w:hAnsi="宋体" w:cs="宋体"/>
                <w:sz w:val="24"/>
              </w:rPr>
            </w:pPr>
          </w:p>
          <w:p w14:paraId="0478DD13">
            <w:pPr>
              <w:rPr>
                <w:rFonts w:hint="eastAsia" w:ascii="宋体" w:hAnsi="宋体" w:cs="宋体"/>
                <w:sz w:val="24"/>
              </w:rPr>
            </w:pPr>
          </w:p>
          <w:p w14:paraId="2BC5C1C0">
            <w:pPr>
              <w:rPr>
                <w:rFonts w:hint="eastAsia" w:ascii="宋体" w:hAnsi="宋体" w:cs="宋体"/>
                <w:sz w:val="24"/>
              </w:rPr>
            </w:pPr>
          </w:p>
          <w:p w14:paraId="5CA69DCB">
            <w:pPr>
              <w:rPr>
                <w:rFonts w:hint="eastAsia" w:ascii="宋体" w:hAnsi="宋体"/>
                <w:b/>
                <w:bCs/>
                <w:sz w:val="24"/>
              </w:rPr>
            </w:pPr>
          </w:p>
          <w:p w14:paraId="7F0053AD">
            <w:pPr>
              <w:rPr>
                <w:rFonts w:hint="eastAsia" w:ascii="宋体" w:hAnsi="宋体"/>
                <w:bCs/>
                <w:sz w:val="24"/>
                <w:szCs w:val="24"/>
              </w:rPr>
            </w:pPr>
            <w:r>
              <w:rPr>
                <w:rFonts w:hint="eastAsia" w:ascii="宋体" w:hAnsi="宋体"/>
                <w:bCs/>
                <w:sz w:val="24"/>
                <w:szCs w:val="24"/>
              </w:rPr>
              <w:t>7.2【下一步经费花销说明】</w:t>
            </w:r>
          </w:p>
          <w:p w14:paraId="4A97195F">
            <w:pPr>
              <w:rPr>
                <w:sz w:val="24"/>
                <w:szCs w:val="24"/>
              </w:rPr>
            </w:pPr>
            <w:r>
              <w:rPr>
                <w:rFonts w:hint="eastAsia"/>
                <w:sz w:val="24"/>
                <w:szCs w:val="24"/>
              </w:rPr>
              <w:t>就下一步而言，项目将根据评级确定资助金额。由于下一阶段项目主要任务</w:t>
            </w:r>
          </w:p>
          <w:p w14:paraId="21B51F5D">
            <w:pPr>
              <w:rPr>
                <w:sz w:val="24"/>
                <w:szCs w:val="24"/>
              </w:rPr>
            </w:pPr>
            <w:r>
              <w:rPr>
                <w:rFonts w:hint="eastAsia"/>
                <w:sz w:val="24"/>
                <w:szCs w:val="24"/>
              </w:rPr>
              <w:t>为数据收集、论文写作与平台维护，经费主要花销于如下方面：</w:t>
            </w:r>
          </w:p>
          <w:tbl>
            <w:tblPr>
              <w:tblStyle w:val="12"/>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81"/>
              <w:gridCol w:w="2835"/>
              <w:gridCol w:w="1276"/>
              <w:gridCol w:w="840"/>
              <w:gridCol w:w="2633"/>
            </w:tblGrid>
            <w:tr w14:paraId="2F2D5E5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81" w:type="dxa"/>
                </w:tcPr>
                <w:p w14:paraId="3C81020F">
                  <w:pPr>
                    <w:jc w:val="center"/>
                    <w:rPr>
                      <w:sz w:val="24"/>
                      <w:szCs w:val="24"/>
                    </w:rPr>
                  </w:pPr>
                  <w:r>
                    <w:rPr>
                      <w:rFonts w:hint="eastAsia"/>
                      <w:sz w:val="24"/>
                      <w:szCs w:val="24"/>
                    </w:rPr>
                    <w:t>序号</w:t>
                  </w:r>
                </w:p>
              </w:tc>
              <w:tc>
                <w:tcPr>
                  <w:tcW w:w="2835" w:type="dxa"/>
                </w:tcPr>
                <w:p w14:paraId="3C38DA08">
                  <w:pPr>
                    <w:jc w:val="center"/>
                    <w:rPr>
                      <w:sz w:val="24"/>
                      <w:szCs w:val="24"/>
                    </w:rPr>
                  </w:pPr>
                  <w:r>
                    <w:rPr>
                      <w:rFonts w:hint="eastAsia"/>
                      <w:sz w:val="24"/>
                      <w:szCs w:val="24"/>
                    </w:rPr>
                    <w:t>支出项目</w:t>
                  </w:r>
                </w:p>
              </w:tc>
              <w:tc>
                <w:tcPr>
                  <w:tcW w:w="1276" w:type="dxa"/>
                </w:tcPr>
                <w:p w14:paraId="6C1143EA">
                  <w:pPr>
                    <w:jc w:val="center"/>
                    <w:rPr>
                      <w:sz w:val="24"/>
                      <w:szCs w:val="24"/>
                    </w:rPr>
                  </w:pPr>
                  <w:r>
                    <w:rPr>
                      <w:rFonts w:hint="eastAsia"/>
                      <w:sz w:val="24"/>
                      <w:szCs w:val="24"/>
                    </w:rPr>
                    <w:t>金额（元）</w:t>
                  </w:r>
                </w:p>
              </w:tc>
              <w:tc>
                <w:tcPr>
                  <w:tcW w:w="3473" w:type="dxa"/>
                  <w:gridSpan w:val="2"/>
                </w:tcPr>
                <w:p w14:paraId="6D674E22">
                  <w:pPr>
                    <w:jc w:val="center"/>
                    <w:rPr>
                      <w:sz w:val="24"/>
                      <w:szCs w:val="24"/>
                    </w:rPr>
                  </w:pPr>
                  <w:r>
                    <w:rPr>
                      <w:sz w:val="24"/>
                      <w:szCs w:val="24"/>
                    </w:rPr>
                    <w:t>依据或理由</w:t>
                  </w:r>
                </w:p>
              </w:tc>
            </w:tr>
            <w:tr w14:paraId="6704CDD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81" w:type="dxa"/>
                  <w:tcBorders>
                    <w:bottom w:val="single" w:color="auto" w:sz="4" w:space="0"/>
                  </w:tcBorders>
                </w:tcPr>
                <w:p w14:paraId="7A8A2B44">
                  <w:pPr>
                    <w:jc w:val="center"/>
                    <w:rPr>
                      <w:sz w:val="24"/>
                      <w:szCs w:val="24"/>
                    </w:rPr>
                  </w:pPr>
                  <w:r>
                    <w:rPr>
                      <w:rFonts w:hint="eastAsia"/>
                      <w:sz w:val="24"/>
                      <w:szCs w:val="24"/>
                    </w:rPr>
                    <w:t>1</w:t>
                  </w:r>
                </w:p>
              </w:tc>
              <w:tc>
                <w:tcPr>
                  <w:tcW w:w="2835" w:type="dxa"/>
                </w:tcPr>
                <w:p w14:paraId="21AAB7DB">
                  <w:pPr>
                    <w:jc w:val="center"/>
                    <w:rPr>
                      <w:sz w:val="24"/>
                      <w:szCs w:val="24"/>
                    </w:rPr>
                  </w:pPr>
                  <w:r>
                    <w:rPr>
                      <w:rFonts w:hint="eastAsia"/>
                      <w:sz w:val="24"/>
                      <w:szCs w:val="24"/>
                    </w:rPr>
                    <w:t>办公费（图书、打印等）</w:t>
                  </w:r>
                </w:p>
              </w:tc>
              <w:tc>
                <w:tcPr>
                  <w:tcW w:w="1276" w:type="dxa"/>
                </w:tcPr>
                <w:p w14:paraId="2D5C129E">
                  <w:pPr>
                    <w:jc w:val="center"/>
                    <w:rPr>
                      <w:sz w:val="24"/>
                      <w:szCs w:val="24"/>
                    </w:rPr>
                  </w:pPr>
                  <w:r>
                    <w:rPr>
                      <w:rFonts w:hint="eastAsia"/>
                      <w:sz w:val="24"/>
                      <w:szCs w:val="24"/>
                    </w:rPr>
                    <w:t>5</w:t>
                  </w:r>
                  <w:r>
                    <w:rPr>
                      <w:sz w:val="24"/>
                      <w:szCs w:val="24"/>
                    </w:rPr>
                    <w:t>00</w:t>
                  </w:r>
                </w:p>
              </w:tc>
              <w:tc>
                <w:tcPr>
                  <w:tcW w:w="3473" w:type="dxa"/>
                  <w:gridSpan w:val="2"/>
                </w:tcPr>
                <w:p w14:paraId="40430ADE">
                  <w:pPr>
                    <w:jc w:val="center"/>
                    <w:rPr>
                      <w:sz w:val="24"/>
                      <w:szCs w:val="24"/>
                    </w:rPr>
                  </w:pPr>
                  <w:r>
                    <w:rPr>
                      <w:rFonts w:hint="eastAsia"/>
                      <w:sz w:val="24"/>
                      <w:szCs w:val="24"/>
                    </w:rPr>
                    <w:t>用来购买相关资料、复印等费用</w:t>
                  </w:r>
                </w:p>
              </w:tc>
            </w:tr>
            <w:tr w14:paraId="233439D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81" w:type="dxa"/>
                </w:tcPr>
                <w:p w14:paraId="3E58F610">
                  <w:pPr>
                    <w:jc w:val="center"/>
                    <w:rPr>
                      <w:sz w:val="24"/>
                      <w:szCs w:val="24"/>
                    </w:rPr>
                  </w:pPr>
                  <w:r>
                    <w:rPr>
                      <w:rFonts w:hint="eastAsia"/>
                      <w:sz w:val="24"/>
                      <w:szCs w:val="24"/>
                    </w:rPr>
                    <w:t>2</w:t>
                  </w:r>
                </w:p>
              </w:tc>
              <w:tc>
                <w:tcPr>
                  <w:tcW w:w="2835" w:type="dxa"/>
                </w:tcPr>
                <w:p w14:paraId="75E4988E">
                  <w:pPr>
                    <w:jc w:val="center"/>
                    <w:rPr>
                      <w:sz w:val="24"/>
                      <w:szCs w:val="24"/>
                    </w:rPr>
                  </w:pPr>
                  <w:r>
                    <w:rPr>
                      <w:rFonts w:hint="eastAsia"/>
                      <w:sz w:val="24"/>
                      <w:szCs w:val="24"/>
                    </w:rPr>
                    <w:t>论文版面费</w:t>
                  </w:r>
                </w:p>
              </w:tc>
              <w:tc>
                <w:tcPr>
                  <w:tcW w:w="1276" w:type="dxa"/>
                </w:tcPr>
                <w:p w14:paraId="5DBD6A22">
                  <w:pPr>
                    <w:jc w:val="center"/>
                    <w:rPr>
                      <w:sz w:val="24"/>
                      <w:szCs w:val="24"/>
                    </w:rPr>
                  </w:pPr>
                  <w:r>
                    <w:rPr>
                      <w:sz w:val="24"/>
                      <w:szCs w:val="24"/>
                    </w:rPr>
                    <w:t>6000</w:t>
                  </w:r>
                </w:p>
              </w:tc>
              <w:tc>
                <w:tcPr>
                  <w:tcW w:w="3473" w:type="dxa"/>
                  <w:gridSpan w:val="2"/>
                </w:tcPr>
                <w:p w14:paraId="469D7F94">
                  <w:pPr>
                    <w:jc w:val="center"/>
                    <w:rPr>
                      <w:sz w:val="24"/>
                      <w:szCs w:val="24"/>
                    </w:rPr>
                  </w:pPr>
                  <w:r>
                    <w:rPr>
                      <w:rFonts w:hint="eastAsia"/>
                      <w:sz w:val="24"/>
                      <w:szCs w:val="24"/>
                    </w:rPr>
                    <w:t>发表论文</w:t>
                  </w:r>
                </w:p>
              </w:tc>
            </w:tr>
            <w:tr w14:paraId="7D62488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81" w:type="dxa"/>
                </w:tcPr>
                <w:p w14:paraId="259AD3BB">
                  <w:pPr>
                    <w:jc w:val="center"/>
                    <w:rPr>
                      <w:sz w:val="24"/>
                      <w:szCs w:val="24"/>
                    </w:rPr>
                  </w:pPr>
                  <w:r>
                    <w:rPr>
                      <w:rFonts w:hint="eastAsia"/>
                      <w:sz w:val="24"/>
                      <w:szCs w:val="24"/>
                    </w:rPr>
                    <w:t>3</w:t>
                  </w:r>
                </w:p>
              </w:tc>
              <w:tc>
                <w:tcPr>
                  <w:tcW w:w="2835" w:type="dxa"/>
                </w:tcPr>
                <w:p w14:paraId="3FB96761">
                  <w:pPr>
                    <w:jc w:val="center"/>
                    <w:rPr>
                      <w:sz w:val="24"/>
                      <w:szCs w:val="24"/>
                    </w:rPr>
                  </w:pPr>
                  <w:r>
                    <w:rPr>
                      <w:rFonts w:hint="eastAsia"/>
                      <w:sz w:val="24"/>
                      <w:szCs w:val="24"/>
                    </w:rPr>
                    <w:t>云服务器租借费</w:t>
                  </w:r>
                </w:p>
              </w:tc>
              <w:tc>
                <w:tcPr>
                  <w:tcW w:w="1276" w:type="dxa"/>
                </w:tcPr>
                <w:p w14:paraId="46BFC1CA">
                  <w:pPr>
                    <w:jc w:val="center"/>
                    <w:rPr>
                      <w:sz w:val="24"/>
                      <w:szCs w:val="24"/>
                    </w:rPr>
                  </w:pPr>
                  <w:r>
                    <w:rPr>
                      <w:sz w:val="24"/>
                      <w:szCs w:val="24"/>
                    </w:rPr>
                    <w:t>3000</w:t>
                  </w:r>
                </w:p>
              </w:tc>
              <w:tc>
                <w:tcPr>
                  <w:tcW w:w="3473" w:type="dxa"/>
                  <w:gridSpan w:val="2"/>
                </w:tcPr>
                <w:p w14:paraId="457A3C26">
                  <w:pPr>
                    <w:jc w:val="center"/>
                    <w:rPr>
                      <w:sz w:val="24"/>
                      <w:szCs w:val="24"/>
                    </w:rPr>
                  </w:pPr>
                  <w:r>
                    <w:rPr>
                      <w:rFonts w:hint="eastAsia"/>
                      <w:sz w:val="24"/>
                      <w:szCs w:val="24"/>
                    </w:rPr>
                    <w:t>用于计算、云服务器升级等</w:t>
                  </w:r>
                </w:p>
              </w:tc>
            </w:tr>
            <w:tr w14:paraId="003F397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81" w:type="dxa"/>
                </w:tcPr>
                <w:p w14:paraId="3E8480BD">
                  <w:pPr>
                    <w:jc w:val="center"/>
                    <w:rPr>
                      <w:sz w:val="24"/>
                      <w:szCs w:val="24"/>
                    </w:rPr>
                  </w:pPr>
                  <w:r>
                    <w:rPr>
                      <w:rFonts w:hint="eastAsia"/>
                      <w:sz w:val="24"/>
                      <w:szCs w:val="24"/>
                    </w:rPr>
                    <w:t>4</w:t>
                  </w:r>
                </w:p>
              </w:tc>
              <w:tc>
                <w:tcPr>
                  <w:tcW w:w="2835" w:type="dxa"/>
                </w:tcPr>
                <w:p w14:paraId="7C4BA082">
                  <w:pPr>
                    <w:jc w:val="center"/>
                    <w:rPr>
                      <w:sz w:val="24"/>
                      <w:szCs w:val="24"/>
                    </w:rPr>
                  </w:pPr>
                  <w:r>
                    <w:rPr>
                      <w:rFonts w:hint="eastAsia"/>
                      <w:sz w:val="24"/>
                      <w:szCs w:val="24"/>
                    </w:rPr>
                    <w:t>平台维护费</w:t>
                  </w:r>
                </w:p>
              </w:tc>
              <w:tc>
                <w:tcPr>
                  <w:tcW w:w="1276" w:type="dxa"/>
                </w:tcPr>
                <w:p w14:paraId="7C5990DC">
                  <w:pPr>
                    <w:jc w:val="center"/>
                    <w:rPr>
                      <w:sz w:val="24"/>
                      <w:szCs w:val="24"/>
                    </w:rPr>
                  </w:pPr>
                  <w:r>
                    <w:rPr>
                      <w:rFonts w:hint="eastAsia"/>
                      <w:sz w:val="24"/>
                      <w:szCs w:val="24"/>
                    </w:rPr>
                    <w:t>2</w:t>
                  </w:r>
                  <w:r>
                    <w:rPr>
                      <w:sz w:val="24"/>
                      <w:szCs w:val="24"/>
                    </w:rPr>
                    <w:t>000</w:t>
                  </w:r>
                </w:p>
              </w:tc>
              <w:tc>
                <w:tcPr>
                  <w:tcW w:w="3473" w:type="dxa"/>
                  <w:gridSpan w:val="2"/>
                </w:tcPr>
                <w:p w14:paraId="13174F05">
                  <w:pPr>
                    <w:jc w:val="center"/>
                    <w:rPr>
                      <w:sz w:val="24"/>
                      <w:szCs w:val="24"/>
                    </w:rPr>
                  </w:pPr>
                  <w:r>
                    <w:rPr>
                      <w:rFonts w:hint="eastAsia"/>
                      <w:sz w:val="24"/>
                      <w:szCs w:val="24"/>
                    </w:rPr>
                    <w:t>用于平台维护</w:t>
                  </w:r>
                </w:p>
              </w:tc>
            </w:tr>
            <w:tr w14:paraId="096FCCD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81" w:type="dxa"/>
                </w:tcPr>
                <w:p w14:paraId="148CBBD0">
                  <w:pPr>
                    <w:jc w:val="center"/>
                    <w:rPr>
                      <w:sz w:val="24"/>
                      <w:szCs w:val="24"/>
                    </w:rPr>
                  </w:pPr>
                  <w:r>
                    <w:rPr>
                      <w:rFonts w:hint="eastAsia"/>
                      <w:sz w:val="24"/>
                      <w:szCs w:val="24"/>
                    </w:rPr>
                    <w:t>5</w:t>
                  </w:r>
                </w:p>
              </w:tc>
              <w:tc>
                <w:tcPr>
                  <w:tcW w:w="2835" w:type="dxa"/>
                </w:tcPr>
                <w:p w14:paraId="760DE0C5">
                  <w:pPr>
                    <w:jc w:val="center"/>
                    <w:rPr>
                      <w:sz w:val="24"/>
                      <w:szCs w:val="24"/>
                    </w:rPr>
                  </w:pPr>
                  <w:r>
                    <w:rPr>
                      <w:rFonts w:hint="eastAsia"/>
                      <w:sz w:val="24"/>
                      <w:szCs w:val="24"/>
                    </w:rPr>
                    <w:t>数据源购买费</w:t>
                  </w:r>
                </w:p>
              </w:tc>
              <w:tc>
                <w:tcPr>
                  <w:tcW w:w="1276" w:type="dxa"/>
                </w:tcPr>
                <w:p w14:paraId="0D74D558">
                  <w:pPr>
                    <w:jc w:val="center"/>
                    <w:rPr>
                      <w:sz w:val="24"/>
                      <w:szCs w:val="24"/>
                    </w:rPr>
                  </w:pPr>
                  <w:r>
                    <w:rPr>
                      <w:sz w:val="24"/>
                      <w:szCs w:val="24"/>
                    </w:rPr>
                    <w:t>2500</w:t>
                  </w:r>
                </w:p>
              </w:tc>
              <w:tc>
                <w:tcPr>
                  <w:tcW w:w="3473" w:type="dxa"/>
                  <w:gridSpan w:val="2"/>
                </w:tcPr>
                <w:p w14:paraId="56294CB0">
                  <w:pPr>
                    <w:jc w:val="center"/>
                    <w:rPr>
                      <w:sz w:val="24"/>
                      <w:szCs w:val="24"/>
                    </w:rPr>
                  </w:pPr>
                  <w:r>
                    <w:rPr>
                      <w:rFonts w:hint="eastAsia"/>
                      <w:sz w:val="24"/>
                      <w:szCs w:val="24"/>
                    </w:rPr>
                    <w:t>用于数据购买等</w:t>
                  </w:r>
                </w:p>
              </w:tc>
            </w:tr>
            <w:tr w14:paraId="0340CA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81" w:type="dxa"/>
                  <w:tcBorders>
                    <w:bottom w:val="single" w:color="auto" w:sz="4" w:space="0"/>
                  </w:tcBorders>
                </w:tcPr>
                <w:p w14:paraId="2112F45B">
                  <w:pPr>
                    <w:jc w:val="center"/>
                    <w:rPr>
                      <w:sz w:val="24"/>
                      <w:szCs w:val="24"/>
                    </w:rPr>
                  </w:pPr>
                  <w:r>
                    <w:rPr>
                      <w:rFonts w:hint="eastAsia"/>
                      <w:sz w:val="24"/>
                      <w:szCs w:val="24"/>
                    </w:rPr>
                    <w:t>合计</w:t>
                  </w:r>
                </w:p>
              </w:tc>
              <w:tc>
                <w:tcPr>
                  <w:tcW w:w="4951" w:type="dxa"/>
                  <w:gridSpan w:val="3"/>
                  <w:tcBorders>
                    <w:bottom w:val="single" w:color="auto" w:sz="4" w:space="0"/>
                  </w:tcBorders>
                </w:tcPr>
                <w:p w14:paraId="6F351821">
                  <w:pPr>
                    <w:jc w:val="center"/>
                    <w:rPr>
                      <w:sz w:val="24"/>
                      <w:szCs w:val="24"/>
                    </w:rPr>
                  </w:pPr>
                  <w:r>
                    <w:rPr>
                      <w:rFonts w:hint="eastAsia"/>
                      <w:sz w:val="24"/>
                      <w:szCs w:val="24"/>
                    </w:rPr>
                    <w:t>大写：壹</w:t>
                  </w:r>
                  <w:r>
                    <w:rPr>
                      <w:rFonts w:hint="eastAsia" w:ascii="宋体" w:hAnsi="宋体"/>
                      <w:sz w:val="24"/>
                      <w:szCs w:val="24"/>
                    </w:rPr>
                    <w:t>万肆仟零佰零拾零元零角零分</w:t>
                  </w:r>
                </w:p>
              </w:tc>
              <w:tc>
                <w:tcPr>
                  <w:tcW w:w="2633" w:type="dxa"/>
                  <w:tcBorders>
                    <w:bottom w:val="single" w:color="auto" w:sz="4" w:space="0"/>
                  </w:tcBorders>
                </w:tcPr>
                <w:p w14:paraId="62EB985B">
                  <w:pPr>
                    <w:jc w:val="center"/>
                    <w:rPr>
                      <w:sz w:val="24"/>
                      <w:szCs w:val="24"/>
                    </w:rPr>
                  </w:pPr>
                  <w:r>
                    <w:rPr>
                      <w:rFonts w:hint="eastAsia"/>
                      <w:sz w:val="24"/>
                      <w:szCs w:val="24"/>
                    </w:rPr>
                    <w:t>1</w:t>
                  </w:r>
                  <w:r>
                    <w:rPr>
                      <w:sz w:val="24"/>
                      <w:szCs w:val="24"/>
                    </w:rPr>
                    <w:t>4000</w:t>
                  </w:r>
                </w:p>
              </w:tc>
            </w:tr>
          </w:tbl>
          <w:p w14:paraId="679EC83D">
            <w:pPr>
              <w:rPr>
                <w:rFonts w:hint="eastAsia" w:ascii="宋体" w:hAnsi="宋体" w:cs="宋体"/>
              </w:rPr>
            </w:pPr>
          </w:p>
          <w:p w14:paraId="5174B031">
            <w:pPr>
              <w:rPr>
                <w:rFonts w:hint="eastAsia" w:ascii="宋体" w:hAnsi="宋体"/>
                <w:b/>
                <w:bCs/>
                <w:sz w:val="24"/>
                <w:szCs w:val="21"/>
              </w:rPr>
            </w:pPr>
          </w:p>
          <w:p w14:paraId="04982517">
            <w:pPr>
              <w:rPr>
                <w:rFonts w:hint="eastAsia" w:ascii="宋体" w:hAnsi="宋体"/>
                <w:b/>
                <w:bCs/>
                <w:sz w:val="24"/>
                <w:szCs w:val="21"/>
              </w:rPr>
            </w:pPr>
          </w:p>
          <w:p w14:paraId="2DE1C7B4">
            <w:pPr>
              <w:rPr>
                <w:rFonts w:hint="eastAsia" w:ascii="宋体" w:hAnsi="宋体"/>
                <w:b/>
                <w:bCs/>
                <w:sz w:val="24"/>
                <w:szCs w:val="21"/>
              </w:rPr>
            </w:pPr>
          </w:p>
          <w:p w14:paraId="60B9578C">
            <w:pPr>
              <w:rPr>
                <w:rFonts w:hint="eastAsia" w:ascii="宋体" w:hAnsi="宋体"/>
                <w:b/>
                <w:bCs/>
                <w:sz w:val="24"/>
                <w:szCs w:val="21"/>
              </w:rPr>
            </w:pPr>
          </w:p>
          <w:p w14:paraId="5BD39C4D">
            <w:pPr>
              <w:rPr>
                <w:rFonts w:hint="eastAsia" w:ascii="宋体" w:hAnsi="宋体"/>
                <w:b/>
                <w:bCs/>
                <w:sz w:val="24"/>
                <w:szCs w:val="21"/>
              </w:rPr>
            </w:pPr>
          </w:p>
          <w:p w14:paraId="6020119C">
            <w:pPr>
              <w:rPr>
                <w:rFonts w:hint="eastAsia" w:ascii="宋体" w:hAnsi="宋体"/>
                <w:b/>
                <w:bCs/>
                <w:szCs w:val="21"/>
              </w:rPr>
            </w:pPr>
          </w:p>
        </w:tc>
      </w:tr>
      <w:tr w14:paraId="5ABF8F8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420" w:hRule="atLeast"/>
        </w:trPr>
        <w:tc>
          <w:tcPr>
            <w:tcW w:w="8500" w:type="dxa"/>
            <w:gridSpan w:val="6"/>
            <w:tcBorders>
              <w:top w:val="single" w:color="auto" w:sz="4" w:space="0"/>
              <w:left w:val="single" w:color="auto" w:sz="8" w:space="0"/>
              <w:bottom w:val="single" w:color="auto" w:sz="4" w:space="0"/>
              <w:right w:val="single" w:color="auto" w:sz="8" w:space="0"/>
            </w:tcBorders>
            <w:vAlign w:val="center"/>
          </w:tcPr>
          <w:p w14:paraId="2D777490">
            <w:pPr>
              <w:jc w:val="center"/>
              <w:rPr>
                <w:rFonts w:hint="eastAsia" w:ascii="宋体" w:hAnsi="宋体"/>
                <w:b/>
                <w:bCs/>
                <w:sz w:val="28"/>
              </w:rPr>
            </w:pPr>
            <w:r>
              <w:rPr>
                <w:rFonts w:hint="eastAsia" w:ascii="宋体" w:hAnsi="宋体"/>
                <w:b/>
                <w:bCs/>
                <w:sz w:val="28"/>
              </w:rPr>
              <w:t>八、下一阶段研究计划和预期成果</w:t>
            </w:r>
          </w:p>
        </w:tc>
      </w:tr>
      <w:tr w14:paraId="1AB19F1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9710" w:hRule="atLeast"/>
        </w:trPr>
        <w:tc>
          <w:tcPr>
            <w:tcW w:w="8500" w:type="dxa"/>
            <w:gridSpan w:val="6"/>
            <w:tcBorders>
              <w:top w:val="single" w:color="auto" w:sz="4" w:space="0"/>
              <w:left w:val="single" w:color="auto" w:sz="8" w:space="0"/>
              <w:bottom w:val="single" w:color="auto" w:sz="4" w:space="0"/>
              <w:right w:val="single" w:color="auto" w:sz="8" w:space="0"/>
            </w:tcBorders>
            <w:vAlign w:val="center"/>
          </w:tcPr>
          <w:p w14:paraId="01F2185F">
            <w:pPr>
              <w:ind w:firstLine="420"/>
              <w:rPr>
                <w:rFonts w:hint="eastAsia" w:ascii="宋体" w:hAnsi="宋体" w:cs="宋体"/>
                <w:sz w:val="24"/>
              </w:rPr>
            </w:pPr>
            <w:r>
              <w:rPr>
                <w:rFonts w:hint="eastAsia" w:ascii="宋体" w:hAnsi="宋体" w:cs="宋体"/>
                <w:sz w:val="24"/>
              </w:rPr>
              <w:t>8.1【下一阶段研究计划】</w:t>
            </w:r>
          </w:p>
          <w:p w14:paraId="3F9D9E52">
            <w:pPr>
              <w:ind w:firstLine="420"/>
              <w:rPr>
                <w:rFonts w:hint="eastAsia" w:ascii="宋体" w:hAnsi="宋体" w:cs="宋体"/>
                <w:sz w:val="24"/>
              </w:rPr>
            </w:pPr>
            <w:r>
              <w:rPr>
                <w:rFonts w:ascii="宋体" w:hAnsi="宋体" w:cs="宋体"/>
                <w:sz w:val="24"/>
              </w:rPr>
              <w:t>下一阶段，项目将围绕“系统产品化打磨”和“技术深度拓展”两条主线并行推进。在平台升级方面，首要任务是将当前运行于实验室PC环境的Django服务完整迁移至树莓派5嵌入式平台。这涉及跨体系结构的依赖适配、MySQL数据库的轻量化调优（针对ARM架构和SD卡存储特性优化I/O策略）以及系统服务的高可用配置（基于systemd实现进程守护和异常自动恢复）。在此基础上，通过frp内网穿透工具与DDNS动态域名解析服务的组合部署，使原本局限于实验室WiFi局域网的系统具备广域网访问能力，任何跑者在任意网络环境中均可通过浏览器或移动端安全接入个人训练数据。前端优化方面，将对现有界面进行以移动端优先（Mobile First）的响应式改造，针对触屏操作优化信息架构和交互手势，引入暗色模式、数据导出（PDF/CSV）等实用功能，并探索基于渐进式Web应用（PWA）技术实现“添加到主屏幕”的能力，弥合网页端与原生App的体验差距。</w:t>
            </w:r>
          </w:p>
          <w:p w14:paraId="1CCF9745">
            <w:pPr>
              <w:ind w:firstLine="420"/>
              <w:rPr>
                <w:rFonts w:hint="eastAsia" w:ascii="宋体" w:hAnsi="宋体" w:cs="宋体"/>
                <w:sz w:val="24"/>
              </w:rPr>
            </w:pPr>
            <w:r>
              <w:rPr>
                <w:rFonts w:hint="eastAsia" w:ascii="宋体" w:hAnsi="宋体" w:cs="宋体"/>
                <w:sz w:val="24"/>
              </w:rPr>
              <w:t>在硬件迭代方面，将启动第二代原理样机的开发工作。核心任务是对ESP32主控及其外围电路（传感器接口、电源管理、充电管理）进行PCB定制设计，从当前基于开发板的飞线原型升级为一体化PCB板级方案。通过合理规划元器件布局和走线优化，目标是将主板面积在现有基础上缩减60%以上，同时通过天线阻抗匹配优化来保证无线通信的稳定性和通信距离不因体积缩小而衰减。此外，将采用更高能量密度的锂聚合物电池替代当前使用的18650钢壳电池，进一步减轻设备整体重量，提升长时间佩戴的舒适度。</w:t>
            </w:r>
          </w:p>
          <w:p w14:paraId="62EAF6A0">
            <w:pPr>
              <w:ind w:firstLine="420"/>
              <w:rPr>
                <w:rFonts w:hint="eastAsia" w:ascii="宋体" w:hAnsi="宋体" w:cs="宋体"/>
                <w:sz w:val="24"/>
              </w:rPr>
            </w:pPr>
            <w:r>
              <w:rPr>
                <w:rFonts w:ascii="宋体" w:hAnsi="宋体" w:cs="宋体"/>
                <w:sz w:val="24"/>
              </w:rPr>
              <w:t>【成果预期规划】在竞赛与学术维度，团队计划以项目的阶段性创新成果为核心，积极参加全国大学生物联网设计竞赛</w:t>
            </w:r>
            <w:r>
              <w:rPr>
                <w:rFonts w:hint="eastAsia" w:ascii="宋体" w:hAnsi="宋体" w:cs="宋体"/>
                <w:sz w:val="24"/>
                <w:lang w:val="en-US" w:eastAsia="zh-CN"/>
              </w:rPr>
              <w:t>这种</w:t>
            </w:r>
            <w:r>
              <w:rPr>
                <w:rFonts w:ascii="宋体" w:hAnsi="宋体" w:cs="宋体"/>
                <w:sz w:val="24"/>
              </w:rPr>
              <w:t>国家级A类学科竞赛，力争在技术创新和产品设计类别中获得认可。在知识产权维度，计划提交实用新型专利申请1项（围绕智能鞋垫的结构设计与传感器布局方案），完成跑步姿态分析与可视化平台软件的著作权登记1项。在产业化探索维度，项目后期将主动对接智能硬件产业链上下游资源，与运动装备品牌商或ODM厂商开展技术交流与合作洽谈，完成产品工程样机的小批量试制，并针对大众消费级运动健康市场和专业跑团/田径队等B端场景分别拟定差异化的产品方案。项目结题后，团队将积极推动成果落地转化，力争在12个月内完成产品化设计定型并启动小规模用户试用，为智能可穿戴运动装备的国产化贡献一份实践力量。</w:t>
            </w:r>
          </w:p>
          <w:p w14:paraId="6B0439AE">
            <w:pPr>
              <w:rPr>
                <w:rFonts w:hint="eastAsia" w:ascii="宋体" w:hAnsi="宋体"/>
                <w:b/>
                <w:bCs/>
                <w:sz w:val="24"/>
              </w:rPr>
            </w:pPr>
          </w:p>
          <w:p w14:paraId="1C25B516">
            <w:pPr>
              <w:rPr>
                <w:rFonts w:hint="eastAsia" w:ascii="宋体" w:hAnsi="宋体"/>
                <w:b/>
                <w:bCs/>
                <w:sz w:val="24"/>
              </w:rPr>
            </w:pPr>
          </w:p>
          <w:p w14:paraId="6DA0BD9E">
            <w:pPr>
              <w:rPr>
                <w:rFonts w:hint="eastAsia" w:ascii="宋体" w:hAnsi="宋体"/>
                <w:b/>
                <w:bCs/>
                <w:sz w:val="24"/>
              </w:rPr>
            </w:pPr>
          </w:p>
          <w:p w14:paraId="4A97522E">
            <w:pPr>
              <w:rPr>
                <w:rFonts w:hint="eastAsia" w:ascii="宋体" w:hAnsi="宋体"/>
                <w:b/>
                <w:bCs/>
                <w:sz w:val="24"/>
              </w:rPr>
            </w:pPr>
          </w:p>
          <w:p w14:paraId="2A388B40">
            <w:pPr>
              <w:rPr>
                <w:rFonts w:hint="eastAsia" w:ascii="宋体" w:hAnsi="宋体"/>
                <w:b/>
                <w:bCs/>
                <w:sz w:val="24"/>
              </w:rPr>
            </w:pPr>
          </w:p>
          <w:p w14:paraId="5642D63D">
            <w:pPr>
              <w:rPr>
                <w:rFonts w:hint="eastAsia" w:ascii="宋体" w:hAnsi="宋体"/>
                <w:b/>
                <w:bCs/>
                <w:sz w:val="24"/>
              </w:rPr>
            </w:pPr>
          </w:p>
          <w:p w14:paraId="5D21C0A5">
            <w:pPr>
              <w:rPr>
                <w:rFonts w:hint="eastAsia" w:ascii="宋体" w:hAnsi="宋体"/>
                <w:b/>
                <w:bCs/>
                <w:sz w:val="24"/>
              </w:rPr>
            </w:pPr>
          </w:p>
          <w:p w14:paraId="72E855A7">
            <w:pPr>
              <w:rPr>
                <w:rFonts w:hint="eastAsia" w:ascii="宋体" w:hAnsi="宋体"/>
                <w:b/>
                <w:bCs/>
                <w:sz w:val="24"/>
              </w:rPr>
            </w:pPr>
          </w:p>
          <w:p w14:paraId="562ACE18">
            <w:pPr>
              <w:rPr>
                <w:rFonts w:hint="eastAsia" w:ascii="宋体" w:hAnsi="宋体"/>
                <w:b/>
                <w:bCs/>
                <w:sz w:val="24"/>
              </w:rPr>
            </w:pPr>
          </w:p>
          <w:p w14:paraId="4331543F">
            <w:pPr>
              <w:rPr>
                <w:rFonts w:hint="eastAsia" w:ascii="宋体" w:hAnsi="宋体"/>
                <w:b/>
                <w:bCs/>
                <w:sz w:val="24"/>
              </w:rPr>
            </w:pPr>
          </w:p>
          <w:p w14:paraId="5679D372">
            <w:pPr>
              <w:rPr>
                <w:rFonts w:hint="eastAsia" w:ascii="宋体" w:hAnsi="宋体"/>
                <w:b/>
                <w:bCs/>
                <w:sz w:val="24"/>
              </w:rPr>
            </w:pPr>
          </w:p>
        </w:tc>
      </w:tr>
      <w:tr w14:paraId="1B25520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314" w:hRule="atLeast"/>
        </w:trPr>
        <w:tc>
          <w:tcPr>
            <w:tcW w:w="8500" w:type="dxa"/>
            <w:gridSpan w:val="6"/>
            <w:tcBorders>
              <w:top w:val="single" w:color="auto" w:sz="4" w:space="0"/>
              <w:left w:val="single" w:color="auto" w:sz="8" w:space="0"/>
              <w:bottom w:val="single" w:color="auto" w:sz="4" w:space="0"/>
              <w:right w:val="single" w:color="auto" w:sz="8" w:space="0"/>
            </w:tcBorders>
            <w:vAlign w:val="center"/>
          </w:tcPr>
          <w:p w14:paraId="2B313E07">
            <w:pPr>
              <w:jc w:val="center"/>
              <w:rPr>
                <w:rFonts w:hint="eastAsia" w:ascii="宋体" w:hAnsi="宋体"/>
                <w:b/>
                <w:bCs/>
                <w:sz w:val="28"/>
              </w:rPr>
            </w:pPr>
            <w:r>
              <w:rPr>
                <w:rFonts w:hint="eastAsia" w:ascii="宋体" w:hAnsi="宋体"/>
                <w:b/>
                <w:bCs/>
                <w:sz w:val="28"/>
              </w:rPr>
              <w:t>九、全体成员确认签字</w:t>
            </w:r>
          </w:p>
        </w:tc>
      </w:tr>
      <w:tr w14:paraId="11A64DA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930" w:hRule="atLeast"/>
        </w:trPr>
        <w:tc>
          <w:tcPr>
            <w:tcW w:w="8500" w:type="dxa"/>
            <w:gridSpan w:val="6"/>
            <w:tcBorders>
              <w:top w:val="single" w:color="auto" w:sz="4" w:space="0"/>
              <w:left w:val="single" w:color="auto" w:sz="4" w:space="0"/>
              <w:bottom w:val="single" w:color="auto" w:sz="4" w:space="0"/>
              <w:right w:val="single" w:color="auto" w:sz="4" w:space="0"/>
            </w:tcBorders>
            <w:vAlign w:val="center"/>
          </w:tcPr>
          <w:p w14:paraId="01C7EACD">
            <w:pPr>
              <w:pStyle w:val="6"/>
              <w:spacing w:line="360" w:lineRule="auto"/>
              <w:ind w:firstLine="480" w:firstLineChars="200"/>
              <w:rPr>
                <w:rFonts w:hint="eastAsia" w:hAnsi="宋体" w:cs="幼圆"/>
                <w:sz w:val="24"/>
                <w:szCs w:val="24"/>
              </w:rPr>
            </w:pPr>
            <w:r>
              <w:rPr>
                <w:rFonts w:hint="eastAsia" w:hAnsi="宋体" w:cs="幼圆"/>
                <w:sz w:val="24"/>
                <w:szCs w:val="24"/>
              </w:rPr>
              <w:t>以上内容均为项目实际情况，项目组全体成员承诺按计划开展项目工作，完成预期成果和阶段研究计划。</w:t>
            </w:r>
          </w:p>
          <w:p w14:paraId="6D87664E">
            <w:pPr>
              <w:pStyle w:val="6"/>
              <w:spacing w:line="360" w:lineRule="auto"/>
              <w:ind w:left="611" w:leftChars="291"/>
              <w:rPr>
                <w:rFonts w:hint="eastAsia" w:hAnsi="宋体" w:cs="幼圆"/>
                <w:sz w:val="24"/>
                <w:szCs w:val="24"/>
              </w:rPr>
            </w:pPr>
          </w:p>
          <w:p w14:paraId="7E6CA224">
            <w:pPr>
              <w:pStyle w:val="6"/>
              <w:spacing w:line="360" w:lineRule="auto"/>
              <w:ind w:left="611" w:leftChars="291"/>
              <w:rPr>
                <w:rFonts w:hint="eastAsia" w:hAnsi="宋体" w:cs="幼圆"/>
                <w:sz w:val="24"/>
                <w:szCs w:val="24"/>
              </w:rPr>
            </w:pPr>
          </w:p>
          <w:p w14:paraId="28952DE6">
            <w:pPr>
              <w:pStyle w:val="6"/>
              <w:spacing w:line="360" w:lineRule="auto"/>
              <w:ind w:left="611" w:leftChars="291"/>
              <w:rPr>
                <w:rFonts w:hint="eastAsia" w:hAnsi="宋体" w:cs="幼圆"/>
                <w:sz w:val="24"/>
                <w:szCs w:val="24"/>
              </w:rPr>
            </w:pPr>
          </w:p>
          <w:p w14:paraId="7E0E9CE7">
            <w:pPr>
              <w:pStyle w:val="6"/>
              <w:spacing w:line="360" w:lineRule="auto"/>
              <w:ind w:left="611" w:leftChars="291"/>
              <w:rPr>
                <w:rFonts w:hint="eastAsia" w:hAnsi="宋体" w:cs="幼圆"/>
              </w:rPr>
            </w:pPr>
            <w:r>
              <w:rPr>
                <w:rFonts w:hint="eastAsia" w:hAnsi="宋体" w:cs="幼圆"/>
                <w:sz w:val="24"/>
                <w:szCs w:val="24"/>
              </w:rPr>
              <w:t>全体项目组成员签字：</w:t>
            </w:r>
            <w:bookmarkStart w:id="0" w:name="_GoBack"/>
            <w:bookmarkEnd w:id="0"/>
          </w:p>
        </w:tc>
      </w:tr>
    </w:tbl>
    <w:p w14:paraId="33FD7302">
      <w:pPr>
        <w:spacing w:line="440" w:lineRule="exact"/>
      </w:pPr>
      <w:r>
        <w:rPr>
          <w:rFonts w:hint="eastAsia"/>
        </w:rPr>
        <w:t>注：项目佐证材料附于此页后。本表格全体成员手写签字后，扫描PDF上传系统。</w:t>
      </w:r>
    </w:p>
    <w:sectPr>
      <w:pgSz w:w="11906" w:h="16838"/>
      <w:pgMar w:top="1418" w:right="1797" w:bottom="1418" w:left="1797" w:header="851" w:footer="992"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KaiTi_GB2312">
    <w:altName w:val="华文宋体"/>
    <w:panose1 w:val="02010609060101010101"/>
    <w:charset w:val="86"/>
    <w:family w:val="modern"/>
    <w:pitch w:val="default"/>
    <w:sig w:usb0="00000000" w:usb1="00000000" w:usb2="00000016" w:usb3="00000000" w:csb0="00040001" w:csb1="00000000"/>
  </w:font>
  <w:font w:name="FangSong_GB2312">
    <w:altName w:val="仿宋"/>
    <w:panose1 w:val="00020600040101010101"/>
    <w:charset w:val="86"/>
    <w:family w:val="modern"/>
    <w:pitch w:val="default"/>
    <w:sig w:usb0="00000000" w:usb1="00000000" w:usb2="00000016" w:usb3="00000000" w:csb0="0004009F" w:csb1="DFD70000"/>
  </w:font>
  <w:font w:name="幼圆">
    <w:panose1 w:val="02010509060101010101"/>
    <w:charset w:val="86"/>
    <w:family w:val="modern"/>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华文宋体">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A97FC">
    <w:pPr>
      <w:pStyle w:val="9"/>
      <w:jc w:val="center"/>
    </w:pPr>
    <w:r>
      <w:fldChar w:fldCharType="begin"/>
    </w:r>
    <w:r>
      <w:instrText xml:space="preserve"> PAGE   \* MERGEFORMAT </w:instrText>
    </w:r>
    <w:r>
      <w:fldChar w:fldCharType="separate"/>
    </w:r>
    <w:r>
      <w:rPr>
        <w:lang w:val="zh-CN"/>
      </w:rPr>
      <w:t>2</w:t>
    </w:r>
    <w:r>
      <w:rPr>
        <w:lang w:val="zh-CN"/>
      </w:rPr>
      <w:fldChar w:fldCharType="end"/>
    </w:r>
  </w:p>
  <w:p w14:paraId="52859C42">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04899">
    <w:pPr>
      <w:pStyle w:val="9"/>
      <w:jc w:val="center"/>
    </w:pPr>
    <w:r>
      <w:fldChar w:fldCharType="begin"/>
    </w:r>
    <w:r>
      <w:instrText xml:space="preserve"> PAGE   \* MERGEFORMAT </w:instrText>
    </w:r>
    <w:r>
      <w:fldChar w:fldCharType="separate"/>
    </w:r>
    <w:r>
      <w:rPr>
        <w:lang w:val="zh-CN"/>
      </w:rPr>
      <w:t>3</w:t>
    </w:r>
    <w:r>
      <w:rPr>
        <w:lang w:val="zh-CN"/>
      </w:rPr>
      <w:fldChar w:fldCharType="end"/>
    </w:r>
  </w:p>
  <w:p w14:paraId="2B3DEF1F">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BECFEC"/>
    <w:multiLevelType w:val="singleLevel"/>
    <w:tmpl w:val="AEBECFEC"/>
    <w:lvl w:ilvl="0" w:tentative="0">
      <w:start w:val="5"/>
      <w:numFmt w:val="chineseCounting"/>
      <w:suff w:val="nothing"/>
      <w:lvlText w:val="%1、"/>
      <w:lvlJc w:val="left"/>
      <w:rPr>
        <w:rFonts w:hint="eastAsia"/>
      </w:rPr>
    </w:lvl>
  </w:abstractNum>
  <w:abstractNum w:abstractNumId="1">
    <w:nsid w:val="175128A1"/>
    <w:multiLevelType w:val="multilevel"/>
    <w:tmpl w:val="175128A1"/>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5EC73601"/>
    <w:multiLevelType w:val="multilevel"/>
    <w:tmpl w:val="5EC73601"/>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k5OTY0NGRhOGMwOWRmMzZmMDQwOGJjYjRmOGY3ZDgifQ=="/>
  </w:docVars>
  <w:rsids>
    <w:rsidRoot w:val="00956FFA"/>
    <w:rsid w:val="0000024D"/>
    <w:rsid w:val="000070E8"/>
    <w:rsid w:val="00024F65"/>
    <w:rsid w:val="00057FFD"/>
    <w:rsid w:val="00071DF3"/>
    <w:rsid w:val="00071EB7"/>
    <w:rsid w:val="00072512"/>
    <w:rsid w:val="0008093B"/>
    <w:rsid w:val="00083C56"/>
    <w:rsid w:val="000A239D"/>
    <w:rsid w:val="000A473B"/>
    <w:rsid w:val="000A634C"/>
    <w:rsid w:val="000B550A"/>
    <w:rsid w:val="000C30C4"/>
    <w:rsid w:val="000D3C17"/>
    <w:rsid w:val="000E33F3"/>
    <w:rsid w:val="000F3E57"/>
    <w:rsid w:val="00100E02"/>
    <w:rsid w:val="0010328D"/>
    <w:rsid w:val="00113EA7"/>
    <w:rsid w:val="0012444A"/>
    <w:rsid w:val="00126462"/>
    <w:rsid w:val="001405AB"/>
    <w:rsid w:val="00142CF8"/>
    <w:rsid w:val="00143C96"/>
    <w:rsid w:val="00172C8C"/>
    <w:rsid w:val="00172F76"/>
    <w:rsid w:val="00183BF7"/>
    <w:rsid w:val="00190B01"/>
    <w:rsid w:val="001A2AD0"/>
    <w:rsid w:val="001A77A6"/>
    <w:rsid w:val="001B523B"/>
    <w:rsid w:val="001C18EA"/>
    <w:rsid w:val="001C570F"/>
    <w:rsid w:val="001E3233"/>
    <w:rsid w:val="001E50AB"/>
    <w:rsid w:val="00205E59"/>
    <w:rsid w:val="002104F1"/>
    <w:rsid w:val="002141E8"/>
    <w:rsid w:val="002234C3"/>
    <w:rsid w:val="00224AF5"/>
    <w:rsid w:val="00232261"/>
    <w:rsid w:val="00242666"/>
    <w:rsid w:val="002727E2"/>
    <w:rsid w:val="00274A7B"/>
    <w:rsid w:val="00283147"/>
    <w:rsid w:val="002849F3"/>
    <w:rsid w:val="00297483"/>
    <w:rsid w:val="002A6C88"/>
    <w:rsid w:val="002C582A"/>
    <w:rsid w:val="002D0C2F"/>
    <w:rsid w:val="002D62CE"/>
    <w:rsid w:val="002E3E40"/>
    <w:rsid w:val="00303955"/>
    <w:rsid w:val="00311993"/>
    <w:rsid w:val="00332B3D"/>
    <w:rsid w:val="0034547A"/>
    <w:rsid w:val="0034600A"/>
    <w:rsid w:val="00357405"/>
    <w:rsid w:val="00361B55"/>
    <w:rsid w:val="00377893"/>
    <w:rsid w:val="00390368"/>
    <w:rsid w:val="00393FDA"/>
    <w:rsid w:val="003A2DAA"/>
    <w:rsid w:val="003A4B11"/>
    <w:rsid w:val="003A5DAB"/>
    <w:rsid w:val="003C25F2"/>
    <w:rsid w:val="003C34DB"/>
    <w:rsid w:val="003D276F"/>
    <w:rsid w:val="003F67DC"/>
    <w:rsid w:val="00407653"/>
    <w:rsid w:val="004444CA"/>
    <w:rsid w:val="00446584"/>
    <w:rsid w:val="00446BFB"/>
    <w:rsid w:val="004514C0"/>
    <w:rsid w:val="00484288"/>
    <w:rsid w:val="004960B2"/>
    <w:rsid w:val="004A1B00"/>
    <w:rsid w:val="004A27DE"/>
    <w:rsid w:val="004A447C"/>
    <w:rsid w:val="004A622B"/>
    <w:rsid w:val="004B406B"/>
    <w:rsid w:val="004C17B2"/>
    <w:rsid w:val="004C2971"/>
    <w:rsid w:val="005051D0"/>
    <w:rsid w:val="00507A95"/>
    <w:rsid w:val="0052753C"/>
    <w:rsid w:val="00544C58"/>
    <w:rsid w:val="0057537A"/>
    <w:rsid w:val="00585279"/>
    <w:rsid w:val="00585AD7"/>
    <w:rsid w:val="005901FF"/>
    <w:rsid w:val="005D31CD"/>
    <w:rsid w:val="005D4531"/>
    <w:rsid w:val="005E20B8"/>
    <w:rsid w:val="006412FF"/>
    <w:rsid w:val="00642686"/>
    <w:rsid w:val="00652BE5"/>
    <w:rsid w:val="006557CA"/>
    <w:rsid w:val="00660464"/>
    <w:rsid w:val="0067565B"/>
    <w:rsid w:val="0069330A"/>
    <w:rsid w:val="00695483"/>
    <w:rsid w:val="00696979"/>
    <w:rsid w:val="006A75EB"/>
    <w:rsid w:val="006B03DC"/>
    <w:rsid w:val="006D5702"/>
    <w:rsid w:val="006F310D"/>
    <w:rsid w:val="00701D5E"/>
    <w:rsid w:val="007232EA"/>
    <w:rsid w:val="00740C02"/>
    <w:rsid w:val="00754459"/>
    <w:rsid w:val="00781B5D"/>
    <w:rsid w:val="00785CAD"/>
    <w:rsid w:val="007B69F9"/>
    <w:rsid w:val="007E1504"/>
    <w:rsid w:val="0080195A"/>
    <w:rsid w:val="0082751D"/>
    <w:rsid w:val="0083338A"/>
    <w:rsid w:val="0084131F"/>
    <w:rsid w:val="008434EF"/>
    <w:rsid w:val="00856FF6"/>
    <w:rsid w:val="00867E0D"/>
    <w:rsid w:val="008A7A31"/>
    <w:rsid w:val="008B1A1A"/>
    <w:rsid w:val="008B3012"/>
    <w:rsid w:val="008B7825"/>
    <w:rsid w:val="008C7007"/>
    <w:rsid w:val="00904FBA"/>
    <w:rsid w:val="00905EF9"/>
    <w:rsid w:val="00906D17"/>
    <w:rsid w:val="009141BD"/>
    <w:rsid w:val="009147E9"/>
    <w:rsid w:val="009426A2"/>
    <w:rsid w:val="00950A2D"/>
    <w:rsid w:val="00956FFA"/>
    <w:rsid w:val="00962187"/>
    <w:rsid w:val="00964BE0"/>
    <w:rsid w:val="00971222"/>
    <w:rsid w:val="009936C6"/>
    <w:rsid w:val="00995259"/>
    <w:rsid w:val="009B6019"/>
    <w:rsid w:val="009B7798"/>
    <w:rsid w:val="009C26F7"/>
    <w:rsid w:val="009D60D5"/>
    <w:rsid w:val="009D79CA"/>
    <w:rsid w:val="00A03E31"/>
    <w:rsid w:val="00A16680"/>
    <w:rsid w:val="00A204AF"/>
    <w:rsid w:val="00A246E4"/>
    <w:rsid w:val="00A26E4B"/>
    <w:rsid w:val="00A27A82"/>
    <w:rsid w:val="00A359AA"/>
    <w:rsid w:val="00A4602F"/>
    <w:rsid w:val="00A5001B"/>
    <w:rsid w:val="00A57956"/>
    <w:rsid w:val="00A61033"/>
    <w:rsid w:val="00A619E4"/>
    <w:rsid w:val="00A96F90"/>
    <w:rsid w:val="00AA2D23"/>
    <w:rsid w:val="00AB1A2E"/>
    <w:rsid w:val="00AC684B"/>
    <w:rsid w:val="00AD6A34"/>
    <w:rsid w:val="00AF01DA"/>
    <w:rsid w:val="00AF3BE6"/>
    <w:rsid w:val="00AF56BD"/>
    <w:rsid w:val="00B012B7"/>
    <w:rsid w:val="00B029A6"/>
    <w:rsid w:val="00B111B7"/>
    <w:rsid w:val="00B145FE"/>
    <w:rsid w:val="00B42386"/>
    <w:rsid w:val="00B518A0"/>
    <w:rsid w:val="00B6003A"/>
    <w:rsid w:val="00B673B9"/>
    <w:rsid w:val="00B84C04"/>
    <w:rsid w:val="00BB5C89"/>
    <w:rsid w:val="00BC4BD6"/>
    <w:rsid w:val="00BF406A"/>
    <w:rsid w:val="00C03F40"/>
    <w:rsid w:val="00C06157"/>
    <w:rsid w:val="00C24F1A"/>
    <w:rsid w:val="00C509E1"/>
    <w:rsid w:val="00C513F2"/>
    <w:rsid w:val="00C51462"/>
    <w:rsid w:val="00C705B0"/>
    <w:rsid w:val="00C77275"/>
    <w:rsid w:val="00C8024D"/>
    <w:rsid w:val="00C91A23"/>
    <w:rsid w:val="00CA7280"/>
    <w:rsid w:val="00CB6691"/>
    <w:rsid w:val="00CF471E"/>
    <w:rsid w:val="00D00F5B"/>
    <w:rsid w:val="00D31102"/>
    <w:rsid w:val="00D40244"/>
    <w:rsid w:val="00D4278D"/>
    <w:rsid w:val="00D46B81"/>
    <w:rsid w:val="00D53BD2"/>
    <w:rsid w:val="00D57A91"/>
    <w:rsid w:val="00D679B6"/>
    <w:rsid w:val="00D808FD"/>
    <w:rsid w:val="00D818F9"/>
    <w:rsid w:val="00D81F13"/>
    <w:rsid w:val="00D95515"/>
    <w:rsid w:val="00DA3873"/>
    <w:rsid w:val="00DA5C0E"/>
    <w:rsid w:val="00DC3981"/>
    <w:rsid w:val="00DE2728"/>
    <w:rsid w:val="00E02A46"/>
    <w:rsid w:val="00E4315F"/>
    <w:rsid w:val="00E65ABB"/>
    <w:rsid w:val="00E71781"/>
    <w:rsid w:val="00E72727"/>
    <w:rsid w:val="00E7731D"/>
    <w:rsid w:val="00E776B9"/>
    <w:rsid w:val="00E80704"/>
    <w:rsid w:val="00E9659D"/>
    <w:rsid w:val="00EA166A"/>
    <w:rsid w:val="00EA7096"/>
    <w:rsid w:val="00EC254F"/>
    <w:rsid w:val="00ED0A92"/>
    <w:rsid w:val="00ED2362"/>
    <w:rsid w:val="00ED686C"/>
    <w:rsid w:val="00EE34C4"/>
    <w:rsid w:val="00F13023"/>
    <w:rsid w:val="00F14429"/>
    <w:rsid w:val="00F245E3"/>
    <w:rsid w:val="00F30513"/>
    <w:rsid w:val="00F50332"/>
    <w:rsid w:val="00F510AF"/>
    <w:rsid w:val="00F52FD4"/>
    <w:rsid w:val="00F66DDA"/>
    <w:rsid w:val="00F7021A"/>
    <w:rsid w:val="00F8164E"/>
    <w:rsid w:val="00F90449"/>
    <w:rsid w:val="00FA3F89"/>
    <w:rsid w:val="00FB65DC"/>
    <w:rsid w:val="00FC192C"/>
    <w:rsid w:val="00FD3B69"/>
    <w:rsid w:val="00FD5EE0"/>
    <w:rsid w:val="00FD6B1B"/>
    <w:rsid w:val="00FD6D7C"/>
    <w:rsid w:val="00FE1559"/>
    <w:rsid w:val="00FE2A36"/>
    <w:rsid w:val="066B2E66"/>
    <w:rsid w:val="0CAC63C3"/>
    <w:rsid w:val="0EB925AB"/>
    <w:rsid w:val="12C306CC"/>
    <w:rsid w:val="165F4807"/>
    <w:rsid w:val="198B3B37"/>
    <w:rsid w:val="1D4330A6"/>
    <w:rsid w:val="1EE12B77"/>
    <w:rsid w:val="2A2533E9"/>
    <w:rsid w:val="2DF70A01"/>
    <w:rsid w:val="2DF8688C"/>
    <w:rsid w:val="2E316055"/>
    <w:rsid w:val="30AF6FA9"/>
    <w:rsid w:val="353E4427"/>
    <w:rsid w:val="3B325C2E"/>
    <w:rsid w:val="3E682515"/>
    <w:rsid w:val="42130ECC"/>
    <w:rsid w:val="463F122D"/>
    <w:rsid w:val="477C00B0"/>
    <w:rsid w:val="492359B6"/>
    <w:rsid w:val="4B0A6F98"/>
    <w:rsid w:val="4D194164"/>
    <w:rsid w:val="4EE93347"/>
    <w:rsid w:val="51247B9B"/>
    <w:rsid w:val="54F72D5C"/>
    <w:rsid w:val="5AC72DCD"/>
    <w:rsid w:val="5D81555D"/>
    <w:rsid w:val="5FC30F01"/>
    <w:rsid w:val="60C60ACC"/>
    <w:rsid w:val="62194710"/>
    <w:rsid w:val="639257BA"/>
    <w:rsid w:val="63A72EBB"/>
    <w:rsid w:val="63B234ED"/>
    <w:rsid w:val="652D0651"/>
    <w:rsid w:val="6607003A"/>
    <w:rsid w:val="665E694E"/>
    <w:rsid w:val="6B973810"/>
    <w:rsid w:val="6C6D4269"/>
    <w:rsid w:val="6F797A68"/>
    <w:rsid w:val="6FEA072C"/>
    <w:rsid w:val="7DFF2A4E"/>
    <w:rsid w:val="932AD31B"/>
    <w:rsid w:val="EFAB10F2"/>
    <w:rsid w:val="EFFBA9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b/>
      <w:bCs/>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b/>
      <w:bCs/>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b/>
      <w:bCs/>
      <w:kern w:val="0"/>
      <w:sz w:val="24"/>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Plain Text"/>
    <w:basedOn w:val="1"/>
    <w:autoRedefine/>
    <w:qFormat/>
    <w:uiPriority w:val="0"/>
    <w:rPr>
      <w:rFonts w:ascii="宋体" w:hAnsi="Courier New" w:cs="宋体"/>
      <w:szCs w:val="21"/>
    </w:rPr>
  </w:style>
  <w:style w:type="paragraph" w:styleId="7">
    <w:name w:val="Date"/>
    <w:basedOn w:val="1"/>
    <w:next w:val="1"/>
    <w:autoRedefine/>
    <w:qFormat/>
    <w:uiPriority w:val="0"/>
    <w:pPr>
      <w:ind w:left="100" w:leftChars="2500"/>
    </w:pPr>
  </w:style>
  <w:style w:type="paragraph" w:styleId="8">
    <w:name w:val="Balloon Text"/>
    <w:basedOn w:val="1"/>
    <w:autoRedefine/>
    <w:semiHidden/>
    <w:qFormat/>
    <w:uiPriority w:val="0"/>
    <w:rPr>
      <w:sz w:val="18"/>
      <w:szCs w:val="18"/>
    </w:rPr>
  </w:style>
  <w:style w:type="paragraph" w:styleId="9">
    <w:name w:val="footer"/>
    <w:basedOn w:val="1"/>
    <w:link w:val="17"/>
    <w:autoRedefine/>
    <w:qFormat/>
    <w:uiPriority w:val="99"/>
    <w:pPr>
      <w:tabs>
        <w:tab w:val="center" w:pos="4153"/>
        <w:tab w:val="right" w:pos="8306"/>
      </w:tabs>
      <w:snapToGrid w:val="0"/>
      <w:jc w:val="left"/>
    </w:pPr>
    <w:rPr>
      <w:sz w:val="18"/>
      <w:szCs w:val="18"/>
    </w:rPr>
  </w:style>
  <w:style w:type="paragraph" w:styleId="10">
    <w:name w:val="header"/>
    <w:basedOn w:val="1"/>
    <w:link w:val="16"/>
    <w:autoRedefine/>
    <w:qFormat/>
    <w:uiPriority w:val="99"/>
    <w:pPr>
      <w:pBdr>
        <w:bottom w:val="single" w:color="auto" w:sz="6" w:space="1"/>
      </w:pBdr>
      <w:tabs>
        <w:tab w:val="center" w:pos="4153"/>
        <w:tab w:val="right" w:pos="8306"/>
      </w:tabs>
      <w:snapToGrid w:val="0"/>
      <w:jc w:val="center"/>
    </w:pPr>
    <w:rPr>
      <w:sz w:val="18"/>
      <w:szCs w:val="18"/>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autoRedefine/>
    <w:qFormat/>
    <w:uiPriority w:val="0"/>
    <w:rPr>
      <w:b/>
      <w:bCs/>
    </w:rPr>
  </w:style>
  <w:style w:type="character" w:styleId="15">
    <w:name w:val="Hyperlink"/>
    <w:basedOn w:val="13"/>
    <w:qFormat/>
    <w:uiPriority w:val="0"/>
    <w:rPr>
      <w:color w:val="0000FF"/>
      <w:u w:val="single"/>
    </w:rPr>
  </w:style>
  <w:style w:type="character" w:customStyle="1" w:styleId="16">
    <w:name w:val="页眉 字符"/>
    <w:basedOn w:val="13"/>
    <w:link w:val="10"/>
    <w:autoRedefine/>
    <w:qFormat/>
    <w:uiPriority w:val="99"/>
    <w:rPr>
      <w:kern w:val="2"/>
      <w:sz w:val="18"/>
      <w:szCs w:val="18"/>
    </w:rPr>
  </w:style>
  <w:style w:type="character" w:customStyle="1" w:styleId="17">
    <w:name w:val="页脚 字符"/>
    <w:basedOn w:val="13"/>
    <w:link w:val="9"/>
    <w:qFormat/>
    <w:uiPriority w:val="99"/>
    <w:rPr>
      <w:kern w:val="2"/>
      <w:sz w:val="18"/>
      <w:szCs w:val="18"/>
    </w:rPr>
  </w:style>
  <w:style w:type="paragraph" w:styleId="18">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19">
    <w:name w:val="不明显强调1"/>
    <w:basedOn w:val="13"/>
    <w:autoRedefine/>
    <w:qFormat/>
    <w:uiPriority w:val="19"/>
    <w:rPr>
      <w:i/>
      <w:iCs/>
      <w:color w:val="808080"/>
    </w:rPr>
  </w:style>
  <w:style w:type="character" w:customStyle="1" w:styleId="20">
    <w:name w:val="不明显参考1"/>
    <w:basedOn w:val="13"/>
    <w:qFormat/>
    <w:uiPriority w:val="31"/>
    <w:rPr>
      <w:smallCaps/>
      <w:color w:val="C0504D"/>
      <w:u w:val="single"/>
    </w:rPr>
  </w:style>
  <w:style w:type="paragraph" w:styleId="21">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ma="http://schemas.microsoft.com/office/2006/metadata/properties/metaAttributes" xmlns:ct="http://schemas.microsoft.com/office/2006/metadata/contentType" ma:contentTypeName="Unknown Document Type" ma:contentTypeVersion="0" ma:versionID="279c20c3caf3300dae6b438536eb8c56" ma:contentTypeDescription="" ct:_="" ma:_="" ma:contentTypeID="0x010104" ma:contentTypeScope="">
  <xsd:schema xmlns:p="http://schemas.microsoft.com/office/2006/metadata/properties" xmlns:xsd="http://www.w3.org/2001/XMLSchema" ma:root="true" ma:fieldsID="0d2e1ca116041f9e11471c52c4c9d602" targetNamespace="http://schemas.microsoft.com/office/2006/metadata/properties">
    <xsd:element name="properties">
      <xsd:complexType>
        <xsd:sequence>
          <xsd:element name="documentManagement">
            <xsd:complexType>
              <xsd:all/>
            </xsd:complexType>
          </xsd:element>
        </xsd:sequence>
      </xsd:complexType>
    </xsd:element>
  </xsd:schema>
  <xsd:schema xmlns:odoc="http://schemas.microsoft.com/office/internal/2005/internalDocumentation" xmlns:dcterms="http://purl.org/dc/terms/" xmlns:xsd="http://www.w3.org/2001/XMLSchema" xmlns:xsi="http://www.w3.org/2001/XMLSchema-instance" xmlns:dc="http://purl.org/dc/elements/1.1/" xmlns="http://schemas.openxmlformats.org/package/2006/metadata/core-properties" attributeFormDefault="unqualified" elementFormDefault="qualified" targetNamespace="http://schemas.openxmlformats.org/package/2006/metadata/core-properties" blockDefault="#all">
    <xsd:import namespace="http://purl.org/dc/elements/1.1/" schemaLocation="http://dublincore.org/schemas/xmls/qdc/2003/04/02/dc.xsd"/>
    <xsd:import namespace="http://purl.org/dc/terms/" schemaLocation="http://dublincore.org/schemas/xmls/qdc/2003/04/02/dcterms.xsd"/>
    <xsd:element type="CT_coreProperties" name="coreProperties"/>
    <xsd:complexType name="CT_coreProperties">
      <xsd:all>
        <xsd:element maxOccurs="1" minOccurs="0" ref="dc:creator"/>
        <xsd:element maxOccurs="1" minOccurs="0" ref="dcterms:created"/>
        <xsd:element maxOccurs="1" minOccurs="0" ref="dc:identifier"/>
        <xsd:element type="xsd:string" ma:displayName="Content Type" ma:readOnly="true" maxOccurs="1" name="contentType" minOccurs="0" ma:index="0"/>
        <xsd:element ma:displayName="Title" maxOccurs="1" ma:index="3" ref="dc:title"/>
        <xsd:element maxOccurs="1" minOccurs="0" ref="dc:subject"/>
        <xsd:element maxOccurs="1" minOccurs="0" ref="dc:description"/>
        <xsd:element type="xsd:string" maxOccurs="1" name="keywords" minOccurs="0"/>
        <xsd:element maxOccurs="1" minOccurs="0" ref="dc:language"/>
        <xsd:element type="xsd:string" maxOccurs="1" name="category" minOccurs="0"/>
        <xsd:element type="xsd:string" maxOccurs="1" name="version" minOccurs="0"/>
        <xsd:element type="xsd:string" maxOccurs="1" name="revision" minOccurs="0">
          <xsd:annotation>
            <xsd:documentation>
                        This value indicates the number of saves or revisions. The application is responsible for updating this value after each revision.
                    </xsd:documentation>
          </xsd:annotation>
        </xsd:element>
        <xsd:element type="xsd:string" maxOccurs="1" name="lastModifiedBy" minOccurs="0"/>
        <xsd:element maxOccurs="1" minOccurs="0" ref="dcterms:modified"/>
        <xsd:element type="xsd:dateTime" maxOccurs="1" name="lastPrinted" minOccurs="0"/>
        <xsd:element type="xsd:string" maxOccurs="1" name="contentStatus" minOccurs="0"/>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327060-1271-4090-A76F-89958E3FA847}">
  <ds:schemaRefs/>
</ds:datastoreItem>
</file>

<file path=customXml/itemProps2.xml><?xml version="1.0" encoding="utf-8"?>
<ds:datastoreItem xmlns:ds="http://schemas.openxmlformats.org/officeDocument/2006/customXml" ds:itemID="{48FE25EB-56B6-4167-8673-EDC6D766FA0C}">
  <ds:schemaRefs/>
</ds:datastoreItem>
</file>

<file path=customXml/itemProps3.xml><?xml version="1.0" encoding="utf-8"?>
<ds:datastoreItem xmlns:ds="http://schemas.openxmlformats.org/officeDocument/2006/customXml" ds:itemID="{64C1AA8E-AB35-4A23-AF4C-7421857CA404}">
  <ds:schemaRefs/>
</ds:datastoreItem>
</file>

<file path=docProps/app.xml><?xml version="1.0" encoding="utf-8"?>
<Properties xmlns="http://schemas.openxmlformats.org/officeDocument/2006/extended-properties" xmlns:vt="http://schemas.openxmlformats.org/officeDocument/2006/docPropsVTypes">
  <Template>Normal.dotm</Template>
  <Company>Lenovo (Beijing) Limited</Company>
  <Pages>15</Pages>
  <Words>11376</Words>
  <Characters>12463</Characters>
  <Lines>418</Lines>
  <Paragraphs>388</Paragraphs>
  <TotalTime>12</TotalTime>
  <ScaleCrop>false</ScaleCrop>
  <LinksUpToDate>false</LinksUpToDate>
  <CharactersWithSpaces>12595</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2015-09-10T07:52:00Z</dcterms:created>
  <dc:creator>Lenovo User</dc:creator>
  <cp:lastModifiedBy>Flechazo</cp:lastModifiedBy>
  <cp:lastPrinted>2009-09-25T02:02:00Z</cp:lastPrinted>
  <dcterms:modified xsi:type="dcterms:W3CDTF">2026-05-26T12:35:01Z</dcterms:modified>
  <dc:title>关于07年度“国家大学生创新性实验计划”中期检查通知</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B60606E52BAE4B3984B8A97680BCB698_13</vt:lpwstr>
  </property>
  <property fmtid="{D5CDD505-2E9C-101B-9397-08002B2CF9AE}" pid="4" name="KSOTemplateDocerSaveRecord">
    <vt:lpwstr>eyJoZGlkIjoiYzhkMDRhMmYxMzRhYzg5OTU0OThiMDA0ZTkxMjg5MWIiLCJ1c2VySWQiOiIxNTI3NjM3MzU5In0=</vt:lpwstr>
  </property>
</Properties>
</file>