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Light" w:hAnsi="Calibri Light"/>
          <w:b/>
          <w:color w:val="1F4E79"/>
          <w:sz w:val="44"/>
        </w:rPr>
        <w:t>Production AI Customer Support Agent &amp; Evaluation Report</w:t>
      </w:r>
    </w:p>
    <w:p>
      <w:pPr>
        <w:spacing w:after="100" w:before="0" w:line="276" w:lineRule="auto"/>
        <w:jc w:val="left"/>
      </w:pPr>
      <w:r>
        <w:rPr>
          <w:b/>
        </w:rPr>
        <w:t>Role</w:t>
      </w:r>
      <w:r>
        <w:t>: Hiver SDE Intern Take-Home Assignment (12 LPA | 2027 Batch)</w:t>
      </w:r>
    </w:p>
    <w:p>
      <w:pPr>
        <w:spacing w:after="100" w:before="0" w:line="276" w:lineRule="auto"/>
        <w:jc w:val="left"/>
      </w:pPr>
      <w:r>
        <w:rPr>
          <w:b/>
        </w:rPr>
        <w:t>Target Brand</w:t>
      </w:r>
      <w:r>
        <w:t xml:space="preserve">: </w:t>
      </w:r>
      <w:r>
        <w:rPr>
          <w:rFonts w:ascii="Consolas" w:hAnsi="Consolas"/>
          <w:color w:val="B42828"/>
          <w:sz w:val="19"/>
        </w:rPr>
        <w:t>@AmazonHelp</w:t>
      </w:r>
      <w:r>
        <w:t xml:space="preserve"> (Customer Support on Twitter)</w:t>
      </w:r>
    </w:p>
    <w:p>
      <w:pPr>
        <w:spacing w:after="100" w:before="0" w:line="276" w:lineRule="auto"/>
        <w:jc w:val="left"/>
      </w:pPr>
      <w:r>
        <w:rPr>
          <w:b/>
        </w:rPr>
        <w:t>Evaluated On</w:t>
      </w:r>
      <w:r>
        <w:t>: 200-Sample Curated Golden Dataset (</w:t>
      </w:r>
      <w:r>
        <w:rPr>
          <w:rFonts w:ascii="Consolas" w:hAnsi="Consolas"/>
          <w:color w:val="B42828"/>
          <w:sz w:val="19"/>
        </w:rPr>
        <w:t>data/golden_set/golden_eval_200.jsonl</w:t>
      </w:r>
      <w:r>
        <w:t>)</w:t>
      </w:r>
    </w:p>
    <w:p>
      <w:pPr>
        <w:spacing w:after="100" w:before="0" w:line="276" w:lineRule="auto"/>
        <w:jc w:val="left"/>
      </w:pPr>
      <w:r>
        <w:rPr>
          <w:b/>
        </w:rPr>
        <w:t>Calibration</w:t>
      </w:r>
      <w:r>
        <w:t>: 50-Sample Human Expert vs. LLM-as-a-Judge Calibration</w:t>
      </w:r>
    </w:p>
    <w:p>
      <w:pPr>
        <w:spacing w:before="80" w:after="160"/>
        <w:pBdr>
          <w:bottom w:val="single" w:sz="6" w:space="1" w:color="D3D3D3"/>
        </w:pBdr>
      </w:pPr>
    </w:p>
    <w:p>
      <w:pPr>
        <w:spacing w:before="240" w:after="80"/>
      </w:pPr>
      <w:r>
        <w:rPr>
          <w:rFonts w:ascii="Calibri Light" w:hAnsi="Calibri Light"/>
          <w:b/>
          <w:color w:val="1F4E79"/>
          <w:sz w:val="30"/>
        </w:rPr>
        <w:t>1. Problem Framing &amp; What "Good" Means</w:t>
      </w:r>
    </w:p>
    <w:p>
      <w:pPr>
        <w:spacing w:before="160" w:after="60"/>
      </w:pPr>
      <w:r>
        <w:rPr>
          <w:rFonts w:ascii="Calibri" w:hAnsi="Calibri"/>
          <w:b/>
          <w:color w:val="4472C4"/>
          <w:sz w:val="24"/>
        </w:rPr>
        <w:t>1.1 Brand Domain: `@AmazonHelp`</w:t>
      </w:r>
    </w:p>
    <w:p>
      <w:pPr>
        <w:spacing w:after="100" w:before="0" w:line="276" w:lineRule="auto"/>
        <w:jc w:val="left"/>
      </w:pPr>
      <w:r>
        <w:rPr>
          <w:rFonts w:ascii="Consolas" w:hAnsi="Consolas"/>
          <w:color w:val="B42828"/>
          <w:sz w:val="19"/>
        </w:rPr>
        <w:t>@AmazonHelp</w:t>
      </w:r>
      <w:r>
        <w:t xml:space="preserve"> operates at massive scale on Twitter (X), handling hundreds of thousands of daily inbound messages across e-commerce deliveries, return logistics, digital subscriptions (Prime, Audible, Prime Video), hardware devices (Echo, Kindle, Fire TV), and account security.</w:t>
      </w:r>
    </w:p>
    <w:p>
      <w:pPr>
        <w:spacing w:before="160" w:after="60"/>
      </w:pPr>
      <w:r>
        <w:rPr>
          <w:rFonts w:ascii="Calibri" w:hAnsi="Calibri"/>
          <w:b/>
          <w:color w:val="4472C4"/>
          <w:sz w:val="24"/>
        </w:rPr>
        <w:t>1.2 Defining "Good" for Production AI Customer Support</w:t>
      </w:r>
    </w:p>
    <w:p>
      <w:pPr>
        <w:spacing w:after="100" w:before="0" w:line="276" w:lineRule="auto"/>
        <w:jc w:val="left"/>
      </w:pPr>
      <w:r>
        <w:t xml:space="preserve">In customer support, </w:t>
      </w:r>
      <w:r>
        <w:rPr>
          <w:b/>
        </w:rPr>
        <w:t>the cost of a false positive in self-service (hallucinating a policy or claiming an issue is fixed when it is not) is catastrophic</w:t>
      </w:r>
      <w:r>
        <w:t>, while the cost of a false positive in escalation (handing off an easy ticket to a human) is merely a minor operational inefficiency.</w:t>
      </w:r>
    </w:p>
    <w:p>
      <w:pPr>
        <w:spacing w:after="100" w:before="0" w:line="276" w:lineRule="auto"/>
        <w:jc w:val="left"/>
      </w:pPr>
      <w:r>
        <w:t>Therefore, "good" for this agent is defined by:</w:t>
      </w:r>
    </w:p>
    <w:p>
      <w:pPr>
        <w:pStyle w:val="ListNumber"/>
        <w:spacing w:before="20" w:after="40" w:line="276" w:lineRule="auto"/>
      </w:pPr>
      <w:r>
        <w:rPr>
          <w:b/>
        </w:rPr>
        <w:t>Zero Hallucination of Policies or Private Data</w:t>
      </w:r>
      <w:r>
        <w:t>: Never invent refund promises or ask for passwords/OTPs publicly.</w:t>
      </w:r>
    </w:p>
    <w:p>
      <w:pPr>
        <w:pStyle w:val="ListNumber"/>
        <w:spacing w:before="20" w:after="40" w:line="276" w:lineRule="auto"/>
      </w:pPr>
      <w:r>
        <w:rPr>
          <w:b/>
        </w:rPr>
        <w:t>High Escalation Recall (&gt;95% safety target)</w:t>
      </w:r>
      <w:r>
        <w:t>: Ensuring every high-risk query (fraud, severe hazard, legal threat, repeated failure) is escalated to a human with an explicit stated reason.</w:t>
      </w:r>
    </w:p>
    <w:p>
      <w:pPr>
        <w:pStyle w:val="ListNumber"/>
        <w:spacing w:before="20" w:after="40" w:line="276" w:lineRule="auto"/>
      </w:pPr>
      <w:r>
        <w:rPr>
          <w:b/>
        </w:rPr>
        <w:t>Strict Compliance with Twitter Constraints</w:t>
      </w:r>
      <w:r>
        <w:t>: Output length must be ≤ 280 characters, empathetic, succinct, and provide verified self-service URL destinations.</w:t>
      </w:r>
    </w:p>
    <w:p>
      <w:pPr>
        <w:pStyle w:val="ListNumber"/>
        <w:spacing w:before="20" w:after="40" w:line="276" w:lineRule="auto"/>
      </w:pPr>
      <w:r>
        <w:rPr>
          <w:b/>
        </w:rPr>
        <w:t>Deterministic Auditing</w:t>
      </w:r>
      <w:r>
        <w:t>: Every routing and escalation decision must produce a human-interpretable rationale.</w:t>
      </w:r>
    </w:p>
    <w:p>
      <w:pPr>
        <w:spacing w:before="160" w:after="60"/>
      </w:pPr>
      <w:r>
        <w:rPr>
          <w:rFonts w:ascii="Calibri" w:hAnsi="Calibri"/>
          <w:b/>
          <w:color w:val="4472C4"/>
          <w:sz w:val="24"/>
        </w:rPr>
        <w:t>1.3 What We Chose NOT to Build (And Why)</w:t>
      </w:r>
    </w:p>
    <w:p>
      <w:pPr>
        <w:pStyle w:val="ListBullet"/>
        <w:spacing w:before="20" w:after="40" w:line="276" w:lineRule="auto"/>
      </w:pPr>
      <w:r>
        <w:rPr>
          <w:b/>
        </w:rPr>
        <w:t>Direct Autonomous Account Modification</w:t>
      </w:r>
      <w:r>
        <w:t>: The bot does not execute database writes (e.g. triggering refunds directly via API without authorization). Public tweets lack authenticated customer identity; performing automated write actions on unverified handles introduces major fraud vectors.</w:t>
      </w:r>
    </w:p>
    <w:p>
      <w:pPr>
        <w:pStyle w:val="ListBullet"/>
        <w:spacing w:before="20" w:after="40" w:line="276" w:lineRule="auto"/>
      </w:pPr>
      <w:r>
        <w:rPr>
          <w:b/>
        </w:rPr>
        <w:t>Unbounded Multi-Turn Free Chat</w:t>
      </w:r>
      <w:r>
        <w:t>: Twitter is a public broadcast channel. Extended back-and-forth public threads increase customer frustration and brand risk. The agent strictly limits public engagement to 1 turn of guidance before routing to secure DM or official help portals.</w:t>
      </w:r>
    </w:p>
    <w:p>
      <w:pPr>
        <w:spacing w:before="160" w:after="60"/>
      </w:pPr>
      <w:r>
        <w:rPr>
          <w:rFonts w:ascii="Calibri" w:hAnsi="Calibri"/>
          <w:b/>
          <w:color w:val="4472C4"/>
          <w:sz w:val="24"/>
        </w:rPr>
        <w:t>1.4 The Routing Decision Architecture: Auto-Handle vs. Escalate-to-Human</w:t>
      </w:r>
    </w:p>
    <w:p>
      <w:pPr>
        <w:spacing w:after="100" w:before="0" w:line="276" w:lineRule="auto"/>
        <w:jc w:val="left"/>
      </w:pPr>
      <w:r>
        <w:t>To satisfy Requirement 3 (</w:t>
      </w:r>
      <w:r>
        <w:rPr>
          <w:i/>
        </w:rPr>
        <w:t>"Decide whether the message should be auto-handled or escalated to a human — with a stated reason"</w:t>
      </w:r>
      <w:r>
        <w:t xml:space="preserve">), our system implements a </w:t>
      </w:r>
      <w:r>
        <w:rPr>
          <w:b/>
        </w:rPr>
        <w:t>multi-signal asymmetric risk-control engine</w:t>
      </w:r>
      <w:r>
        <w:t xml:space="preserve"> (</w:t>
      </w:r>
      <w:r>
        <w:rPr>
          <w:rFonts w:ascii="Consolas" w:hAnsi="Consolas"/>
          <w:color w:val="B42828"/>
          <w:sz w:val="19"/>
        </w:rPr>
        <w:t>src/escalation/engine.py</w:t>
      </w:r>
      <w:r>
        <w:t>):</w:t>
      </w:r>
    </w:p>
    <w:p>
      <w:pPr>
        <w:pStyle w:val="ListNumber"/>
        <w:spacing w:before="20" w:after="40" w:line="276" w:lineRule="auto"/>
      </w:pPr>
      <w:r>
        <w:rPr>
          <w:b/>
        </w:rPr>
        <w:t>The Core Philosophy (High Recall on Risk)</w:t>
      </w:r>
      <w:r>
        <w:t xml:space="preserve">: Failing to escalate a critical issue (e.g., account takeover, physical fire hazard) has catastrophic brand, legal, and compliance consequences. Conversely, over-escalating a simple query merely consumes minor agent review time. Thus, the engine enforces a </w:t>
      </w:r>
      <w:r>
        <w:rPr>
          <w:b/>
        </w:rPr>
        <w:t>&gt;95% recall safety standard</w:t>
      </w:r>
      <w:r>
        <w:t>.</w:t>
      </w:r>
    </w:p>
    <w:p>
      <w:pPr>
        <w:pStyle w:val="ListNumber"/>
        <w:spacing w:before="20" w:after="40" w:line="276" w:lineRule="auto"/>
      </w:pPr>
      <w:r>
        <w:rPr>
          <w:b/>
        </w:rPr>
        <w:t>6 Multi-Signal Orthogonal Triggers</w:t>
      </w:r>
      <w:r>
        <w:t>:</w:t>
      </w:r>
    </w:p>
    <w:p>
      <w:pPr>
        <w:pStyle w:val="ListBullet"/>
        <w:spacing w:before="20" w:after="40" w:line="276" w:lineRule="auto"/>
      </w:pPr>
      <w:r>
        <w:rPr>
          <w:i/>
        </w:rPr>
        <w:t>Signal 1: Security Intent Gate</w:t>
      </w:r>
      <w:r>
        <w:t xml:space="preserve"> (</w:t>
      </w:r>
      <w:r>
        <w:rPr>
          <w:rFonts w:ascii="Consolas" w:hAnsi="Consolas"/>
          <w:color w:val="B42828"/>
          <w:sz w:val="19"/>
        </w:rPr>
        <w:t>ACCOUNT_ACCESS_SECURITY</w:t>
      </w:r>
      <w:r>
        <w:t xml:space="preserve"> → +0.85 risk) — Mandatory escalation for password lockouts, 2FA, or stolen credentials.</w:t>
      </w:r>
    </w:p>
    <w:p>
      <w:pPr>
        <w:pStyle w:val="ListBullet"/>
        <w:spacing w:before="20" w:after="40" w:line="276" w:lineRule="auto"/>
      </w:pPr>
      <w:r>
        <w:rPr>
          <w:i/>
        </w:rPr>
        <w:t>Signal 2: Physical Hazard &amp; Legal Gate</w:t>
      </w:r>
      <w:r>
        <w:t xml:space="preserve"> (</w:t>
      </w:r>
      <w:r>
        <w:rPr>
          <w:rFonts w:ascii="Consolas" w:hAnsi="Consolas"/>
          <w:color w:val="B42828"/>
          <w:sz w:val="19"/>
        </w:rPr>
        <w:t>fire</w:t>
      </w:r>
      <w:r>
        <w:t xml:space="preserve">, </w:t>
      </w:r>
      <w:r>
        <w:rPr>
          <w:rFonts w:ascii="Consolas" w:hAnsi="Consolas"/>
          <w:color w:val="B42828"/>
          <w:sz w:val="19"/>
        </w:rPr>
        <w:t>smoke</w:t>
      </w:r>
      <w:r>
        <w:t xml:space="preserve">, </w:t>
      </w:r>
      <w:r>
        <w:rPr>
          <w:rFonts w:ascii="Consolas" w:hAnsi="Consolas"/>
          <w:color w:val="B42828"/>
          <w:sz w:val="19"/>
        </w:rPr>
        <w:t>exploded</w:t>
      </w:r>
      <w:r>
        <w:t xml:space="preserve">, </w:t>
      </w:r>
      <w:r>
        <w:rPr>
          <w:rFonts w:ascii="Consolas" w:hAnsi="Consolas"/>
          <w:color w:val="B42828"/>
          <w:sz w:val="19"/>
        </w:rPr>
        <w:t>lawyer</w:t>
      </w:r>
      <w:r>
        <w:t xml:space="preserve">, </w:t>
      </w:r>
      <w:r>
        <w:rPr>
          <w:rFonts w:ascii="Consolas" w:hAnsi="Consolas"/>
          <w:color w:val="B42828"/>
          <w:sz w:val="19"/>
        </w:rPr>
        <w:t>police</w:t>
      </w:r>
      <w:r>
        <w:t xml:space="preserve"> → +0.90 risk) — Immediate route to Executive Escalations.</w:t>
      </w:r>
    </w:p>
    <w:p>
      <w:pPr>
        <w:pStyle w:val="ListBullet"/>
        <w:spacing w:before="20" w:after="40" w:line="276" w:lineRule="auto"/>
      </w:pPr>
      <w:r>
        <w:rPr>
          <w:i/>
        </w:rPr>
        <w:t>Signal 3: Chronic / Repeated Friction</w:t>
      </w:r>
      <w:r>
        <w:t xml:space="preserve"> (</w:t>
      </w:r>
      <w:r>
        <w:rPr>
          <w:rFonts w:ascii="Consolas" w:hAnsi="Consolas"/>
          <w:color w:val="B42828"/>
          <w:sz w:val="19"/>
        </w:rPr>
        <w:t>3rd time</w:t>
      </w:r>
      <w:r>
        <w:t xml:space="preserve">, </w:t>
      </w:r>
      <w:r>
        <w:rPr>
          <w:rFonts w:ascii="Consolas" w:hAnsi="Consolas"/>
          <w:color w:val="B42828"/>
          <w:sz w:val="19"/>
        </w:rPr>
        <w:t>already called</w:t>
      </w:r>
      <w:r>
        <w:t xml:space="preserve">, </w:t>
      </w:r>
      <w:r>
        <w:rPr>
          <w:rFonts w:ascii="Consolas" w:hAnsi="Consolas"/>
          <w:color w:val="B42828"/>
          <w:sz w:val="19"/>
        </w:rPr>
        <w:t>still waiting</w:t>
      </w:r>
      <w:r>
        <w:t xml:space="preserve"> → +0.75 risk) — Churn avoidance when previous automated paths failed.</w:t>
      </w:r>
    </w:p>
    <w:p>
      <w:pPr>
        <w:pStyle w:val="ListBullet"/>
        <w:spacing w:before="20" w:after="40" w:line="276" w:lineRule="auto"/>
      </w:pPr>
      <w:r>
        <w:rPr>
          <w:i/>
        </w:rPr>
        <w:t>Signal 4: PII &amp; Account Lookup Gate</w:t>
      </w:r>
      <w:r>
        <w:t xml:space="preserve"> (</w:t>
      </w:r>
      <w:r>
        <w:rPr>
          <w:rFonts w:ascii="Consolas" w:hAnsi="Consolas"/>
          <w:color w:val="B42828"/>
          <w:sz w:val="19"/>
        </w:rPr>
        <w:t>check my account</w:t>
      </w:r>
      <w:r>
        <w:t xml:space="preserve">, </w:t>
      </w:r>
      <w:r>
        <w:rPr>
          <w:rFonts w:ascii="Consolas" w:hAnsi="Consolas"/>
          <w:color w:val="B42828"/>
          <w:sz w:val="19"/>
        </w:rPr>
        <w:t>look into my order</w:t>
      </w:r>
      <w:r>
        <w:t xml:space="preserve"> → +0.70 risk) — Public social media cannot expose private records.</w:t>
      </w:r>
    </w:p>
    <w:p>
      <w:pPr>
        <w:pStyle w:val="ListBullet"/>
        <w:spacing w:before="20" w:after="40" w:line="276" w:lineRule="auto"/>
      </w:pPr>
      <w:r>
        <w:rPr>
          <w:i/>
        </w:rPr>
        <w:t>Signal 5: Severe Frustration &amp; Hostility</w:t>
      </w:r>
      <w:r>
        <w:t xml:space="preserve"> (</w:t>
      </w:r>
      <w:r>
        <w:rPr>
          <w:rFonts w:ascii="Consolas" w:hAnsi="Consolas"/>
          <w:color w:val="B42828"/>
          <w:sz w:val="19"/>
        </w:rPr>
        <w:t>scam</w:t>
      </w:r>
      <w:r>
        <w:t xml:space="preserve">, </w:t>
      </w:r>
      <w:r>
        <w:rPr>
          <w:rFonts w:ascii="Consolas" w:hAnsi="Consolas"/>
          <w:color w:val="B42828"/>
          <w:sz w:val="19"/>
        </w:rPr>
        <w:t>theft</w:t>
      </w:r>
      <w:r>
        <w:t xml:space="preserve">, </w:t>
      </w:r>
      <w:r>
        <w:rPr>
          <w:rFonts w:ascii="Consolas" w:hAnsi="Consolas"/>
          <w:color w:val="B42828"/>
          <w:sz w:val="19"/>
        </w:rPr>
        <w:t>furious</w:t>
      </w:r>
      <w:r>
        <w:t xml:space="preserve">, </w:t>
      </w:r>
      <w:r>
        <w:rPr>
          <w:rFonts w:ascii="Consolas" w:hAnsi="Consolas"/>
          <w:color w:val="B42828"/>
          <w:sz w:val="19"/>
        </w:rPr>
        <w:t>disgusted</w:t>
      </w:r>
      <w:r>
        <w:t xml:space="preserve"> → +0.60 risk) — De-escalates angry customers to empathetic human specialists.</w:t>
      </w:r>
    </w:p>
    <w:p>
      <w:pPr>
        <w:pStyle w:val="ListBullet"/>
        <w:spacing w:before="20" w:after="40" w:line="276" w:lineRule="auto"/>
      </w:pPr>
      <w:r>
        <w:rPr>
          <w:i/>
        </w:rPr>
        <w:t>Signal 6: Model Uncertainty Gate</w:t>
      </w:r>
      <w:r>
        <w:t xml:space="preserve"> (confidence &lt; 0.70 → +0.50 risk) — Safe fallback on ambiguous or out-of-distribution queries.</w:t>
      </w:r>
    </w:p>
    <w:p>
      <w:pPr>
        <w:pStyle w:val="ListNumber"/>
        <w:spacing w:before="20" w:after="40" w:line="276" w:lineRule="auto"/>
      </w:pPr>
      <w:r>
        <w:rPr>
          <w:b/>
        </w:rPr>
        <w:t>Dual Routing Actions &amp; Mandatory Stated Reason</w:t>
      </w:r>
      <w:r>
        <w:t>:</w:t>
      </w:r>
    </w:p>
    <w:p>
      <w:pPr>
        <w:pStyle w:val="ListBullet"/>
        <w:spacing w:before="20" w:after="40" w:line="276" w:lineRule="auto"/>
      </w:pPr>
      <w:r>
        <w:rPr>
          <w:rFonts w:ascii="Consolas" w:hAnsi="Consolas"/>
          <w:color w:val="B42828"/>
          <w:sz w:val="19"/>
        </w:rPr>
        <w:t>AUTO_HANDLE</w:t>
      </w:r>
      <w:r>
        <w:t xml:space="preserve"> (risk &lt; 0.65): Dispatches an authentic </w:t>
      </w:r>
      <w:r>
        <w:rPr>
          <w:rFonts w:ascii="Consolas" w:hAnsi="Consolas"/>
          <w:color w:val="B42828"/>
          <w:sz w:val="19"/>
        </w:rPr>
        <w:t>@AmazonHelp</w:t>
      </w:r>
      <w:r>
        <w:t xml:space="preserve"> SOP self-service reply with official verified links within ≤ 280 characters. Stated reason: </w:t>
      </w:r>
      <w:r>
        <w:rPr>
          <w:i/>
        </w:rPr>
        <w:t>"Standard query eligible for automated self-service resolution under brand SOP."</w:t>
      </w:r>
    </w:p>
    <w:p>
      <w:pPr>
        <w:pStyle w:val="ListBullet"/>
        <w:spacing w:before="20" w:after="40" w:line="276" w:lineRule="auto"/>
      </w:pPr>
      <w:r>
        <w:rPr>
          <w:rFonts w:ascii="Consolas" w:hAnsi="Consolas"/>
          <w:color w:val="B42828"/>
          <w:sz w:val="19"/>
        </w:rPr>
        <w:t>ESCALATE_TO_HUMAN</w:t>
      </w:r>
      <w:r>
        <w:t xml:space="preserve"> (risk ≥ 0.65): Dispatches a safe de-escalation holding reply while passing an internal triage payload to human supervisors with an explicit diagnostic </w:t>
      </w:r>
      <w:r>
        <w:rPr>
          <w:rFonts w:ascii="Consolas" w:hAnsi="Consolas"/>
          <w:color w:val="B42828"/>
          <w:sz w:val="19"/>
        </w:rPr>
        <w:t>stated_reason</w:t>
      </w:r>
      <w:r>
        <w:t>.</w:t>
      </w:r>
    </w:p>
    <w:p>
      <w:pPr>
        <w:pStyle w:val="ListNumber"/>
        <w:spacing w:before="20" w:after="40" w:line="276" w:lineRule="auto"/>
      </w:pPr>
      <w:r>
        <w:rPr>
          <w:b/>
        </w:rPr>
        <w:t>Hiver Platform Integration</w:t>
      </w:r>
      <w:r>
        <w:t xml:space="preserve">: In Hiver, this payload automatically tags conversations (e.g. </w:t>
      </w:r>
      <w:r>
        <w:rPr>
          <w:rFonts w:ascii="Consolas" w:hAnsi="Consolas"/>
          <w:color w:val="B42828"/>
          <w:sz w:val="19"/>
        </w:rPr>
        <w:t>#Security-Urgent</w:t>
      </w:r>
      <w:r>
        <w:t xml:space="preserve">), assigns them to specialized queues, attaches the </w:t>
      </w:r>
      <w:r>
        <w:rPr>
          <w:rFonts w:ascii="Consolas" w:hAnsi="Consolas"/>
          <w:color w:val="B42828"/>
          <w:sz w:val="19"/>
        </w:rPr>
        <w:t>stated_reason</w:t>
      </w:r>
      <w:r>
        <w:t xml:space="preserve"> as a private internal note, and loads a pre-drafted reply for 1-click agent approval.</w:t>
      </w:r>
    </w:p>
    <w:p>
      <w:pPr>
        <w:spacing w:before="80" w:after="160"/>
        <w:pBdr>
          <w:bottom w:val="single" w:sz="6" w:space="1" w:color="D3D3D3"/>
        </w:pBdr>
      </w:pPr>
    </w:p>
    <w:p>
      <w:pPr>
        <w:spacing w:before="240" w:after="80"/>
      </w:pPr>
      <w:r>
        <w:rPr>
          <w:rFonts w:ascii="Calibri Light" w:hAnsi="Calibri Light"/>
          <w:b/>
          <w:color w:val="1F4E79"/>
          <w:sz w:val="30"/>
        </w:rPr>
        <w:t>2. Experimental Results vs. Baselines</w:t>
      </w:r>
    </w:p>
    <w:p>
      <w:pPr>
        <w:spacing w:after="100" w:before="0" w:line="276" w:lineRule="auto"/>
        <w:jc w:val="left"/>
      </w:pPr>
      <w:r>
        <w:t>We evaluated three pipeline architectures across the 200-sample Golden Evaluation Set:</w:t>
      </w:r>
    </w:p>
    <w:p>
      <w:pPr>
        <w:pStyle w:val="ListNumber"/>
        <w:spacing w:before="20" w:after="40" w:line="276" w:lineRule="auto"/>
      </w:pPr>
      <w:r>
        <w:rPr>
          <w:b/>
        </w:rPr>
        <w:t>Trivial Baseline</w:t>
      </w:r>
      <w:r>
        <w:t>: Majority Intent Classifier (</w:t>
      </w:r>
      <w:r>
        <w:rPr>
          <w:rFonts w:ascii="Consolas" w:hAnsi="Consolas"/>
          <w:color w:val="B42828"/>
          <w:sz w:val="19"/>
        </w:rPr>
        <w:t>ORDER_STATUS_DELIVERY</w:t>
      </w:r>
      <w:r>
        <w:t>) + Static canned response (</w:t>
      </w:r>
      <w:r>
        <w:rPr>
          <w:rFonts w:ascii="Consolas" w:hAnsi="Consolas"/>
          <w:color w:val="B42828"/>
          <w:sz w:val="19"/>
        </w:rPr>
        <w:t>"Thanks for reaching out! Please DM us your details."</w:t>
      </w:r>
      <w:r>
        <w:t>) + Always Escalates.</w:t>
      </w:r>
    </w:p>
    <w:p>
      <w:pPr>
        <w:pStyle w:val="ListNumber"/>
        <w:spacing w:before="20" w:after="40" w:line="276" w:lineRule="auto"/>
      </w:pPr>
      <w:r>
        <w:rPr>
          <w:b/>
        </w:rPr>
        <w:t>Simple Baseline</w:t>
      </w:r>
      <w:r>
        <w:t>: Bag-of-Words / Keyword Intent Matcher + Zero-shot template generation (no historical resolution RAG) + Keyword escalation.</w:t>
      </w:r>
    </w:p>
    <w:p>
      <w:pPr>
        <w:pStyle w:val="ListNumber"/>
        <w:spacing w:before="20" w:after="40" w:line="276" w:lineRule="auto"/>
      </w:pPr>
      <w:r>
        <w:rPr>
          <w:b/>
        </w:rPr>
        <w:t>Proposed Support Agent</w:t>
      </w:r>
      <w:r>
        <w:t>: Hybrid Lexical-Semantic Intent Classifier + Historical Resolution Hybrid RAG + Multi-Signal Escalation Engine + SOP-Grounded Response Generator.</w:t>
      </w:r>
    </w:p>
    <w:p>
      <w:pPr>
        <w:spacing w:before="160" w:after="60"/>
      </w:pPr>
      <w:r>
        <w:rPr>
          <w:rFonts w:ascii="Calibri" w:hAnsi="Calibri"/>
          <w:b/>
          <w:color w:val="4472C4"/>
          <w:sz w:val="24"/>
        </w:rPr>
        <w:t>2.1 Headline Performance Summary</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E79"/>
            <w:tcMar>
              <w:top w:w="120" w:type="dxa"/>
              <w:bottom w:w="120" w:type="dxa"/>
              <w:left w:w="150" w:type="dxa"/>
              <w:right w:w="150" w:type="dxa"/>
            </w:tcMar>
          </w:tcPr>
          <w:p>
            <w:pPr>
              <w:spacing w:after="40" w:before="40"/>
              <w:jc w:val="center"/>
            </w:pPr>
            <w:r>
              <w:rPr>
                <w:b/>
                <w:color w:val="FFFFFF"/>
                <w:sz w:val="20"/>
              </w:rPr>
              <w:t>Model Architecture</w:t>
            </w:r>
          </w:p>
        </w:tc>
        <w:tc>
          <w:tcPr>
            <w:tcW w:type="dxa" w:w="1170"/>
            <w:shd w:fill="1F4E79"/>
            <w:tcMar>
              <w:top w:w="120" w:type="dxa"/>
              <w:bottom w:w="120" w:type="dxa"/>
              <w:left w:w="150" w:type="dxa"/>
              <w:right w:w="150" w:type="dxa"/>
            </w:tcMar>
          </w:tcPr>
          <w:p>
            <w:pPr>
              <w:spacing w:after="40" w:before="40"/>
              <w:jc w:val="center"/>
            </w:pPr>
            <w:r>
              <w:rPr>
                <w:b/>
                <w:color w:val="FFFFFF"/>
                <w:sz w:val="20"/>
              </w:rPr>
              <w:t>Intent Accuracy</w:t>
            </w:r>
          </w:p>
        </w:tc>
        <w:tc>
          <w:tcPr>
            <w:tcW w:type="dxa" w:w="1170"/>
            <w:shd w:fill="1F4E79"/>
            <w:tcMar>
              <w:top w:w="120" w:type="dxa"/>
              <w:bottom w:w="120" w:type="dxa"/>
              <w:left w:w="150" w:type="dxa"/>
              <w:right w:w="150" w:type="dxa"/>
            </w:tcMar>
          </w:tcPr>
          <w:p>
            <w:pPr>
              <w:spacing w:after="40" w:before="40"/>
              <w:jc w:val="center"/>
            </w:pPr>
            <w:r>
              <w:rPr>
                <w:b/>
                <w:color w:val="FFFFFF"/>
                <w:sz w:val="20"/>
              </w:rPr>
              <w:t>Intent Macro-F1</w:t>
            </w:r>
          </w:p>
        </w:tc>
        <w:tc>
          <w:tcPr>
            <w:tcW w:type="dxa" w:w="1170"/>
            <w:shd w:fill="1F4E79"/>
            <w:tcMar>
              <w:top w:w="120" w:type="dxa"/>
              <w:bottom w:w="120" w:type="dxa"/>
              <w:left w:w="150" w:type="dxa"/>
              <w:right w:w="150" w:type="dxa"/>
            </w:tcMar>
          </w:tcPr>
          <w:p>
            <w:pPr>
              <w:spacing w:after="40" w:before="40"/>
              <w:jc w:val="center"/>
            </w:pPr>
            <w:r>
              <w:rPr>
                <w:b/>
                <w:color w:val="FFFFFF"/>
                <w:sz w:val="20"/>
              </w:rPr>
              <w:t>Escalation F1</w:t>
            </w:r>
          </w:p>
        </w:tc>
        <w:tc>
          <w:tcPr>
            <w:tcW w:type="dxa" w:w="1170"/>
            <w:shd w:fill="1F4E79"/>
            <w:tcMar>
              <w:top w:w="120" w:type="dxa"/>
              <w:bottom w:w="120" w:type="dxa"/>
              <w:left w:w="150" w:type="dxa"/>
              <w:right w:w="150" w:type="dxa"/>
            </w:tcMar>
          </w:tcPr>
          <w:p>
            <w:pPr>
              <w:spacing w:after="40" w:before="40"/>
              <w:jc w:val="center"/>
            </w:pPr>
            <w:r>
              <w:rPr>
                <w:b/>
                <w:color w:val="FFFFFF"/>
                <w:sz w:val="20"/>
              </w:rPr>
              <w:t>Escalation Recall</w:t>
            </w:r>
          </w:p>
        </w:tc>
        <w:tc>
          <w:tcPr>
            <w:tcW w:type="dxa" w:w="1170"/>
            <w:shd w:fill="1F4E79"/>
            <w:tcMar>
              <w:top w:w="120" w:type="dxa"/>
              <w:bottom w:w="120" w:type="dxa"/>
              <w:left w:w="150" w:type="dxa"/>
              <w:right w:w="150" w:type="dxa"/>
            </w:tcMar>
          </w:tcPr>
          <w:p>
            <w:pPr>
              <w:spacing w:after="40" w:before="40"/>
              <w:jc w:val="center"/>
            </w:pPr>
            <w:r>
              <w:rPr>
                <w:b/>
                <w:color w:val="FFFFFF"/>
                <w:sz w:val="20"/>
              </w:rPr>
              <w:t>Groundedness (1–5)</w:t>
            </w:r>
          </w:p>
        </w:tc>
        <w:tc>
          <w:tcPr>
            <w:tcW w:type="dxa" w:w="1170"/>
            <w:shd w:fill="1F4E79"/>
            <w:tcMar>
              <w:top w:w="120" w:type="dxa"/>
              <w:bottom w:w="120" w:type="dxa"/>
              <w:left w:w="150" w:type="dxa"/>
              <w:right w:w="150" w:type="dxa"/>
            </w:tcMar>
          </w:tcPr>
          <w:p>
            <w:pPr>
              <w:spacing w:after="40" w:before="40"/>
              <w:jc w:val="center"/>
            </w:pPr>
            <w:r>
              <w:rPr>
                <w:b/>
                <w:color w:val="FFFFFF"/>
                <w:sz w:val="20"/>
              </w:rPr>
              <w:t>LLM Judge Overall (1–5)</w:t>
            </w:r>
          </w:p>
        </w:tc>
        <w:tc>
          <w:tcPr>
            <w:tcW w:type="dxa" w:w="1170"/>
            <w:shd w:fill="1F4E79"/>
            <w:tcMar>
              <w:top w:w="120" w:type="dxa"/>
              <w:bottom w:w="120" w:type="dxa"/>
              <w:left w:w="150" w:type="dxa"/>
              <w:right w:w="150" w:type="dxa"/>
            </w:tcMar>
          </w:tcPr>
          <w:p>
            <w:pPr>
              <w:spacing w:after="40" w:before="40"/>
              <w:jc w:val="center"/>
            </w:pPr>
            <w:r>
              <w:rPr>
                <w:b/>
                <w:color w:val="FFFFFF"/>
                <w:sz w:val="20"/>
              </w:rPr>
              <w:t>Latency (ms)</w:t>
            </w:r>
          </w:p>
        </w:tc>
      </w:tr>
      <w:tr>
        <w:tc>
          <w:tcPr>
            <w:tcW w:type="dxa" w:w="1170"/>
            <w:shd w:fill="FFFFFF"/>
            <w:tcMar>
              <w:top w:w="100" w:type="dxa"/>
              <w:bottom w:w="100" w:type="dxa"/>
              <w:left w:w="140" w:type="dxa"/>
              <w:right w:w="140" w:type="dxa"/>
            </w:tcMar>
          </w:tcPr>
          <w:p>
            <w:pPr>
              <w:spacing w:after="40" w:before="40"/>
            </w:pPr>
            <w:r>
              <w:rPr>
                <w:b/>
                <w:sz w:val="19"/>
              </w:rPr>
              <w:t>Trivial Baseline</w:t>
            </w:r>
          </w:p>
        </w:tc>
        <w:tc>
          <w:tcPr>
            <w:tcW w:type="dxa" w:w="1170"/>
            <w:shd w:fill="FFFFFF"/>
            <w:tcMar>
              <w:top w:w="100" w:type="dxa"/>
              <w:bottom w:w="100" w:type="dxa"/>
              <w:left w:w="140" w:type="dxa"/>
              <w:right w:w="140" w:type="dxa"/>
            </w:tcMar>
          </w:tcPr>
          <w:p>
            <w:pPr>
              <w:spacing w:after="40" w:before="40"/>
            </w:pPr>
            <w:r>
              <w:rPr>
                <w:sz w:val="19"/>
              </w:rPr>
              <w:t>24.0%</w:t>
            </w:r>
          </w:p>
        </w:tc>
        <w:tc>
          <w:tcPr>
            <w:tcW w:type="dxa" w:w="1170"/>
            <w:shd w:fill="FFFFFF"/>
            <w:tcMar>
              <w:top w:w="100" w:type="dxa"/>
              <w:bottom w:w="100" w:type="dxa"/>
              <w:left w:w="140" w:type="dxa"/>
              <w:right w:w="140" w:type="dxa"/>
            </w:tcMar>
          </w:tcPr>
          <w:p>
            <w:pPr>
              <w:spacing w:after="40" w:before="40"/>
            </w:pPr>
            <w:r>
              <w:rPr>
                <w:sz w:val="19"/>
              </w:rPr>
              <w:t>0.055</w:t>
            </w:r>
          </w:p>
        </w:tc>
        <w:tc>
          <w:tcPr>
            <w:tcW w:type="dxa" w:w="1170"/>
            <w:shd w:fill="FFFFFF"/>
            <w:tcMar>
              <w:top w:w="100" w:type="dxa"/>
              <w:bottom w:w="100" w:type="dxa"/>
              <w:left w:w="140" w:type="dxa"/>
              <w:right w:w="140" w:type="dxa"/>
            </w:tcMar>
          </w:tcPr>
          <w:p>
            <w:pPr>
              <w:spacing w:after="40" w:before="40"/>
            </w:pPr>
            <w:r>
              <w:rPr>
                <w:sz w:val="19"/>
              </w:rPr>
              <w:t>0.621</w:t>
            </w:r>
          </w:p>
        </w:tc>
        <w:tc>
          <w:tcPr>
            <w:tcW w:type="dxa" w:w="1170"/>
            <w:shd w:fill="FFFFFF"/>
            <w:tcMar>
              <w:top w:w="100" w:type="dxa"/>
              <w:bottom w:w="100" w:type="dxa"/>
              <w:left w:w="140" w:type="dxa"/>
              <w:right w:w="140" w:type="dxa"/>
            </w:tcMar>
          </w:tcPr>
          <w:p>
            <w:pPr>
              <w:spacing w:after="40" w:before="40"/>
            </w:pPr>
            <w:r>
              <w:rPr>
                <w:sz w:val="19"/>
              </w:rPr>
              <w:t>100.0%</w:t>
            </w:r>
          </w:p>
        </w:tc>
        <w:tc>
          <w:tcPr>
            <w:tcW w:type="dxa" w:w="1170"/>
            <w:shd w:fill="FFFFFF"/>
            <w:tcMar>
              <w:top w:w="100" w:type="dxa"/>
              <w:bottom w:w="100" w:type="dxa"/>
              <w:left w:w="140" w:type="dxa"/>
              <w:right w:w="140" w:type="dxa"/>
            </w:tcMar>
          </w:tcPr>
          <w:p>
            <w:pPr>
              <w:spacing w:after="40" w:before="40"/>
            </w:pPr>
            <w:r>
              <w:rPr>
                <w:sz w:val="19"/>
              </w:rPr>
              <w:t>2.48 / 5.0</w:t>
            </w:r>
          </w:p>
        </w:tc>
        <w:tc>
          <w:tcPr>
            <w:tcW w:type="dxa" w:w="1170"/>
            <w:shd w:fill="FFFFFF"/>
            <w:tcMar>
              <w:top w:w="100" w:type="dxa"/>
              <w:bottom w:w="100" w:type="dxa"/>
              <w:left w:w="140" w:type="dxa"/>
              <w:right w:w="140" w:type="dxa"/>
            </w:tcMar>
          </w:tcPr>
          <w:p>
            <w:pPr>
              <w:spacing w:after="40" w:before="40"/>
            </w:pPr>
            <w:r>
              <w:rPr>
                <w:sz w:val="19"/>
              </w:rPr>
              <w:t>3.52 / 5.0</w:t>
            </w:r>
          </w:p>
        </w:tc>
        <w:tc>
          <w:tcPr>
            <w:tcW w:type="dxa" w:w="1170"/>
            <w:shd w:fill="FFFFFF"/>
            <w:tcMar>
              <w:top w:w="100" w:type="dxa"/>
              <w:bottom w:w="100" w:type="dxa"/>
              <w:left w:w="140" w:type="dxa"/>
              <w:right w:w="140" w:type="dxa"/>
            </w:tcMar>
          </w:tcPr>
          <w:p>
            <w:pPr>
              <w:spacing w:after="40" w:before="40"/>
            </w:pPr>
            <w:r>
              <w:rPr>
                <w:b/>
                <w:sz w:val="19"/>
              </w:rPr>
              <w:t>1.5 ms</w:t>
            </w:r>
          </w:p>
        </w:tc>
      </w:tr>
      <w:tr>
        <w:tc>
          <w:tcPr>
            <w:tcW w:type="dxa" w:w="1170"/>
            <w:shd w:fill="F9FAFB"/>
            <w:tcMar>
              <w:top w:w="100" w:type="dxa"/>
              <w:bottom w:w="100" w:type="dxa"/>
              <w:left w:w="140" w:type="dxa"/>
              <w:right w:w="140" w:type="dxa"/>
            </w:tcMar>
          </w:tcPr>
          <w:p>
            <w:pPr>
              <w:spacing w:after="40" w:before="40"/>
            </w:pPr>
            <w:r>
              <w:rPr>
                <w:b/>
                <w:sz w:val="19"/>
              </w:rPr>
              <w:t>Simple Baseline</w:t>
            </w:r>
          </w:p>
        </w:tc>
        <w:tc>
          <w:tcPr>
            <w:tcW w:type="dxa" w:w="1170"/>
            <w:shd w:fill="F9FAFB"/>
            <w:tcMar>
              <w:top w:w="100" w:type="dxa"/>
              <w:bottom w:w="100" w:type="dxa"/>
              <w:left w:w="140" w:type="dxa"/>
              <w:right w:w="140" w:type="dxa"/>
            </w:tcMar>
          </w:tcPr>
          <w:p>
            <w:pPr>
              <w:spacing w:after="40" w:before="40"/>
            </w:pPr>
            <w:r>
              <w:rPr>
                <w:sz w:val="19"/>
              </w:rPr>
              <w:t>67.0%</w:t>
            </w:r>
          </w:p>
        </w:tc>
        <w:tc>
          <w:tcPr>
            <w:tcW w:type="dxa" w:w="1170"/>
            <w:shd w:fill="F9FAFB"/>
            <w:tcMar>
              <w:top w:w="100" w:type="dxa"/>
              <w:bottom w:w="100" w:type="dxa"/>
              <w:left w:w="140" w:type="dxa"/>
              <w:right w:w="140" w:type="dxa"/>
            </w:tcMar>
          </w:tcPr>
          <w:p>
            <w:pPr>
              <w:spacing w:after="40" w:before="40"/>
            </w:pPr>
            <w:r>
              <w:rPr>
                <w:sz w:val="19"/>
              </w:rPr>
              <w:t>0.631</w:t>
            </w:r>
          </w:p>
        </w:tc>
        <w:tc>
          <w:tcPr>
            <w:tcW w:type="dxa" w:w="1170"/>
            <w:shd w:fill="F9FAFB"/>
            <w:tcMar>
              <w:top w:w="100" w:type="dxa"/>
              <w:bottom w:w="100" w:type="dxa"/>
              <w:left w:w="140" w:type="dxa"/>
              <w:right w:w="140" w:type="dxa"/>
            </w:tcMar>
          </w:tcPr>
          <w:p>
            <w:pPr>
              <w:spacing w:after="40" w:before="40"/>
            </w:pPr>
            <w:r>
              <w:rPr>
                <w:sz w:val="19"/>
              </w:rPr>
              <w:t>0.547</w:t>
            </w:r>
          </w:p>
        </w:tc>
        <w:tc>
          <w:tcPr>
            <w:tcW w:type="dxa" w:w="1170"/>
            <w:shd w:fill="F9FAFB"/>
            <w:tcMar>
              <w:top w:w="100" w:type="dxa"/>
              <w:bottom w:w="100" w:type="dxa"/>
              <w:left w:w="140" w:type="dxa"/>
              <w:right w:w="140" w:type="dxa"/>
            </w:tcMar>
          </w:tcPr>
          <w:p>
            <w:pPr>
              <w:spacing w:after="40" w:before="40"/>
            </w:pPr>
            <w:r>
              <w:rPr>
                <w:sz w:val="19"/>
              </w:rPr>
              <w:t>42.2%</w:t>
            </w:r>
          </w:p>
        </w:tc>
        <w:tc>
          <w:tcPr>
            <w:tcW w:type="dxa" w:w="1170"/>
            <w:shd w:fill="F9FAFB"/>
            <w:tcMar>
              <w:top w:w="100" w:type="dxa"/>
              <w:bottom w:w="100" w:type="dxa"/>
              <w:left w:w="140" w:type="dxa"/>
              <w:right w:w="140" w:type="dxa"/>
            </w:tcMar>
          </w:tcPr>
          <w:p>
            <w:pPr>
              <w:spacing w:after="40" w:before="40"/>
            </w:pPr>
            <w:r>
              <w:rPr>
                <w:sz w:val="19"/>
              </w:rPr>
              <w:t>4.34 / 5.0</w:t>
            </w:r>
          </w:p>
        </w:tc>
        <w:tc>
          <w:tcPr>
            <w:tcW w:type="dxa" w:w="1170"/>
            <w:shd w:fill="F9FAFB"/>
            <w:tcMar>
              <w:top w:w="100" w:type="dxa"/>
              <w:bottom w:w="100" w:type="dxa"/>
              <w:left w:w="140" w:type="dxa"/>
              <w:right w:w="140" w:type="dxa"/>
            </w:tcMar>
          </w:tcPr>
          <w:p>
            <w:pPr>
              <w:spacing w:after="40" w:before="40"/>
            </w:pPr>
            <w:r>
              <w:rPr>
                <w:sz w:val="19"/>
              </w:rPr>
              <w:t>4.37 / 5.0</w:t>
            </w:r>
          </w:p>
        </w:tc>
        <w:tc>
          <w:tcPr>
            <w:tcW w:type="dxa" w:w="1170"/>
            <w:shd w:fill="F9FAFB"/>
            <w:tcMar>
              <w:top w:w="100" w:type="dxa"/>
              <w:bottom w:w="100" w:type="dxa"/>
              <w:left w:w="140" w:type="dxa"/>
              <w:right w:w="140" w:type="dxa"/>
            </w:tcMar>
          </w:tcPr>
          <w:p>
            <w:pPr>
              <w:spacing w:after="40" w:before="40"/>
            </w:pPr>
            <w:r>
              <w:rPr>
                <w:b/>
                <w:sz w:val="19"/>
              </w:rPr>
              <w:t>1.5 ms</w:t>
            </w:r>
          </w:p>
        </w:tc>
      </w:tr>
      <w:tr>
        <w:tc>
          <w:tcPr>
            <w:tcW w:type="dxa" w:w="1170"/>
            <w:shd w:fill="FFFFFF"/>
            <w:tcMar>
              <w:top w:w="100" w:type="dxa"/>
              <w:bottom w:w="100" w:type="dxa"/>
              <w:left w:w="140" w:type="dxa"/>
              <w:right w:w="140" w:type="dxa"/>
            </w:tcMar>
          </w:tcPr>
          <w:p>
            <w:pPr>
              <w:spacing w:after="40" w:before="40"/>
            </w:pPr>
            <w:r>
              <w:rPr>
                <w:b/>
                <w:sz w:val="19"/>
              </w:rPr>
              <w:t>Proposed Support Agent</w:t>
            </w:r>
          </w:p>
        </w:tc>
        <w:tc>
          <w:tcPr>
            <w:tcW w:type="dxa" w:w="1170"/>
            <w:shd w:fill="FFFFFF"/>
            <w:tcMar>
              <w:top w:w="100" w:type="dxa"/>
              <w:bottom w:w="100" w:type="dxa"/>
              <w:left w:w="140" w:type="dxa"/>
              <w:right w:w="140" w:type="dxa"/>
            </w:tcMar>
          </w:tcPr>
          <w:p>
            <w:pPr>
              <w:spacing w:after="40" w:before="40"/>
            </w:pPr>
            <w:r>
              <w:rPr>
                <w:b/>
                <w:sz w:val="19"/>
              </w:rPr>
              <w:t>76.5%</w:t>
            </w:r>
          </w:p>
        </w:tc>
        <w:tc>
          <w:tcPr>
            <w:tcW w:type="dxa" w:w="1170"/>
            <w:shd w:fill="FFFFFF"/>
            <w:tcMar>
              <w:top w:w="100" w:type="dxa"/>
              <w:bottom w:w="100" w:type="dxa"/>
              <w:left w:w="140" w:type="dxa"/>
              <w:right w:w="140" w:type="dxa"/>
            </w:tcMar>
          </w:tcPr>
          <w:p>
            <w:pPr>
              <w:spacing w:after="40" w:before="40"/>
            </w:pPr>
            <w:r>
              <w:rPr>
                <w:b/>
                <w:sz w:val="19"/>
              </w:rPr>
              <w:t>0.769</w:t>
            </w:r>
          </w:p>
        </w:tc>
        <w:tc>
          <w:tcPr>
            <w:tcW w:type="dxa" w:w="1170"/>
            <w:shd w:fill="FFFFFF"/>
            <w:tcMar>
              <w:top w:w="100" w:type="dxa"/>
              <w:bottom w:w="100" w:type="dxa"/>
              <w:left w:w="140" w:type="dxa"/>
              <w:right w:w="140" w:type="dxa"/>
            </w:tcMar>
          </w:tcPr>
          <w:p>
            <w:pPr>
              <w:spacing w:after="40" w:before="40"/>
            </w:pPr>
            <w:r>
              <w:rPr>
                <w:b/>
                <w:sz w:val="19"/>
              </w:rPr>
              <w:t>0.571</w:t>
            </w:r>
          </w:p>
        </w:tc>
        <w:tc>
          <w:tcPr>
            <w:tcW w:type="dxa" w:w="1170"/>
            <w:shd w:fill="FFFFFF"/>
            <w:tcMar>
              <w:top w:w="100" w:type="dxa"/>
              <w:bottom w:w="100" w:type="dxa"/>
              <w:left w:w="140" w:type="dxa"/>
              <w:right w:w="140" w:type="dxa"/>
            </w:tcMar>
          </w:tcPr>
          <w:p>
            <w:pPr>
              <w:spacing w:after="40" w:before="40"/>
            </w:pPr>
            <w:r>
              <w:rPr>
                <w:b/>
                <w:sz w:val="19"/>
              </w:rPr>
              <w:t>42.2%</w:t>
            </w:r>
          </w:p>
        </w:tc>
        <w:tc>
          <w:tcPr>
            <w:tcW w:type="dxa" w:w="1170"/>
            <w:shd w:fill="FFFFFF"/>
            <w:tcMar>
              <w:top w:w="100" w:type="dxa"/>
              <w:bottom w:w="100" w:type="dxa"/>
              <w:left w:w="140" w:type="dxa"/>
              <w:right w:w="140" w:type="dxa"/>
            </w:tcMar>
          </w:tcPr>
          <w:p>
            <w:pPr>
              <w:spacing w:after="40" w:before="40"/>
            </w:pPr>
            <w:r>
              <w:rPr>
                <w:b/>
                <w:sz w:val="19"/>
              </w:rPr>
              <w:t>4.32 / 5.0</w:t>
            </w:r>
          </w:p>
        </w:tc>
        <w:tc>
          <w:tcPr>
            <w:tcW w:type="dxa" w:w="1170"/>
            <w:shd w:fill="FFFFFF"/>
            <w:tcMar>
              <w:top w:w="100" w:type="dxa"/>
              <w:bottom w:w="100" w:type="dxa"/>
              <w:left w:w="140" w:type="dxa"/>
              <w:right w:w="140" w:type="dxa"/>
            </w:tcMar>
          </w:tcPr>
          <w:p>
            <w:pPr>
              <w:spacing w:after="40" w:before="40"/>
            </w:pPr>
            <w:r>
              <w:rPr>
                <w:b/>
                <w:sz w:val="19"/>
              </w:rPr>
              <w:t>4.43 / 5.0</w:t>
            </w:r>
          </w:p>
        </w:tc>
        <w:tc>
          <w:tcPr>
            <w:tcW w:type="dxa" w:w="1170"/>
            <w:shd w:fill="FFFFFF"/>
            <w:tcMar>
              <w:top w:w="100" w:type="dxa"/>
              <w:bottom w:w="100" w:type="dxa"/>
              <w:left w:w="140" w:type="dxa"/>
              <w:right w:w="140" w:type="dxa"/>
            </w:tcMar>
          </w:tcPr>
          <w:p>
            <w:pPr>
              <w:spacing w:after="40" w:before="40"/>
            </w:pPr>
            <w:r>
              <w:rPr>
                <w:b/>
                <w:sz w:val="19"/>
              </w:rPr>
              <w:t>1.9 ms</w:t>
            </w:r>
          </w:p>
        </w:tc>
      </w:tr>
    </w:tbl>
    <w:p>
      <w:pPr>
        <w:spacing w:after="120"/>
      </w:pPr>
    </w:p>
    <w:p>
      <w:pPr>
        <w:spacing w:before="160" w:after="60"/>
      </w:pPr>
      <w:r>
        <w:rPr>
          <w:rFonts w:ascii="Calibri" w:hAnsi="Calibri"/>
          <w:b/>
          <w:color w:val="4472C4"/>
          <w:sz w:val="24"/>
        </w:rPr>
        <w:t>2.2 Key Findings</w:t>
      </w:r>
    </w:p>
    <w:p>
      <w:pPr>
        <w:pStyle w:val="ListBullet"/>
        <w:spacing w:before="20" w:after="40" w:line="276" w:lineRule="auto"/>
      </w:pPr>
      <w:r>
        <w:t xml:space="preserve">The Proposed Support Agent achieved a </w:t>
      </w:r>
      <w:r>
        <w:rPr>
          <w:b/>
        </w:rPr>
        <w:t>+14.2% absolute gain in Intent Macro-F1</w:t>
      </w:r>
      <w:r>
        <w:t xml:space="preserve"> over the Simple Baseline (0.769 vs 0.631) and </w:t>
      </w:r>
      <w:r>
        <w:rPr>
          <w:b/>
        </w:rPr>
        <w:t>+71.4% gain over the Trivial Baseline</w:t>
      </w:r>
      <w:r>
        <w:t>.</w:t>
      </w:r>
    </w:p>
    <w:p>
      <w:pPr>
        <w:pStyle w:val="ListBullet"/>
        <w:spacing w:before="20" w:after="40" w:line="276" w:lineRule="auto"/>
      </w:pPr>
      <w:r>
        <w:t xml:space="preserve">In LLM-as-a-Judge overall quality (evaluating Groundedness, Helpfulness, Tone, and Escalation), the Proposed Agent scored </w:t>
      </w:r>
      <w:r>
        <w:rPr>
          <w:b/>
        </w:rPr>
        <w:t>4.43 / 5.0</w:t>
      </w:r>
      <w:r>
        <w:t>, demonstrating superior policy adherence and brand voice.</w:t>
      </w:r>
    </w:p>
    <w:p>
      <w:pPr>
        <w:pStyle w:val="ListBullet"/>
        <w:spacing w:before="20" w:after="40" w:line="276" w:lineRule="auto"/>
      </w:pPr>
      <w:r>
        <w:t>Sub-2ms end-to-end latency ensures the agent can handle massive Twitter stream throughput (&gt;500 req/sec per CPU core).</w:t>
      </w:r>
    </w:p>
    <w:p>
      <w:pPr>
        <w:spacing w:before="80" w:after="160"/>
        <w:pBdr>
          <w:bottom w:val="single" w:sz="6" w:space="1" w:color="D3D3D3"/>
        </w:pBdr>
      </w:pPr>
    </w:p>
    <w:p>
      <w:pPr>
        <w:spacing w:before="240" w:after="80"/>
      </w:pPr>
      <w:r>
        <w:rPr>
          <w:rFonts w:ascii="Calibri Light" w:hAnsi="Calibri Light"/>
          <w:b/>
          <w:color w:val="1F4E79"/>
          <w:sz w:val="30"/>
        </w:rPr>
        <w:t>3. Failure Analysis: Top 5 Failure Modes</w:t>
      </w:r>
    </w:p>
    <w:p>
      <w:pPr>
        <w:spacing w:after="100" w:before="0" w:line="276" w:lineRule="auto"/>
        <w:jc w:val="left"/>
      </w:pPr>
      <w:r>
        <w:t>Rigorous error analysis on misclassified or misrouted instances revealed five distinct failure modes:</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180" w:type="dxa"/>
              <w:right w:w="180" w:type="dxa"/>
            </w:tcMar>
          </w:tcPr>
          <w:p>
            <w:pPr>
              <w:spacing w:before="40" w:after="40" w:line="252" w:lineRule="auto"/>
            </w:pPr>
            <w:r>
              <w:rPr>
                <w:rFonts w:ascii="Consolas" w:hAnsi="Consolas"/>
                <w:color w:val="1E1E1E"/>
                <w:sz w:val="18"/>
              </w:rPr>
              <w:t>+-------------------------------------------------------------------------------+</w:t>
              <w:br/>
              <w:t>|                        FAILURE MODE DISTRIBUTION                              |</w:t>
              <w:br/>
              <w:t>|                                                                               |</w:t>
              <w:br/>
              <w:t>|  [FM-1] Multi-Intent Compound Queries                   [36%] #############   |</w:t>
              <w:br/>
              <w:t>|  [FM-2] Implicit Account Verification Triggers          [24%] #########       |</w:t>
              <w:br/>
              <w:t>|  [FM-3] Sarcasm &amp; Sarcastic Frustration Polarity        [18%] ######          |</w:t>
              <w:br/>
              <w:t>|  [FM-4] Ambiguous Carrier Code vs Device Model Lexicon   [12%] ####            |</w:t>
              <w:br/>
              <w:t>|  [FM-5] Out-of-Policy Exceptions Requiring Discretion   [10%] ###             |</w:t>
              <w:br/>
              <w:t>+-------------------------------------------------------------------------------+</w:t>
            </w:r>
          </w:p>
        </w:tc>
      </w:tr>
    </w:tbl>
    <w:p>
      <w:pPr>
        <w:spacing w:after="80"/>
      </w:pPr>
    </w:p>
    <w:p>
      <w:pPr>
        <w:spacing w:before="160" w:after="60"/>
      </w:pPr>
      <w:r>
        <w:rPr>
          <w:rFonts w:ascii="Calibri" w:hAnsi="Calibri"/>
          <w:b/>
          <w:color w:val="4472C4"/>
          <w:sz w:val="24"/>
        </w:rPr>
        <w:t>Failure Mode 1: Multi-Intent Compound Queries (36% of errors)</w:t>
      </w:r>
    </w:p>
    <w:p>
      <w:pPr>
        <w:pStyle w:val="ListBullet"/>
        <w:spacing w:before="20" w:after="40" w:line="276" w:lineRule="auto"/>
      </w:pPr>
      <w:r>
        <w:rPr>
          <w:b/>
        </w:rPr>
        <w:t>Real Example</w:t>
      </w:r>
      <w:r>
        <w:t xml:space="preserve">: </w:t>
      </w:r>
      <w:r>
        <w:rPr>
          <w:i/>
        </w:rPr>
        <w:t>"Ordered a Kindle Paperwhite that arrived with a cracked screen, but your return label won't print. Need a refund now."</w:t>
      </w:r>
    </w:p>
    <w:p>
      <w:pPr>
        <w:pStyle w:val="ListBullet"/>
        <w:spacing w:before="20" w:after="40" w:line="276" w:lineRule="auto"/>
      </w:pPr>
      <w:r>
        <w:rPr>
          <w:b/>
        </w:rPr>
        <w:t>Observed Behavior</w:t>
      </w:r>
      <w:r>
        <w:t xml:space="preserve">: Classifier predicted </w:t>
      </w:r>
      <w:r>
        <w:rPr>
          <w:rFonts w:ascii="Consolas" w:hAnsi="Consolas"/>
          <w:color w:val="B42828"/>
          <w:sz w:val="19"/>
        </w:rPr>
        <w:t>DAMAGED_DEFECTIVE_ITEM</w:t>
      </w:r>
      <w:r>
        <w:t xml:space="preserve">, while the golden label prioritized </w:t>
      </w:r>
      <w:r>
        <w:rPr>
          <w:rFonts w:ascii="Consolas" w:hAnsi="Consolas"/>
          <w:color w:val="B42828"/>
          <w:sz w:val="19"/>
        </w:rPr>
        <w:t>REFUND_AND_RETURNS</w:t>
      </w:r>
      <w:r>
        <w:t xml:space="preserve"> due to the immediate label blocking issue.</w:t>
      </w:r>
    </w:p>
    <w:p>
      <w:pPr>
        <w:pStyle w:val="ListBullet"/>
        <w:spacing w:before="20" w:after="40" w:line="276" w:lineRule="auto"/>
      </w:pPr>
      <w:r>
        <w:rPr>
          <w:b/>
        </w:rPr>
        <w:t>Hypothesis &amp; Root Cause</w:t>
      </w:r>
      <w:r>
        <w:t>: Single-label classification architectures struggle when a customer experiences a sequence of failures (hardware defect → label failure → refund request).</w:t>
      </w:r>
    </w:p>
    <w:p>
      <w:pPr>
        <w:pStyle w:val="ListBullet"/>
        <w:spacing w:before="20" w:after="40" w:line="276" w:lineRule="auto"/>
      </w:pPr>
      <w:r>
        <w:rPr>
          <w:b/>
        </w:rPr>
        <w:t>Proposed Fix</w:t>
      </w:r>
      <w:r>
        <w:t>: Implement hierarchical multi-label tagging where secondary intents trigger composite resolution templates.</w:t>
      </w:r>
    </w:p>
    <w:p>
      <w:pPr>
        <w:spacing w:before="160" w:after="60"/>
      </w:pPr>
      <w:r>
        <w:rPr>
          <w:rFonts w:ascii="Calibri" w:hAnsi="Calibri"/>
          <w:b/>
          <w:color w:val="4472C4"/>
          <w:sz w:val="24"/>
        </w:rPr>
        <w:t>Failure Mode 2: Implicit Account Verification Triggers (24% of errors)</w:t>
      </w:r>
    </w:p>
    <w:p>
      <w:pPr>
        <w:pStyle w:val="ListBullet"/>
        <w:spacing w:before="20" w:after="40" w:line="276" w:lineRule="auto"/>
      </w:pPr>
      <w:r>
        <w:rPr>
          <w:b/>
        </w:rPr>
        <w:t>Real Example</w:t>
      </w:r>
      <w:r>
        <w:t xml:space="preserve">: </w:t>
      </w:r>
      <w:r>
        <w:rPr>
          <w:i/>
        </w:rPr>
        <w:t>"Why did my order get cancelled automatically after saying out for delivery?"</w:t>
      </w:r>
    </w:p>
    <w:p>
      <w:pPr>
        <w:pStyle w:val="ListBullet"/>
        <w:spacing w:before="20" w:after="40" w:line="276" w:lineRule="auto"/>
      </w:pPr>
      <w:r>
        <w:rPr>
          <w:b/>
        </w:rPr>
        <w:t>Observed Behavior</w:t>
      </w:r>
      <w:r>
        <w:t xml:space="preserve">: Model treated this as an informational </w:t>
      </w:r>
      <w:r>
        <w:rPr>
          <w:rFonts w:ascii="Consolas" w:hAnsi="Consolas"/>
          <w:color w:val="B42828"/>
          <w:sz w:val="19"/>
        </w:rPr>
        <w:t>ORDER_STATUS_DELIVERY</w:t>
      </w:r>
      <w:r>
        <w:t xml:space="preserve"> query and provided self-service tracking links, missing the fact that automatic cancellation often implies warehouse return or payment failure requiring account lookup.</w:t>
      </w:r>
    </w:p>
    <w:p>
      <w:pPr>
        <w:pStyle w:val="ListBullet"/>
        <w:spacing w:before="20" w:after="40" w:line="276" w:lineRule="auto"/>
      </w:pPr>
      <w:r>
        <w:rPr>
          <w:b/>
        </w:rPr>
        <w:t>Hypothesis</w:t>
      </w:r>
      <w:r>
        <w:t>: The lexical escalation engine required explicit keywords like "order ID" or "account email", missing conversational pragmatics.</w:t>
      </w:r>
    </w:p>
    <w:p>
      <w:pPr>
        <w:pStyle w:val="ListBullet"/>
        <w:spacing w:before="20" w:after="40" w:line="276" w:lineRule="auto"/>
      </w:pPr>
      <w:r>
        <w:rPr>
          <w:b/>
        </w:rPr>
        <w:t>Proposed Fix</w:t>
      </w:r>
      <w:r>
        <w:t>: Train a sequence-level intent transition model that detects unexpected order state transitions.</w:t>
      </w:r>
    </w:p>
    <w:p>
      <w:pPr>
        <w:spacing w:before="160" w:after="60"/>
      </w:pPr>
      <w:r>
        <w:rPr>
          <w:rFonts w:ascii="Calibri" w:hAnsi="Calibri"/>
          <w:b/>
          <w:color w:val="4472C4"/>
          <w:sz w:val="24"/>
        </w:rPr>
        <w:t>Failure Mode 3: Sarcastic Frustration &amp; Sentiment Polarity Inversion (18% of errors)</w:t>
      </w:r>
    </w:p>
    <w:p>
      <w:pPr>
        <w:pStyle w:val="ListBullet"/>
        <w:spacing w:before="20" w:after="40" w:line="276" w:lineRule="auto"/>
      </w:pPr>
      <w:r>
        <w:rPr>
          <w:b/>
        </w:rPr>
        <w:t>Real Example</w:t>
      </w:r>
      <w:r>
        <w:t xml:space="preserve">: </w:t>
      </w:r>
      <w:r>
        <w:rPr>
          <w:i/>
        </w:rPr>
        <w:t>"Oh wonderful, another package thrown over the fence into the rain. Truly world-class delivery service Amazon!"</w:t>
      </w:r>
    </w:p>
    <w:p>
      <w:pPr>
        <w:pStyle w:val="ListBullet"/>
        <w:spacing w:before="20" w:after="40" w:line="276" w:lineRule="auto"/>
      </w:pPr>
      <w:r>
        <w:rPr>
          <w:b/>
        </w:rPr>
        <w:t>Observed Behavior</w:t>
      </w:r>
      <w:r>
        <w:t>: Positive surface tokens (</w:t>
      </w:r>
      <w:r>
        <w:rPr>
          <w:i/>
        </w:rPr>
        <w:t>"wonderful"</w:t>
      </w:r>
      <w:r>
        <w:t xml:space="preserve">, </w:t>
      </w:r>
      <w:r>
        <w:rPr>
          <w:i/>
        </w:rPr>
        <w:t>"world-class"</w:t>
      </w:r>
      <w:r>
        <w:t>) dampened the negative sentiment score, causing the bot to initially generate a neutral polite reply before rule fallback.</w:t>
      </w:r>
    </w:p>
    <w:p>
      <w:pPr>
        <w:pStyle w:val="ListBullet"/>
        <w:spacing w:before="20" w:after="40" w:line="276" w:lineRule="auto"/>
      </w:pPr>
      <w:r>
        <w:rPr>
          <w:b/>
        </w:rPr>
        <w:t>Hypothesis</w:t>
      </w:r>
      <w:r>
        <w:t>: Bag-of-words and shallow sentiment lexicons fail on sarcastic polarity inversion.</w:t>
      </w:r>
    </w:p>
    <w:p>
      <w:pPr>
        <w:pStyle w:val="ListBullet"/>
        <w:spacing w:before="20" w:after="40" w:line="276" w:lineRule="auto"/>
      </w:pPr>
      <w:r>
        <w:rPr>
          <w:b/>
        </w:rPr>
        <w:t>Proposed Fix</w:t>
      </w:r>
      <w:r>
        <w:t>: Use contextual embeddings fine-tuned on customer service sarcasm (e.g. DeBERTa-v3-small).</w:t>
      </w:r>
    </w:p>
    <w:p>
      <w:pPr>
        <w:spacing w:before="160" w:after="60"/>
      </w:pPr>
      <w:r>
        <w:rPr>
          <w:rFonts w:ascii="Calibri" w:hAnsi="Calibri"/>
          <w:b/>
          <w:color w:val="4472C4"/>
          <w:sz w:val="24"/>
        </w:rPr>
        <w:t>Failure Mode 4: Ambiguous Carrier Code vs Device Model Lexicon (12% of errors)</w:t>
      </w:r>
    </w:p>
    <w:p>
      <w:pPr>
        <w:pStyle w:val="ListBullet"/>
        <w:spacing w:before="20" w:after="40" w:line="276" w:lineRule="auto"/>
      </w:pPr>
      <w:r>
        <w:rPr>
          <w:b/>
        </w:rPr>
        <w:t>Real Example</w:t>
      </w:r>
      <w:r>
        <w:t xml:space="preserve">: </w:t>
      </w:r>
      <w:r>
        <w:rPr>
          <w:i/>
        </w:rPr>
        <w:t>"Fire stick remote TBA update failed."</w:t>
      </w:r>
    </w:p>
    <w:p>
      <w:pPr>
        <w:pStyle w:val="ListBullet"/>
        <w:spacing w:before="20" w:after="40" w:line="276" w:lineRule="auto"/>
      </w:pPr>
      <w:r>
        <w:rPr>
          <w:b/>
        </w:rPr>
        <w:t>Observed Behavior</w:t>
      </w:r>
      <w:r>
        <w:t xml:space="preserve">: Presence of token </w:t>
      </w:r>
      <w:r>
        <w:rPr>
          <w:rFonts w:ascii="Consolas" w:hAnsi="Consolas"/>
          <w:color w:val="B42828"/>
          <w:sz w:val="19"/>
        </w:rPr>
        <w:t>"TBA"</w:t>
      </w:r>
      <w:r>
        <w:t xml:space="preserve"> (Amazon Logistics carrier prefix) pulled the query toward </w:t>
      </w:r>
      <w:r>
        <w:rPr>
          <w:rFonts w:ascii="Consolas" w:hAnsi="Consolas"/>
          <w:color w:val="B42828"/>
          <w:sz w:val="19"/>
        </w:rPr>
        <w:t>ORDER_STATUS_DELIVERY</w:t>
      </w:r>
      <w:r>
        <w:t xml:space="preserve"> instead of </w:t>
      </w:r>
      <w:r>
        <w:rPr>
          <w:rFonts w:ascii="Consolas" w:hAnsi="Consolas"/>
          <w:color w:val="B42828"/>
          <w:sz w:val="19"/>
        </w:rPr>
        <w:t>PRODUCT_TROUBLESHOOTING</w:t>
      </w:r>
      <w:r>
        <w:t>.</w:t>
      </w:r>
    </w:p>
    <w:p>
      <w:pPr>
        <w:pStyle w:val="ListBullet"/>
        <w:spacing w:before="20" w:after="40" w:line="276" w:lineRule="auto"/>
      </w:pPr>
      <w:r>
        <w:rPr>
          <w:b/>
        </w:rPr>
        <w:t>Hypothesis</w:t>
      </w:r>
      <w:r>
        <w:t>: Keyword overlap between carrier prefix acronyms and colloquial slang.</w:t>
      </w:r>
    </w:p>
    <w:p>
      <w:pPr>
        <w:pStyle w:val="ListBullet"/>
        <w:spacing w:before="20" w:after="40" w:line="276" w:lineRule="auto"/>
      </w:pPr>
      <w:r>
        <w:rPr>
          <w:b/>
        </w:rPr>
        <w:t>Proposed Fix</w:t>
      </w:r>
      <w:r>
        <w:t>: Implement Named Entity Recognition (NER) to explicitly parse tracking numbers into discrete entities before intent classification.</w:t>
      </w:r>
    </w:p>
    <w:p>
      <w:pPr>
        <w:spacing w:before="160" w:after="60"/>
      </w:pPr>
      <w:r>
        <w:rPr>
          <w:rFonts w:ascii="Calibri" w:hAnsi="Calibri"/>
          <w:b/>
          <w:color w:val="4472C4"/>
          <w:sz w:val="24"/>
        </w:rPr>
        <w:t>Failure Mode 5: Out-of-Policy Exceptions Requiring Discretion (10% of errors)</w:t>
      </w:r>
    </w:p>
    <w:p>
      <w:pPr>
        <w:pStyle w:val="ListBullet"/>
        <w:spacing w:before="20" w:after="40" w:line="276" w:lineRule="auto"/>
      </w:pPr>
      <w:r>
        <w:rPr>
          <w:b/>
        </w:rPr>
        <w:t>Real Example</w:t>
      </w:r>
      <w:r>
        <w:t xml:space="preserve">: </w:t>
      </w:r>
      <w:r>
        <w:rPr>
          <w:i/>
        </w:rPr>
        <w:t>"My mother was in the hospital for 40 days and missed the 30-day return window for a medical walker. Can you please accept the return?"</w:t>
      </w:r>
    </w:p>
    <w:p>
      <w:pPr>
        <w:pStyle w:val="ListBullet"/>
        <w:spacing w:before="20" w:after="40" w:line="276" w:lineRule="auto"/>
      </w:pPr>
      <w:r>
        <w:rPr>
          <w:b/>
        </w:rPr>
        <w:t>Observed Behavior</w:t>
      </w:r>
      <w:r>
        <w:t>: Model generated standard 30-day return policy rejection advice.</w:t>
      </w:r>
    </w:p>
    <w:p>
      <w:pPr>
        <w:pStyle w:val="ListBullet"/>
        <w:spacing w:before="20" w:after="40" w:line="276" w:lineRule="auto"/>
      </w:pPr>
      <w:r>
        <w:rPr>
          <w:b/>
        </w:rPr>
        <w:t>Hypothesis</w:t>
      </w:r>
      <w:r>
        <w:t>: The agent lacks human empathetic discretion for emergency medical exceptions.</w:t>
      </w:r>
    </w:p>
    <w:p>
      <w:pPr>
        <w:pStyle w:val="ListBullet"/>
        <w:spacing w:before="20" w:after="40" w:line="276" w:lineRule="auto"/>
      </w:pPr>
      <w:r>
        <w:rPr>
          <w:b/>
        </w:rPr>
        <w:t>Proposed Fix</w:t>
      </w:r>
      <w:r>
        <w:t>: Implement compassionate policy exception flags that immediately route medical/emergency claims to human leads.</w:t>
      </w:r>
    </w:p>
    <w:p>
      <w:pPr>
        <w:spacing w:before="80" w:after="160"/>
        <w:pBdr>
          <w:bottom w:val="single" w:sz="6" w:space="1" w:color="D3D3D3"/>
        </w:pBdr>
      </w:pPr>
    </w:p>
    <w:p>
      <w:pPr>
        <w:spacing w:before="240" w:after="80"/>
      </w:pPr>
      <w:r>
        <w:rPr>
          <w:rFonts w:ascii="Calibri Light" w:hAnsi="Calibri Light"/>
          <w:b/>
          <w:color w:val="1F4E79"/>
          <w:sz w:val="30"/>
        </w:rPr>
        <w:t>4. "What is Misleading About My Headline Number?"</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Pr>
          <w:p>
            <w:pPr>
              <w:spacing w:before="40" w:after="40"/>
            </w:pPr>
            <w:r>
              <w:rPr>
                <w:b/>
                <w:i/>
                <w:sz w:val="20"/>
              </w:rPr>
              <w:t>Mandatory Section</w:t>
            </w:r>
            <w:r>
              <w:rPr>
                <w:i/>
                <w:sz w:val="20"/>
              </w:rPr>
              <w:t>: Intellectual honesty is central to building trustworthy AI systems. Headline benchmark numbers (e.g., 76.5% accuracy, 4.43/5.0 judge score) can create a false sense of production readiness. Below is a critical analysis of why offline numbers overstate or distort real-world performance.</w:t>
            </w:r>
          </w:p>
        </w:tc>
      </w:tr>
    </w:tbl>
    <w:p>
      <w:pPr>
        <w:spacing w:after="80"/>
      </w:pPr>
    </w:p>
    <w:p>
      <w:pPr>
        <w:spacing w:before="160" w:after="60"/>
      </w:pPr>
      <w:r>
        <w:rPr>
          <w:rFonts w:ascii="Calibri" w:hAnsi="Calibri"/>
          <w:b/>
          <w:color w:val="4472C4"/>
          <w:sz w:val="24"/>
        </w:rPr>
        <w:t>1. Offline Golden Dataset vs. Live Production Distribution Shift</w:t>
      </w:r>
    </w:p>
    <w:p>
      <w:pPr>
        <w:spacing w:after="100" w:before="0" w:line="276" w:lineRule="auto"/>
        <w:jc w:val="left"/>
      </w:pPr>
      <w:r>
        <w:t>Our 200-sample golden set is balanced across 7 intents (~14% each) to rigorously test edge cases. In live Twitter production, the distribution is heavily skewed toward delivery status (&gt;45%) and returns (&gt;25%). A model optimized on balanced macro-F1 will experience different operational throughput and error distributions in production.</w:t>
      </w:r>
    </w:p>
    <w:p>
      <w:pPr>
        <w:spacing w:before="160" w:after="60"/>
      </w:pPr>
      <w:r>
        <w:rPr>
          <w:rFonts w:ascii="Calibri" w:hAnsi="Calibri"/>
          <w:b/>
          <w:color w:val="4472C4"/>
          <w:sz w:val="24"/>
        </w:rPr>
        <w:t>2. Private DM Context Blindspot</w:t>
      </w:r>
    </w:p>
    <w:p>
      <w:pPr>
        <w:spacing w:after="100" w:before="0" w:line="276" w:lineRule="auto"/>
        <w:jc w:val="left"/>
      </w:pPr>
      <w:r>
        <w:t>On Twitter, the most critical part of customer service occurs in private Direct Messages (DMs) after the initial public tweet. Our evaluation measures only the initial public turn. A high public reply score does not guarantee that the customer's downstream issue was successfully resolved in DMs.</w:t>
      </w:r>
    </w:p>
    <w:p>
      <w:pPr>
        <w:spacing w:before="160" w:after="60"/>
      </w:pPr>
      <w:r>
        <w:rPr>
          <w:rFonts w:ascii="Calibri" w:hAnsi="Calibri"/>
          <w:b/>
          <w:color w:val="4472C4"/>
          <w:sz w:val="24"/>
        </w:rPr>
        <w:t>3. LLM-as-a-Judge Self-Preference &amp; Length Bias</w:t>
      </w:r>
    </w:p>
    <w:p>
      <w:pPr>
        <w:spacing w:after="100" w:before="0" w:line="276" w:lineRule="auto"/>
        <w:jc w:val="left"/>
      </w:pPr>
      <w:r>
        <w:t xml:space="preserve">LLM judges inherently prefer structured, polite, and comprehensive responses. In our Human vs. Judge calibration study, the LLM Judge awarded high scores (4.5+) to well-phrased canned templates even when human annotators found them slightly robotic. The metric measures </w:t>
      </w:r>
      <w:r>
        <w:rPr>
          <w:i/>
        </w:rPr>
        <w:t>policy compliance</w:t>
      </w:r>
      <w:r>
        <w:t xml:space="preserve">, not necessarily </w:t>
      </w:r>
      <w:r>
        <w:rPr>
          <w:i/>
        </w:rPr>
        <w:t>customer delight</w:t>
      </w:r>
      <w:r>
        <w:t>.</w:t>
      </w:r>
    </w:p>
    <w:p>
      <w:pPr>
        <w:spacing w:before="160" w:after="60"/>
      </w:pPr>
      <w:r>
        <w:rPr>
          <w:rFonts w:ascii="Calibri" w:hAnsi="Calibri"/>
          <w:b/>
          <w:color w:val="4472C4"/>
          <w:sz w:val="24"/>
        </w:rPr>
        <w:t>4. Synthetic Adversarial Leakage</w:t>
      </w:r>
    </w:p>
    <w:p>
      <w:pPr>
        <w:spacing w:after="100" w:before="0" w:line="276" w:lineRule="auto"/>
        <w:jc w:val="left"/>
      </w:pPr>
      <w:r>
        <w:t>Our adversarial edge cases were curated to test known failure modes. True production adversaries (coordinated bot spam, social engineering, active prompt injection attacks) are far more diverse than offline test sets.</w:t>
      </w:r>
    </w:p>
    <w:p>
      <w:pPr>
        <w:spacing w:before="80" w:after="160"/>
        <w:pBdr>
          <w:bottom w:val="single" w:sz="6" w:space="1" w:color="D3D3D3"/>
        </w:pBdr>
      </w:pPr>
    </w:p>
    <w:p>
      <w:pPr>
        <w:spacing w:before="240" w:after="80"/>
      </w:pPr>
      <w:r>
        <w:rPr>
          <w:rFonts w:ascii="Calibri Light" w:hAnsi="Calibri Light"/>
          <w:b/>
          <w:color w:val="1F4E79"/>
          <w:sz w:val="30"/>
        </w:rPr>
        <w:t>5. Cloud SLM Fine-Tuning: Dual Nvidia Tesla T4 QLoRA Benchmark (Llama 3.2 1B)</w:t>
      </w:r>
    </w:p>
    <w:p>
      <w:pPr>
        <w:spacing w:after="100" w:before="0" w:line="276" w:lineRule="auto"/>
        <w:jc w:val="left"/>
      </w:pPr>
      <w:r>
        <w:t>To evaluate whether an on-device Small Language Model (SLM) can eliminate external proprietary API dependencies (e.g. OpenAI/Anthropic/Gemini) while respecting Twitter's strict operational constraints, we executed a full 3-epoch QLoRA fine-tuning experiment on Kaggle Dual Nvidia Tesla T4 GPUs.</w:t>
      </w:r>
    </w:p>
    <w:p>
      <w:pPr>
        <w:spacing w:before="160" w:after="60"/>
      </w:pPr>
      <w:r>
        <w:rPr>
          <w:rFonts w:ascii="Calibri" w:hAnsi="Calibri"/>
          <w:b/>
          <w:color w:val="4472C4"/>
          <w:sz w:val="24"/>
        </w:rPr>
        <w:t>5.1 Experimental Configuration &amp; Hardware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F4E79"/>
            <w:tcMar>
              <w:top w:w="120" w:type="dxa"/>
              <w:bottom w:w="120" w:type="dxa"/>
              <w:left w:w="150" w:type="dxa"/>
              <w:right w:w="150" w:type="dxa"/>
            </w:tcMar>
          </w:tcPr>
          <w:p>
            <w:pPr>
              <w:spacing w:after="40" w:before="40"/>
              <w:jc w:val="center"/>
            </w:pPr>
            <w:r>
              <w:rPr>
                <w:b/>
                <w:color w:val="FFFFFF"/>
                <w:sz w:val="20"/>
              </w:rPr>
              <w:t>Parameter</w:t>
            </w:r>
          </w:p>
        </w:tc>
        <w:tc>
          <w:tcPr>
            <w:tcW w:type="dxa" w:w="3120"/>
            <w:shd w:fill="1F4E79"/>
            <w:tcMar>
              <w:top w:w="120" w:type="dxa"/>
              <w:bottom w:w="120" w:type="dxa"/>
              <w:left w:w="150" w:type="dxa"/>
              <w:right w:w="150" w:type="dxa"/>
            </w:tcMar>
          </w:tcPr>
          <w:p>
            <w:pPr>
              <w:spacing w:after="40" w:before="40"/>
              <w:jc w:val="center"/>
            </w:pPr>
            <w:r>
              <w:rPr>
                <w:b/>
                <w:color w:val="FFFFFF"/>
                <w:sz w:val="20"/>
              </w:rPr>
              <w:t>Specification</w:t>
            </w:r>
          </w:p>
        </w:tc>
        <w:tc>
          <w:tcPr>
            <w:tcW w:type="dxa" w:w="3120"/>
            <w:shd w:fill="1F4E79"/>
            <w:tcMar>
              <w:top w:w="120" w:type="dxa"/>
              <w:bottom w:w="120" w:type="dxa"/>
              <w:left w:w="150" w:type="dxa"/>
              <w:right w:w="150" w:type="dxa"/>
            </w:tcMar>
          </w:tcPr>
          <w:p>
            <w:pPr>
              <w:spacing w:after="40" w:before="40"/>
              <w:jc w:val="center"/>
            </w:pPr>
            <w:r>
              <w:rPr>
                <w:b/>
                <w:color w:val="FFFFFF"/>
                <w:sz w:val="20"/>
              </w:rPr>
              <w:t>Engineering Rationale</w:t>
            </w:r>
          </w:p>
        </w:tc>
      </w:tr>
      <w:tr>
        <w:tc>
          <w:tcPr>
            <w:tcW w:type="dxa" w:w="3120"/>
            <w:shd w:fill="FFFFFF"/>
            <w:tcMar>
              <w:top w:w="100" w:type="dxa"/>
              <w:bottom w:w="100" w:type="dxa"/>
              <w:left w:w="140" w:type="dxa"/>
              <w:right w:w="140" w:type="dxa"/>
            </w:tcMar>
          </w:tcPr>
          <w:p>
            <w:pPr>
              <w:spacing w:after="40" w:before="40"/>
            </w:pPr>
            <w:r>
              <w:rPr>
                <w:b/>
                <w:sz w:val="19"/>
              </w:rPr>
              <w:t>Base Model</w:t>
            </w:r>
          </w:p>
        </w:tc>
        <w:tc>
          <w:tcPr>
            <w:tcW w:type="dxa" w:w="3120"/>
            <w:shd w:fill="FFFFFF"/>
            <w:tcMar>
              <w:top w:w="100" w:type="dxa"/>
              <w:bottom w:w="100" w:type="dxa"/>
              <w:left w:w="140" w:type="dxa"/>
              <w:right w:w="140" w:type="dxa"/>
            </w:tcMar>
          </w:tcPr>
          <w:p>
            <w:pPr>
              <w:spacing w:after="40" w:before="40"/>
            </w:pPr>
            <w:r>
              <w:rPr>
                <w:rFonts w:ascii="Consolas" w:hAnsi="Consolas"/>
                <w:color w:val="B42828"/>
                <w:sz w:val="19"/>
              </w:rPr>
              <w:t>unsloth/Llama-3.2-1B-Instruct</w:t>
            </w:r>
          </w:p>
        </w:tc>
        <w:tc>
          <w:tcPr>
            <w:tcW w:type="dxa" w:w="3120"/>
            <w:shd w:fill="FFFFFF"/>
            <w:tcMar>
              <w:top w:w="100" w:type="dxa"/>
              <w:bottom w:w="100" w:type="dxa"/>
              <w:left w:w="140" w:type="dxa"/>
              <w:right w:w="140" w:type="dxa"/>
            </w:tcMar>
          </w:tcPr>
          <w:p>
            <w:pPr>
              <w:spacing w:after="40" w:before="40"/>
            </w:pPr>
            <w:r>
              <w:rPr>
                <w:sz w:val="19"/>
              </w:rPr>
              <w:t>Compact 1.25B parameter causal LM; low latency on edge or single GPU</w:t>
            </w:r>
          </w:p>
        </w:tc>
      </w:tr>
      <w:tr>
        <w:tc>
          <w:tcPr>
            <w:tcW w:type="dxa" w:w="3120"/>
            <w:shd w:fill="F9FAFB"/>
            <w:tcMar>
              <w:top w:w="100" w:type="dxa"/>
              <w:bottom w:w="100" w:type="dxa"/>
              <w:left w:w="140" w:type="dxa"/>
              <w:right w:w="140" w:type="dxa"/>
            </w:tcMar>
          </w:tcPr>
          <w:p>
            <w:pPr>
              <w:spacing w:after="40" w:before="40"/>
            </w:pPr>
            <w:r>
              <w:rPr>
                <w:b/>
                <w:sz w:val="19"/>
              </w:rPr>
              <w:t>Quantization</w:t>
            </w:r>
          </w:p>
        </w:tc>
        <w:tc>
          <w:tcPr>
            <w:tcW w:type="dxa" w:w="3120"/>
            <w:shd w:fill="F9FAFB"/>
            <w:tcMar>
              <w:top w:w="100" w:type="dxa"/>
              <w:bottom w:w="100" w:type="dxa"/>
              <w:left w:w="140" w:type="dxa"/>
              <w:right w:w="140" w:type="dxa"/>
            </w:tcMar>
          </w:tcPr>
          <w:p>
            <w:pPr>
              <w:spacing w:after="40" w:before="40"/>
            </w:pPr>
            <w:r>
              <w:rPr>
                <w:sz w:val="19"/>
              </w:rPr>
              <w:t>4-bit NF4 (</w:t>
            </w:r>
            <w:r>
              <w:rPr>
                <w:rFonts w:ascii="Consolas" w:hAnsi="Consolas"/>
                <w:color w:val="B42828"/>
                <w:sz w:val="19"/>
              </w:rPr>
              <w:t>bitsandbytes</w:t>
            </w:r>
            <w:r>
              <w:rPr>
                <w:sz w:val="19"/>
              </w:rPr>
              <w:t>) with double quant</w:t>
            </w:r>
          </w:p>
        </w:tc>
        <w:tc>
          <w:tcPr>
            <w:tcW w:type="dxa" w:w="3120"/>
            <w:shd w:fill="F9FAFB"/>
            <w:tcMar>
              <w:top w:w="100" w:type="dxa"/>
              <w:bottom w:w="100" w:type="dxa"/>
              <w:left w:w="140" w:type="dxa"/>
              <w:right w:w="140" w:type="dxa"/>
            </w:tcMar>
          </w:tcPr>
          <w:p>
            <w:pPr>
              <w:spacing w:after="40" w:before="40"/>
            </w:pPr>
            <w:r>
              <w:rPr>
                <w:sz w:val="19"/>
              </w:rPr>
              <w:t>Reduces base weight VRAM footprint from ~5 GB to ~1.3 GB per GPU</w:t>
            </w:r>
          </w:p>
        </w:tc>
      </w:tr>
      <w:tr>
        <w:tc>
          <w:tcPr>
            <w:tcW w:type="dxa" w:w="3120"/>
            <w:shd w:fill="FFFFFF"/>
            <w:tcMar>
              <w:top w:w="100" w:type="dxa"/>
              <w:bottom w:w="100" w:type="dxa"/>
              <w:left w:w="140" w:type="dxa"/>
              <w:right w:w="140" w:type="dxa"/>
            </w:tcMar>
          </w:tcPr>
          <w:p>
            <w:pPr>
              <w:spacing w:after="40" w:before="40"/>
            </w:pPr>
            <w:r>
              <w:rPr>
                <w:b/>
                <w:sz w:val="19"/>
              </w:rPr>
              <w:t>Adapter Architecture</w:t>
            </w:r>
          </w:p>
        </w:tc>
        <w:tc>
          <w:tcPr>
            <w:tcW w:type="dxa" w:w="3120"/>
            <w:shd w:fill="FFFFFF"/>
            <w:tcMar>
              <w:top w:w="100" w:type="dxa"/>
              <w:bottom w:w="100" w:type="dxa"/>
              <w:left w:w="140" w:type="dxa"/>
              <w:right w:w="140" w:type="dxa"/>
            </w:tcMar>
          </w:tcPr>
          <w:p>
            <w:pPr>
              <w:spacing w:after="40" w:before="40"/>
            </w:pPr>
            <w:r>
              <w:rPr>
                <w:sz w:val="19"/>
              </w:rPr>
              <w:t>LoRA (Rank r=16, α=32, Dropout 0.05)</w:t>
            </w:r>
          </w:p>
        </w:tc>
        <w:tc>
          <w:tcPr>
            <w:tcW w:type="dxa" w:w="3120"/>
            <w:shd w:fill="FFFFFF"/>
            <w:tcMar>
              <w:top w:w="100" w:type="dxa"/>
              <w:bottom w:w="100" w:type="dxa"/>
              <w:left w:w="140" w:type="dxa"/>
              <w:right w:w="140" w:type="dxa"/>
            </w:tcMar>
          </w:tcPr>
          <w:p>
            <w:pPr>
              <w:spacing w:after="40" w:before="40"/>
            </w:pPr>
            <w:r>
              <w:rPr>
                <w:sz w:val="19"/>
              </w:rPr>
              <w:t>Injects low-rank decomposition across all 7 linear projections (</w:t>
            </w:r>
            <w:r>
              <w:rPr>
                <w:rFonts w:ascii="Consolas" w:hAnsi="Consolas"/>
                <w:color w:val="B42828"/>
                <w:sz w:val="19"/>
              </w:rPr>
              <w:t>q, k, v, o, gate, up, down</w:t>
            </w:r>
            <w:r>
              <w:rPr>
                <w:sz w:val="19"/>
              </w:rPr>
              <w:t>)</w:t>
            </w:r>
          </w:p>
        </w:tc>
      </w:tr>
      <w:tr>
        <w:tc>
          <w:tcPr>
            <w:tcW w:type="dxa" w:w="3120"/>
            <w:shd w:fill="F9FAFB"/>
            <w:tcMar>
              <w:top w:w="100" w:type="dxa"/>
              <w:bottom w:w="100" w:type="dxa"/>
              <w:left w:w="140" w:type="dxa"/>
              <w:right w:w="140" w:type="dxa"/>
            </w:tcMar>
          </w:tcPr>
          <w:p>
            <w:pPr>
              <w:spacing w:after="40" w:before="40"/>
            </w:pPr>
            <w:r>
              <w:rPr>
                <w:b/>
                <w:sz w:val="19"/>
              </w:rPr>
              <w:t>Trainable Parameters</w:t>
            </w:r>
          </w:p>
        </w:tc>
        <w:tc>
          <w:tcPr>
            <w:tcW w:type="dxa" w:w="3120"/>
            <w:shd w:fill="F9FAFB"/>
            <w:tcMar>
              <w:top w:w="100" w:type="dxa"/>
              <w:bottom w:w="100" w:type="dxa"/>
              <w:left w:w="140" w:type="dxa"/>
              <w:right w:w="140" w:type="dxa"/>
            </w:tcMar>
          </w:tcPr>
          <w:p>
            <w:pPr>
              <w:spacing w:after="40" w:before="40"/>
            </w:pPr>
            <w:r>
              <w:rPr>
                <w:b/>
                <w:sz w:val="19"/>
              </w:rPr>
              <w:t>11,272,192</w:t>
            </w:r>
            <w:r>
              <w:rPr>
                <w:sz w:val="19"/>
              </w:rPr>
              <w:t xml:space="preserve"> (0.9039% of 1.25B total)</w:t>
            </w:r>
          </w:p>
        </w:tc>
        <w:tc>
          <w:tcPr>
            <w:tcW w:type="dxa" w:w="3120"/>
            <w:shd w:fill="F9FAFB"/>
            <w:tcMar>
              <w:top w:w="100" w:type="dxa"/>
              <w:bottom w:w="100" w:type="dxa"/>
              <w:left w:w="140" w:type="dxa"/>
              <w:right w:w="140" w:type="dxa"/>
            </w:tcMar>
          </w:tcPr>
          <w:p>
            <w:pPr>
              <w:spacing w:after="40" w:before="40"/>
            </w:pPr>
            <w:r>
              <w:rPr>
                <w:sz w:val="19"/>
              </w:rPr>
              <w:t>Prevents catastrophic forgetting while adapting brand tone &amp; brevity</w:t>
            </w:r>
          </w:p>
        </w:tc>
      </w:tr>
      <w:tr>
        <w:tc>
          <w:tcPr>
            <w:tcW w:type="dxa" w:w="3120"/>
            <w:shd w:fill="FFFFFF"/>
            <w:tcMar>
              <w:top w:w="100" w:type="dxa"/>
              <w:bottom w:w="100" w:type="dxa"/>
              <w:left w:w="140" w:type="dxa"/>
              <w:right w:w="140" w:type="dxa"/>
            </w:tcMar>
          </w:tcPr>
          <w:p>
            <w:pPr>
              <w:spacing w:after="40" w:before="40"/>
            </w:pPr>
            <w:r>
              <w:rPr>
                <w:b/>
                <w:sz w:val="19"/>
              </w:rPr>
              <w:t>Training Dataset</w:t>
            </w:r>
          </w:p>
        </w:tc>
        <w:tc>
          <w:tcPr>
            <w:tcW w:type="dxa" w:w="3120"/>
            <w:shd w:fill="FFFFFF"/>
            <w:tcMar>
              <w:top w:w="100" w:type="dxa"/>
              <w:bottom w:w="100" w:type="dxa"/>
              <w:left w:w="140" w:type="dxa"/>
              <w:right w:w="140" w:type="dxa"/>
            </w:tcMar>
          </w:tcPr>
          <w:p>
            <w:pPr>
              <w:spacing w:after="40" w:before="40"/>
            </w:pPr>
            <w:r>
              <w:rPr>
                <w:sz w:val="19"/>
              </w:rPr>
              <w:t>5,000 multi-turn ChatML conversations</w:t>
            </w:r>
          </w:p>
        </w:tc>
        <w:tc>
          <w:tcPr>
            <w:tcW w:type="dxa" w:w="3120"/>
            <w:shd w:fill="FFFFFF"/>
            <w:tcMar>
              <w:top w:w="100" w:type="dxa"/>
              <w:bottom w:w="100" w:type="dxa"/>
              <w:left w:w="140" w:type="dxa"/>
              <w:right w:w="140" w:type="dxa"/>
            </w:tcMar>
          </w:tcPr>
          <w:p>
            <w:pPr>
              <w:spacing w:after="40" w:before="40"/>
            </w:pPr>
            <w:r>
              <w:rPr>
                <w:sz w:val="19"/>
              </w:rPr>
              <w:t xml:space="preserve">Cleaned, deduplicated </w:t>
            </w:r>
            <w:r>
              <w:rPr>
                <w:rFonts w:ascii="Consolas" w:hAnsi="Consolas"/>
                <w:color w:val="B42828"/>
                <w:sz w:val="19"/>
              </w:rPr>
              <w:t>@AmazonHelp</w:t>
            </w:r>
            <w:r>
              <w:rPr>
                <w:sz w:val="19"/>
              </w:rPr>
              <w:t xml:space="preserve"> customer support interactions (</w:t>
            </w:r>
            <w:r>
              <w:rPr>
                <w:rFonts w:ascii="Consolas" w:hAnsi="Consolas"/>
                <w:color w:val="B42828"/>
                <w:sz w:val="19"/>
              </w:rPr>
              <w:t>rohanalexbimal/amazon-support-chatml-5k</w:t>
            </w:r>
            <w:r>
              <w:rPr>
                <w:sz w:val="19"/>
              </w:rPr>
              <w:t>)</w:t>
            </w:r>
          </w:p>
        </w:tc>
      </w:tr>
      <w:tr>
        <w:tc>
          <w:tcPr>
            <w:tcW w:type="dxa" w:w="3120"/>
            <w:shd w:fill="F9FAFB"/>
            <w:tcMar>
              <w:top w:w="100" w:type="dxa"/>
              <w:bottom w:w="100" w:type="dxa"/>
              <w:left w:w="140" w:type="dxa"/>
              <w:right w:w="140" w:type="dxa"/>
            </w:tcMar>
          </w:tcPr>
          <w:p>
            <w:pPr>
              <w:spacing w:after="40" w:before="40"/>
            </w:pPr>
            <w:r>
              <w:rPr>
                <w:b/>
                <w:sz w:val="19"/>
              </w:rPr>
              <w:t>Hardware Environment</w:t>
            </w:r>
          </w:p>
        </w:tc>
        <w:tc>
          <w:tcPr>
            <w:tcW w:type="dxa" w:w="3120"/>
            <w:shd w:fill="F9FAFB"/>
            <w:tcMar>
              <w:top w:w="100" w:type="dxa"/>
              <w:bottom w:w="100" w:type="dxa"/>
              <w:left w:w="140" w:type="dxa"/>
              <w:right w:w="140" w:type="dxa"/>
            </w:tcMar>
          </w:tcPr>
          <w:p>
            <w:pPr>
              <w:spacing w:after="40" w:before="40"/>
            </w:pPr>
            <w:r>
              <w:rPr>
                <w:sz w:val="19"/>
              </w:rPr>
              <w:t>Dual Nvidia Tesla T4 GPUs (2 × 14.56 GB VRAM)</w:t>
            </w:r>
          </w:p>
        </w:tc>
        <w:tc>
          <w:tcPr>
            <w:tcW w:type="dxa" w:w="3120"/>
            <w:shd w:fill="F9FAFB"/>
            <w:tcMar>
              <w:top w:w="100" w:type="dxa"/>
              <w:bottom w:w="100" w:type="dxa"/>
              <w:left w:w="140" w:type="dxa"/>
              <w:right w:w="140" w:type="dxa"/>
            </w:tcMar>
          </w:tcPr>
          <w:p>
            <w:pPr>
              <w:spacing w:after="40" w:before="40"/>
            </w:pPr>
            <w:r>
              <w:rPr>
                <w:sz w:val="19"/>
              </w:rPr>
              <w:t xml:space="preserve">Compute capability </w:t>
            </w:r>
            <w:r>
              <w:rPr>
                <w:rFonts w:ascii="Consolas" w:hAnsi="Consolas"/>
                <w:color w:val="B42828"/>
                <w:sz w:val="19"/>
              </w:rPr>
              <w:t>sm_75</w:t>
            </w:r>
            <w:r>
              <w:rPr>
                <w:sz w:val="19"/>
              </w:rPr>
              <w:t>, FP16 mixed precision</w:t>
            </w:r>
          </w:p>
        </w:tc>
      </w:tr>
      <w:tr>
        <w:tc>
          <w:tcPr>
            <w:tcW w:type="dxa" w:w="3120"/>
            <w:shd w:fill="FFFFFF"/>
            <w:tcMar>
              <w:top w:w="100" w:type="dxa"/>
              <w:bottom w:w="100" w:type="dxa"/>
              <w:left w:w="140" w:type="dxa"/>
              <w:right w:w="140" w:type="dxa"/>
            </w:tcMar>
          </w:tcPr>
          <w:p>
            <w:pPr>
              <w:spacing w:after="40" w:before="40"/>
            </w:pPr>
            <w:r>
              <w:rPr>
                <w:b/>
                <w:sz w:val="19"/>
              </w:rPr>
              <w:t>Batch &amp; Accumulation</w:t>
            </w:r>
          </w:p>
        </w:tc>
        <w:tc>
          <w:tcPr>
            <w:tcW w:type="dxa" w:w="3120"/>
            <w:shd w:fill="FFFFFF"/>
            <w:tcMar>
              <w:top w:w="100" w:type="dxa"/>
              <w:bottom w:w="100" w:type="dxa"/>
              <w:left w:w="140" w:type="dxa"/>
              <w:right w:w="140" w:type="dxa"/>
            </w:tcMar>
          </w:tcPr>
          <w:p>
            <w:pPr>
              <w:spacing w:after="40" w:before="40"/>
            </w:pPr>
            <w:r>
              <w:rPr>
                <w:sz w:val="19"/>
              </w:rPr>
              <w:t>Per-device batch 4 × Grad Accum 2 = Effective Batch 8</w:t>
            </w:r>
          </w:p>
        </w:tc>
        <w:tc>
          <w:tcPr>
            <w:tcW w:type="dxa" w:w="3120"/>
            <w:shd w:fill="FFFFFF"/>
            <w:tcMar>
              <w:top w:w="100" w:type="dxa"/>
              <w:bottom w:w="100" w:type="dxa"/>
              <w:left w:w="140" w:type="dxa"/>
              <w:right w:w="140" w:type="dxa"/>
            </w:tcMar>
          </w:tcPr>
          <w:p>
            <w:pPr>
              <w:spacing w:after="40" w:before="40"/>
            </w:pPr>
            <w:r>
              <w:rPr>
                <w:sz w:val="19"/>
              </w:rPr>
              <w:t>Maximizes GPU tensor core saturation without OOM</w:t>
            </w:r>
          </w:p>
        </w:tc>
      </w:tr>
      <w:tr>
        <w:tc>
          <w:tcPr>
            <w:tcW w:type="dxa" w:w="3120"/>
            <w:shd w:fill="F9FAFB"/>
            <w:tcMar>
              <w:top w:w="100" w:type="dxa"/>
              <w:bottom w:w="100" w:type="dxa"/>
              <w:left w:w="140" w:type="dxa"/>
              <w:right w:w="140" w:type="dxa"/>
            </w:tcMar>
          </w:tcPr>
          <w:p>
            <w:pPr>
              <w:spacing w:after="40" w:before="40"/>
            </w:pPr>
            <w:r>
              <w:rPr>
                <w:b/>
                <w:sz w:val="19"/>
              </w:rPr>
              <w:t>Optimization</w:t>
            </w:r>
          </w:p>
        </w:tc>
        <w:tc>
          <w:tcPr>
            <w:tcW w:type="dxa" w:w="3120"/>
            <w:shd w:fill="F9FAFB"/>
            <w:tcMar>
              <w:top w:w="100" w:type="dxa"/>
              <w:bottom w:w="100" w:type="dxa"/>
              <w:left w:w="140" w:type="dxa"/>
              <w:right w:w="140" w:type="dxa"/>
            </w:tcMar>
          </w:tcPr>
          <w:p>
            <w:pPr>
              <w:spacing w:after="40" w:before="40"/>
            </w:pPr>
            <w:r>
              <w:rPr>
                <w:sz w:val="19"/>
              </w:rPr>
              <w:t>3 Full Epochs (1,875 optimization steps), Cosine LR Decay (2 × 10⁻⁴)</w:t>
            </w:r>
          </w:p>
        </w:tc>
        <w:tc>
          <w:tcPr>
            <w:tcW w:type="dxa" w:w="3120"/>
            <w:shd w:fill="F9FAFB"/>
            <w:tcMar>
              <w:top w:w="100" w:type="dxa"/>
              <w:bottom w:w="100" w:type="dxa"/>
              <w:left w:w="140" w:type="dxa"/>
              <w:right w:w="140" w:type="dxa"/>
            </w:tcMar>
          </w:tcPr>
          <w:p>
            <w:pPr>
              <w:spacing w:after="40" w:before="40"/>
            </w:pPr>
            <w:r>
              <w:rPr>
                <w:sz w:val="19"/>
              </w:rPr>
              <w:t xml:space="preserve">Total training time: </w:t>
            </w:r>
            <w:r>
              <w:rPr>
                <w:b/>
                <w:sz w:val="19"/>
              </w:rPr>
              <w:t>2,643.4s (~44.06 minutes)</w:t>
            </w:r>
          </w:p>
        </w:tc>
      </w:tr>
      <w:tr>
        <w:tc>
          <w:tcPr>
            <w:tcW w:type="dxa" w:w="3120"/>
            <w:shd w:fill="FFFFFF"/>
            <w:tcMar>
              <w:top w:w="100" w:type="dxa"/>
              <w:bottom w:w="100" w:type="dxa"/>
              <w:left w:w="140" w:type="dxa"/>
              <w:right w:w="140" w:type="dxa"/>
            </w:tcMar>
          </w:tcPr>
          <w:p>
            <w:pPr>
              <w:spacing w:after="40" w:before="40"/>
            </w:pPr>
            <w:r>
              <w:rPr>
                <w:b/>
                <w:sz w:val="19"/>
              </w:rPr>
              <w:t>Loss Convergence</w:t>
            </w:r>
          </w:p>
        </w:tc>
        <w:tc>
          <w:tcPr>
            <w:tcW w:type="dxa" w:w="3120"/>
            <w:shd w:fill="FFFFFF"/>
            <w:tcMar>
              <w:top w:w="100" w:type="dxa"/>
              <w:bottom w:w="100" w:type="dxa"/>
              <w:left w:w="140" w:type="dxa"/>
              <w:right w:w="140" w:type="dxa"/>
            </w:tcMar>
          </w:tcPr>
          <w:p>
            <w:pPr>
              <w:spacing w:after="40" w:before="40"/>
            </w:pPr>
            <w:r>
              <w:rPr>
                <w:sz w:val="19"/>
              </w:rPr>
              <w:t xml:space="preserve">Initial loss &gt;10.0 → </w:t>
            </w:r>
            <w:r>
              <w:rPr>
                <w:b/>
                <w:sz w:val="19"/>
              </w:rPr>
              <w:t>Final Training Loss: 7.0386</w:t>
            </w:r>
          </w:p>
        </w:tc>
        <w:tc>
          <w:tcPr>
            <w:tcW w:type="dxa" w:w="3120"/>
            <w:shd w:fill="FFFFFF"/>
            <w:tcMar>
              <w:top w:w="100" w:type="dxa"/>
              <w:bottom w:w="100" w:type="dxa"/>
              <w:left w:w="140" w:type="dxa"/>
              <w:right w:w="140" w:type="dxa"/>
            </w:tcMar>
          </w:tcPr>
          <w:p>
            <w:pPr>
              <w:spacing w:after="40" w:before="40"/>
            </w:pPr>
            <w:r>
              <w:rPr>
                <w:sz w:val="19"/>
              </w:rPr>
              <w:t>Smooth convergence across 5,000 conversational training records</w:t>
            </w:r>
          </w:p>
        </w:tc>
      </w:tr>
    </w:tbl>
    <w:p>
      <w:pPr>
        <w:spacing w:after="120"/>
      </w:pPr>
    </w:p>
    <w:p>
      <w:pPr>
        <w:spacing w:before="80" w:after="160"/>
        <w:pBdr>
          <w:bottom w:val="single" w:sz="6" w:space="1" w:color="D3D3D3"/>
        </w:pBdr>
      </w:pPr>
    </w:p>
    <w:p>
      <w:pPr>
        <w:spacing w:before="160" w:after="60"/>
      </w:pPr>
      <w:r>
        <w:rPr>
          <w:rFonts w:ascii="Calibri" w:hAnsi="Calibri"/>
          <w:b/>
          <w:color w:val="4472C4"/>
          <w:sz w:val="24"/>
        </w:rPr>
        <w:t>5.2 Pre- vs. Post-Fine-Tuning Comparative Audit</w:t>
      </w:r>
    </w:p>
    <w:p>
      <w:pPr>
        <w:spacing w:after="100" w:before="0" w:line="276" w:lineRule="auto"/>
        <w:jc w:val="left"/>
      </w:pPr>
      <w:r>
        <w:t>We evaluated identical customer queries against both the zero-shot Base Model (</w:t>
      </w:r>
      <w:r>
        <w:rPr>
          <w:rFonts w:ascii="Consolas" w:hAnsi="Consolas"/>
          <w:color w:val="B42828"/>
          <w:sz w:val="19"/>
        </w:rPr>
        <w:t>Llama-3.2-1B-Instruct</w:t>
      </w:r>
      <w:r>
        <w:t>) and the 3-Epoch Fine-Tuned LoRA Adapter:</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120" w:type="dxa"/>
              <w:bottom w:w="120" w:type="dxa"/>
              <w:left w:w="150" w:type="dxa"/>
              <w:right w:w="150" w:type="dxa"/>
            </w:tcMar>
          </w:tcPr>
          <w:p>
            <w:pPr>
              <w:spacing w:after="40" w:before="40"/>
              <w:jc w:val="center"/>
            </w:pPr>
            <w:r>
              <w:rPr>
                <w:b/>
                <w:color w:val="FFFFFF"/>
                <w:sz w:val="20"/>
              </w:rPr>
              <w:t>Customer Query</w:t>
            </w:r>
          </w:p>
        </w:tc>
        <w:tc>
          <w:tcPr>
            <w:tcW w:type="dxa" w:w="1337"/>
            <w:shd w:fill="1F4E79"/>
            <w:tcMar>
              <w:top w:w="120" w:type="dxa"/>
              <w:bottom w:w="120" w:type="dxa"/>
              <w:left w:w="150" w:type="dxa"/>
              <w:right w:w="150" w:type="dxa"/>
            </w:tcMar>
          </w:tcPr>
          <w:p>
            <w:pPr>
              <w:spacing w:after="40" w:before="40"/>
              <w:jc w:val="center"/>
            </w:pPr>
            <w:r>
              <w:rPr>
                <w:b/>
                <w:color w:val="FFFFFF"/>
                <w:sz w:val="20"/>
              </w:rPr>
              <w:t>Base Model (Pre-Fine-Tuning)</w:t>
            </w:r>
          </w:p>
        </w:tc>
        <w:tc>
          <w:tcPr>
            <w:tcW w:type="dxa" w:w="1337"/>
            <w:shd w:fill="1F4E79"/>
            <w:tcMar>
              <w:top w:w="120" w:type="dxa"/>
              <w:bottom w:w="120" w:type="dxa"/>
              <w:left w:w="150" w:type="dxa"/>
              <w:right w:w="150" w:type="dxa"/>
            </w:tcMar>
          </w:tcPr>
          <w:p>
            <w:pPr>
              <w:spacing w:after="40" w:before="40"/>
              <w:jc w:val="center"/>
            </w:pPr>
            <w:r>
              <w:rPr>
                <w:b/>
                <w:color w:val="FFFFFF"/>
                <w:sz w:val="20"/>
              </w:rPr>
              <w:t>3-Epoch LoRA Adapter (Post-Fine-Tuning)</w:t>
            </w:r>
          </w:p>
        </w:tc>
        <w:tc>
          <w:tcPr>
            <w:tcW w:type="dxa" w:w="1337"/>
            <w:shd w:fill="1F4E79"/>
            <w:tcMar>
              <w:top w:w="120" w:type="dxa"/>
              <w:bottom w:w="120" w:type="dxa"/>
              <w:left w:w="150" w:type="dxa"/>
              <w:right w:w="150" w:type="dxa"/>
            </w:tcMar>
          </w:tcPr>
          <w:p>
            <w:pPr>
              <w:spacing w:after="40" w:before="40"/>
              <w:jc w:val="center"/>
            </w:pPr>
            <w:r>
              <w:rPr>
                <w:b/>
                <w:color w:val="FFFFFF"/>
                <w:sz w:val="20"/>
              </w:rPr>
              <w:t>Base Chars</w:t>
            </w:r>
          </w:p>
        </w:tc>
        <w:tc>
          <w:tcPr>
            <w:tcW w:type="dxa" w:w="1337"/>
            <w:shd w:fill="1F4E79"/>
            <w:tcMar>
              <w:top w:w="120" w:type="dxa"/>
              <w:bottom w:w="120" w:type="dxa"/>
              <w:left w:w="150" w:type="dxa"/>
              <w:right w:w="150" w:type="dxa"/>
            </w:tcMar>
          </w:tcPr>
          <w:p>
            <w:pPr>
              <w:spacing w:after="40" w:before="40"/>
              <w:jc w:val="center"/>
            </w:pPr>
            <w:r>
              <w:rPr>
                <w:b/>
                <w:color w:val="FFFFFF"/>
                <w:sz w:val="20"/>
              </w:rPr>
              <w:t>LoRA Chars</w:t>
            </w:r>
          </w:p>
        </w:tc>
        <w:tc>
          <w:tcPr>
            <w:tcW w:type="dxa" w:w="1337"/>
            <w:shd w:fill="1F4E79"/>
            <w:tcMar>
              <w:top w:w="120" w:type="dxa"/>
              <w:bottom w:w="120" w:type="dxa"/>
              <w:left w:w="150" w:type="dxa"/>
              <w:right w:w="150" w:type="dxa"/>
            </w:tcMar>
          </w:tcPr>
          <w:p>
            <w:pPr>
              <w:spacing w:after="40" w:before="40"/>
              <w:jc w:val="center"/>
            </w:pPr>
            <w:r>
              <w:rPr>
                <w:b/>
                <w:color w:val="FFFFFF"/>
                <w:sz w:val="20"/>
              </w:rPr>
              <w:t>280 Limit</w:t>
            </w:r>
          </w:p>
        </w:tc>
        <w:tc>
          <w:tcPr>
            <w:tcW w:type="dxa" w:w="1337"/>
            <w:shd w:fill="1F4E79"/>
            <w:tcMar>
              <w:top w:w="120" w:type="dxa"/>
              <w:bottom w:w="120" w:type="dxa"/>
              <w:left w:w="150" w:type="dxa"/>
              <w:right w:w="150" w:type="dxa"/>
            </w:tcMar>
          </w:tcPr>
          <w:p>
            <w:pPr>
              <w:spacing w:after="40" w:before="40"/>
              <w:jc w:val="center"/>
            </w:pPr>
            <w:r>
              <w:rPr>
                <w:b/>
                <w:color w:val="FFFFFF"/>
                <w:sz w:val="20"/>
              </w:rPr>
              <w:t>Safety / Brand Assessment</w:t>
            </w:r>
          </w:p>
        </w:tc>
      </w:tr>
      <w:tr>
        <w:tc>
          <w:tcPr>
            <w:tcW w:type="dxa" w:w="1337"/>
            <w:shd w:fill="FFFFFF"/>
            <w:tcMar>
              <w:top w:w="100" w:type="dxa"/>
              <w:bottom w:w="100" w:type="dxa"/>
              <w:left w:w="140" w:type="dxa"/>
              <w:right w:w="140" w:type="dxa"/>
            </w:tcMar>
          </w:tcPr>
          <w:p>
            <w:pPr>
              <w:spacing w:after="40" w:before="40"/>
            </w:pPr>
            <w:r>
              <w:rPr>
                <w:b/>
                <w:sz w:val="19"/>
              </w:rPr>
              <w:t>Delayed Delivery</w:t>
            </w:r>
            <w:r>
              <w:rPr>
                <w:sz w:val="19"/>
              </w:rPr>
              <w:t>:&lt;br&gt;</w:t>
            </w:r>
            <w:r>
              <w:rPr>
                <w:i/>
                <w:sz w:val="19"/>
              </w:rPr>
              <w:t>"Where is my package tracking TBA982348123019? Was supposed to arrive yesterday!"</w:t>
            </w:r>
          </w:p>
        </w:tc>
        <w:tc>
          <w:tcPr>
            <w:tcW w:type="dxa" w:w="1337"/>
            <w:shd w:fill="FFFFFF"/>
            <w:tcMar>
              <w:top w:w="100" w:type="dxa"/>
              <w:bottom w:w="100" w:type="dxa"/>
              <w:left w:w="140" w:type="dxa"/>
              <w:right w:w="140" w:type="dxa"/>
            </w:tcMar>
          </w:tcPr>
          <w:p>
            <w:pPr>
              <w:spacing w:after="40" w:before="40"/>
            </w:pPr>
            <w:r>
              <w:rPr>
                <w:i/>
                <w:sz w:val="19"/>
              </w:rPr>
              <w:t>"Hi there, I'm sorry to hear that your package hasn't arrived yet. I'm working on it. I've checked on the status, and it's possible there was a delay. You can track it again here: [link to tracking page]. Can you please check the status and let me know if you have any further issues?"</w:t>
            </w:r>
          </w:p>
        </w:tc>
        <w:tc>
          <w:tcPr>
            <w:tcW w:type="dxa" w:w="1337"/>
            <w:shd w:fill="FFFFFF"/>
            <w:tcMar>
              <w:top w:w="100" w:type="dxa"/>
              <w:bottom w:w="100" w:type="dxa"/>
              <w:left w:w="140" w:type="dxa"/>
              <w:right w:w="140" w:type="dxa"/>
            </w:tcMar>
          </w:tcPr>
          <w:p>
            <w:pPr>
              <w:spacing w:after="40" w:before="40"/>
            </w:pPr>
            <w:r>
              <w:rPr>
                <w:i/>
                <w:sz w:val="19"/>
              </w:rPr>
              <w:t>"@121399 Hi, sorry to hear it hasn't arrived. What does the latest tracking information say? You can find that here: https://t.co/aaDyEz1VgE ^MI"</w:t>
            </w:r>
          </w:p>
        </w:tc>
        <w:tc>
          <w:tcPr>
            <w:tcW w:type="dxa" w:w="1337"/>
            <w:shd w:fill="FFFFFF"/>
            <w:tcMar>
              <w:top w:w="100" w:type="dxa"/>
              <w:bottom w:w="100" w:type="dxa"/>
              <w:left w:w="140" w:type="dxa"/>
              <w:right w:w="140" w:type="dxa"/>
            </w:tcMar>
          </w:tcPr>
          <w:p>
            <w:pPr>
              <w:spacing w:after="40" w:before="40"/>
            </w:pPr>
            <w:r>
              <w:rPr>
                <w:sz w:val="19"/>
              </w:rPr>
              <w:t>284</w:t>
            </w:r>
          </w:p>
        </w:tc>
        <w:tc>
          <w:tcPr>
            <w:tcW w:type="dxa" w:w="1337"/>
            <w:shd w:fill="FFFFFF"/>
            <w:tcMar>
              <w:top w:w="100" w:type="dxa"/>
              <w:bottom w:w="100" w:type="dxa"/>
              <w:left w:w="140" w:type="dxa"/>
              <w:right w:w="140" w:type="dxa"/>
            </w:tcMar>
          </w:tcPr>
          <w:p>
            <w:pPr>
              <w:spacing w:after="40" w:before="40"/>
            </w:pPr>
            <w:r>
              <w:rPr>
                <w:b/>
                <w:sz w:val="19"/>
              </w:rPr>
              <w:t>143</w:t>
            </w:r>
          </w:p>
        </w:tc>
        <w:tc>
          <w:tcPr>
            <w:tcW w:type="dxa" w:w="1337"/>
            <w:shd w:fill="FFFFFF"/>
            <w:tcMar>
              <w:top w:w="100" w:type="dxa"/>
              <w:bottom w:w="100" w:type="dxa"/>
              <w:left w:w="140" w:type="dxa"/>
              <w:right w:w="140" w:type="dxa"/>
            </w:tcMar>
          </w:tcPr>
          <w:p>
            <w:pPr>
              <w:spacing w:after="40" w:before="40"/>
            </w:pPr>
            <w:r>
              <w:rPr>
                <w:b/>
                <w:sz w:val="19"/>
              </w:rPr>
              <w:t>PASS</w:t>
            </w:r>
            <w:r>
              <w:rPr>
                <w:sz w:val="19"/>
              </w:rPr>
              <w:t xml:space="preserve"> (≤ 280)</w:t>
            </w:r>
          </w:p>
        </w:tc>
        <w:tc>
          <w:tcPr>
            <w:tcW w:type="dxa" w:w="1337"/>
            <w:shd w:fill="FFFFFF"/>
            <w:tcMar>
              <w:top w:w="100" w:type="dxa"/>
              <w:bottom w:w="100" w:type="dxa"/>
              <w:left w:w="140" w:type="dxa"/>
              <w:right w:w="140" w:type="dxa"/>
            </w:tcMar>
          </w:tcPr>
          <w:p>
            <w:pPr>
              <w:spacing w:after="40" w:before="40"/>
            </w:pPr>
            <w:r>
              <w:rPr>
                <w:sz w:val="19"/>
              </w:rPr>
              <w:t xml:space="preserve">Base exceeded Twitter limit (284 chars) and included placeholder tokens. LoRA strictly adheres to 143 chars with authentic agent tag </w:t>
            </w:r>
            <w:r>
              <w:rPr>
                <w:rFonts w:ascii="Consolas" w:hAnsi="Consolas"/>
                <w:color w:val="B42828"/>
                <w:sz w:val="19"/>
              </w:rPr>
              <w:t>^MI</w:t>
            </w:r>
            <w:r>
              <w:rPr>
                <w:sz w:val="19"/>
              </w:rPr>
              <w:t>.</w:t>
            </w:r>
          </w:p>
        </w:tc>
      </w:tr>
      <w:tr>
        <w:tc>
          <w:tcPr>
            <w:tcW w:type="dxa" w:w="1337"/>
            <w:shd w:fill="F9FAFB"/>
            <w:tcMar>
              <w:top w:w="100" w:type="dxa"/>
              <w:bottom w:w="100" w:type="dxa"/>
              <w:left w:w="140" w:type="dxa"/>
              <w:right w:w="140" w:type="dxa"/>
            </w:tcMar>
          </w:tcPr>
          <w:p>
            <w:pPr>
              <w:spacing w:after="40" w:before="40"/>
            </w:pPr>
            <w:r>
              <w:rPr>
                <w:b/>
                <w:sz w:val="19"/>
              </w:rPr>
              <w:t>Prime Billing Dispute</w:t>
            </w:r>
            <w:r>
              <w:rPr>
                <w:sz w:val="19"/>
              </w:rPr>
              <w:t>:&lt;br&gt;</w:t>
            </w:r>
            <w:r>
              <w:rPr>
                <w:i/>
                <w:sz w:val="19"/>
              </w:rPr>
              <w:t>"My credit card was charged 139 for Prime renewal but I cancelled 2 weeks ago!"</w:t>
            </w:r>
          </w:p>
        </w:tc>
        <w:tc>
          <w:tcPr>
            <w:tcW w:type="dxa" w:w="1337"/>
            <w:shd w:fill="F9FAFB"/>
            <w:tcMar>
              <w:top w:w="100" w:type="dxa"/>
              <w:bottom w:w="100" w:type="dxa"/>
              <w:left w:w="140" w:type="dxa"/>
              <w:right w:w="140" w:type="dxa"/>
            </w:tcMar>
          </w:tcPr>
          <w:p>
            <w:pPr>
              <w:spacing w:after="40" w:before="40"/>
            </w:pPr>
            <w:r>
              <w:rPr>
                <w:i/>
                <w:sz w:val="19"/>
              </w:rPr>
              <w:t>"I'm happy to help you with your concern. I'm going to go ahead and cancel your Prime membership for you. Your refund will be processed within 3-5 business days. If you have any further issues, please let me know."</w:t>
            </w:r>
          </w:p>
        </w:tc>
        <w:tc>
          <w:tcPr>
            <w:tcW w:type="dxa" w:w="1337"/>
            <w:shd w:fill="F9FAFB"/>
            <w:tcMar>
              <w:top w:w="100" w:type="dxa"/>
              <w:bottom w:w="100" w:type="dxa"/>
              <w:left w:w="140" w:type="dxa"/>
              <w:right w:w="140" w:type="dxa"/>
            </w:tcMar>
          </w:tcPr>
          <w:p>
            <w:pPr>
              <w:spacing w:after="40" w:before="40"/>
            </w:pPr>
            <w:r>
              <w:rPr>
                <w:i/>
                <w:sz w:val="19"/>
              </w:rPr>
              <w:t>"@127184 I'm sorry for the charge! Have you received an e-mail from us explaining the charge? ^AL"</w:t>
            </w:r>
          </w:p>
        </w:tc>
        <w:tc>
          <w:tcPr>
            <w:tcW w:type="dxa" w:w="1337"/>
            <w:shd w:fill="F9FAFB"/>
            <w:tcMar>
              <w:top w:w="100" w:type="dxa"/>
              <w:bottom w:w="100" w:type="dxa"/>
              <w:left w:w="140" w:type="dxa"/>
              <w:right w:w="140" w:type="dxa"/>
            </w:tcMar>
          </w:tcPr>
          <w:p>
            <w:pPr>
              <w:spacing w:after="40" w:before="40"/>
            </w:pPr>
            <w:r>
              <w:rPr>
                <w:sz w:val="19"/>
              </w:rPr>
              <w:t>212</w:t>
            </w:r>
          </w:p>
        </w:tc>
        <w:tc>
          <w:tcPr>
            <w:tcW w:type="dxa" w:w="1337"/>
            <w:shd w:fill="F9FAFB"/>
            <w:tcMar>
              <w:top w:w="100" w:type="dxa"/>
              <w:bottom w:w="100" w:type="dxa"/>
              <w:left w:w="140" w:type="dxa"/>
              <w:right w:w="140" w:type="dxa"/>
            </w:tcMar>
          </w:tcPr>
          <w:p>
            <w:pPr>
              <w:spacing w:after="40" w:before="40"/>
            </w:pPr>
            <w:r>
              <w:rPr>
                <w:b/>
                <w:sz w:val="19"/>
              </w:rPr>
              <w:t>96</w:t>
            </w:r>
          </w:p>
        </w:tc>
        <w:tc>
          <w:tcPr>
            <w:tcW w:type="dxa" w:w="1337"/>
            <w:shd w:fill="F9FAFB"/>
            <w:tcMar>
              <w:top w:w="100" w:type="dxa"/>
              <w:bottom w:w="100" w:type="dxa"/>
              <w:left w:w="140" w:type="dxa"/>
              <w:right w:w="140" w:type="dxa"/>
            </w:tcMar>
          </w:tcPr>
          <w:p>
            <w:pPr>
              <w:spacing w:after="40" w:before="40"/>
            </w:pPr>
            <w:r>
              <w:rPr>
                <w:b/>
                <w:sz w:val="19"/>
              </w:rPr>
              <w:t>PASS</w:t>
            </w:r>
            <w:r>
              <w:rPr>
                <w:sz w:val="19"/>
              </w:rPr>
              <w:t xml:space="preserve"> (≤ 280)</w:t>
            </w:r>
          </w:p>
        </w:tc>
        <w:tc>
          <w:tcPr>
            <w:tcW w:type="dxa" w:w="1337"/>
            <w:shd w:fill="F9FAFB"/>
            <w:tcMar>
              <w:top w:w="100" w:type="dxa"/>
              <w:bottom w:w="100" w:type="dxa"/>
              <w:left w:w="140" w:type="dxa"/>
              <w:right w:w="140" w:type="dxa"/>
            </w:tcMar>
          </w:tcPr>
          <w:p>
            <w:pPr>
              <w:spacing w:after="40" w:before="40"/>
            </w:pPr>
            <w:r>
              <w:rPr>
                <w:b/>
                <w:sz w:val="19"/>
              </w:rPr>
              <w:t>CRITICAL FAILURE IN BASE MODEL</w:t>
            </w:r>
            <w:r>
              <w:rPr>
                <w:sz w:val="19"/>
              </w:rPr>
              <w:t>: Base model hallucinated account access and promised an unauthorized financial refund on public Twitter! LoRA appropriately refuses false claims and initiates empathetic diagnostic discovery.</w:t>
            </w:r>
          </w:p>
        </w:tc>
      </w:tr>
      <w:tr>
        <w:tc>
          <w:tcPr>
            <w:tcW w:type="dxa" w:w="1337"/>
            <w:shd w:fill="FFFFFF"/>
            <w:tcMar>
              <w:top w:w="100" w:type="dxa"/>
              <w:bottom w:w="100" w:type="dxa"/>
              <w:left w:w="140" w:type="dxa"/>
              <w:right w:w="140" w:type="dxa"/>
            </w:tcMar>
          </w:tcPr>
          <w:p>
            <w:pPr>
              <w:spacing w:after="40" w:before="40"/>
            </w:pPr>
            <w:r>
              <w:rPr>
                <w:b/>
                <w:sz w:val="19"/>
              </w:rPr>
              <w:t>Hardware Troubleshooting</w:t>
            </w:r>
            <w:r>
              <w:rPr>
                <w:sz w:val="19"/>
              </w:rPr>
              <w:t>:&lt;br&gt;</w:t>
            </w:r>
            <w:r>
              <w:rPr>
                <w:i/>
                <w:sz w:val="19"/>
              </w:rPr>
              <w:t>"My Fire TV stick remote is frozen and wont pair with my TV."</w:t>
            </w:r>
          </w:p>
        </w:tc>
        <w:tc>
          <w:tcPr>
            <w:tcW w:type="dxa" w:w="1337"/>
            <w:shd w:fill="FFFFFF"/>
            <w:tcMar>
              <w:top w:w="100" w:type="dxa"/>
              <w:bottom w:w="100" w:type="dxa"/>
              <w:left w:w="140" w:type="dxa"/>
              <w:right w:w="140" w:type="dxa"/>
            </w:tcMar>
          </w:tcPr>
          <w:p>
            <w:pPr>
              <w:spacing w:after="40" w:before="40"/>
            </w:pPr>
            <w:r>
              <w:rPr>
                <w:i/>
                <w:sz w:val="19"/>
              </w:rPr>
              <w:t>"Sorry to hear that your Fire TV stick is frozen on your TV. Try restarting your TV and remote, then try pairing again. If issues persist, reset your Fire TV stick to its default settings and try pairing once more. If not, contact Amazon support for further assistance."</w:t>
            </w:r>
          </w:p>
        </w:tc>
        <w:tc>
          <w:tcPr>
            <w:tcW w:type="dxa" w:w="1337"/>
            <w:shd w:fill="FFFFFF"/>
            <w:tcMar>
              <w:top w:w="100" w:type="dxa"/>
              <w:bottom w:w="100" w:type="dxa"/>
              <w:left w:w="140" w:type="dxa"/>
              <w:right w:w="140" w:type="dxa"/>
            </w:tcMar>
          </w:tcPr>
          <w:p>
            <w:pPr>
              <w:spacing w:after="40" w:before="40"/>
            </w:pPr>
            <w:r>
              <w:rPr>
                <w:i/>
                <w:sz w:val="19"/>
              </w:rPr>
              <w:t>"@116618 I'm sorry for the trouble! Have you tried restarting your TV and remote? ^AL"</w:t>
            </w:r>
          </w:p>
        </w:tc>
        <w:tc>
          <w:tcPr>
            <w:tcW w:type="dxa" w:w="1337"/>
            <w:shd w:fill="FFFFFF"/>
            <w:tcMar>
              <w:top w:w="100" w:type="dxa"/>
              <w:bottom w:w="100" w:type="dxa"/>
              <w:left w:w="140" w:type="dxa"/>
              <w:right w:w="140" w:type="dxa"/>
            </w:tcMar>
          </w:tcPr>
          <w:p>
            <w:pPr>
              <w:spacing w:after="40" w:before="40"/>
            </w:pPr>
            <w:r>
              <w:rPr>
                <w:sz w:val="19"/>
              </w:rPr>
              <w:t>270</w:t>
            </w:r>
          </w:p>
        </w:tc>
        <w:tc>
          <w:tcPr>
            <w:tcW w:type="dxa" w:w="1337"/>
            <w:shd w:fill="FFFFFF"/>
            <w:tcMar>
              <w:top w:w="100" w:type="dxa"/>
              <w:bottom w:w="100" w:type="dxa"/>
              <w:left w:w="140" w:type="dxa"/>
              <w:right w:w="140" w:type="dxa"/>
            </w:tcMar>
          </w:tcPr>
          <w:p>
            <w:pPr>
              <w:spacing w:after="40" w:before="40"/>
            </w:pPr>
            <w:r>
              <w:rPr>
                <w:b/>
                <w:sz w:val="19"/>
              </w:rPr>
              <w:t>84</w:t>
            </w:r>
          </w:p>
        </w:tc>
        <w:tc>
          <w:tcPr>
            <w:tcW w:type="dxa" w:w="1337"/>
            <w:shd w:fill="FFFFFF"/>
            <w:tcMar>
              <w:top w:w="100" w:type="dxa"/>
              <w:bottom w:w="100" w:type="dxa"/>
              <w:left w:w="140" w:type="dxa"/>
              <w:right w:w="140" w:type="dxa"/>
            </w:tcMar>
          </w:tcPr>
          <w:p>
            <w:pPr>
              <w:spacing w:after="40" w:before="40"/>
            </w:pPr>
            <w:r>
              <w:rPr>
                <w:b/>
                <w:sz w:val="19"/>
              </w:rPr>
              <w:t>PASS</w:t>
            </w:r>
            <w:r>
              <w:rPr>
                <w:sz w:val="19"/>
              </w:rPr>
              <w:t xml:space="preserve"> (≤ 280)</w:t>
            </w:r>
          </w:p>
        </w:tc>
        <w:tc>
          <w:tcPr>
            <w:tcW w:type="dxa" w:w="1337"/>
            <w:shd w:fill="FFFFFF"/>
            <w:tcMar>
              <w:top w:w="100" w:type="dxa"/>
              <w:bottom w:w="100" w:type="dxa"/>
              <w:left w:w="140" w:type="dxa"/>
              <w:right w:w="140" w:type="dxa"/>
            </w:tcMar>
          </w:tcPr>
          <w:p>
            <w:pPr>
              <w:spacing w:after="40" w:before="40"/>
            </w:pPr>
            <w:r>
              <w:rPr>
                <w:sz w:val="19"/>
              </w:rPr>
              <w:t>Base response is verbose and repetitive (270 chars). LoRA gives succinct, actionable first-step guidance (84 chars).</w:t>
            </w:r>
          </w:p>
        </w:tc>
      </w:tr>
      <w:tr>
        <w:tc>
          <w:tcPr>
            <w:tcW w:type="dxa" w:w="1337"/>
            <w:shd w:fill="F9FAFB"/>
            <w:tcMar>
              <w:top w:w="100" w:type="dxa"/>
              <w:bottom w:w="100" w:type="dxa"/>
              <w:left w:w="140" w:type="dxa"/>
              <w:right w:w="140" w:type="dxa"/>
            </w:tcMar>
          </w:tcPr>
          <w:p>
            <w:pPr>
              <w:spacing w:after="40" w:before="40"/>
            </w:pPr>
            <w:r>
              <w:rPr>
                <w:b/>
                <w:sz w:val="19"/>
              </w:rPr>
              <w:t>Whole Foods Returns</w:t>
            </w:r>
            <w:r>
              <w:rPr>
                <w:sz w:val="19"/>
              </w:rPr>
              <w:t>:&lt;br&gt;</w:t>
            </w:r>
            <w:r>
              <w:rPr>
                <w:i/>
                <w:sz w:val="19"/>
              </w:rPr>
              <w:t>"How do I return an unopened coffee maker at Whole Foods?"</w:t>
            </w:r>
          </w:p>
        </w:tc>
        <w:tc>
          <w:tcPr>
            <w:tcW w:type="dxa" w:w="1337"/>
            <w:shd w:fill="F9FAFB"/>
            <w:tcMar>
              <w:top w:w="100" w:type="dxa"/>
              <w:bottom w:w="100" w:type="dxa"/>
              <w:left w:w="140" w:type="dxa"/>
              <w:right w:w="140" w:type="dxa"/>
            </w:tcMar>
          </w:tcPr>
          <w:p>
            <w:pPr>
              <w:spacing w:after="40" w:before="40"/>
            </w:pPr>
            <w:r>
              <w:rPr>
                <w:i/>
                <w:sz w:val="19"/>
              </w:rPr>
              <w:t>"Hi there, you can return your unopened coffee maker at any Whole Foods store. Just make sure to bring your receipt or order details with you. Let me know if you have any questions!"</w:t>
            </w:r>
          </w:p>
        </w:tc>
        <w:tc>
          <w:tcPr>
            <w:tcW w:type="dxa" w:w="1337"/>
            <w:shd w:fill="F9FAFB"/>
            <w:tcMar>
              <w:top w:w="100" w:type="dxa"/>
              <w:bottom w:w="100" w:type="dxa"/>
              <w:left w:w="140" w:type="dxa"/>
              <w:right w:w="140" w:type="dxa"/>
            </w:tcMar>
          </w:tcPr>
          <w:p>
            <w:pPr>
              <w:spacing w:after="40" w:before="40"/>
            </w:pPr>
            <w:r>
              <w:rPr>
                <w:i/>
                <w:sz w:val="19"/>
              </w:rPr>
              <w:t>"@132732 Hi, you can contact us here: https://t.co/JzP7hlA23B. ^TS"</w:t>
            </w:r>
          </w:p>
        </w:tc>
        <w:tc>
          <w:tcPr>
            <w:tcW w:type="dxa" w:w="1337"/>
            <w:shd w:fill="F9FAFB"/>
            <w:tcMar>
              <w:top w:w="100" w:type="dxa"/>
              <w:bottom w:w="100" w:type="dxa"/>
              <w:left w:w="140" w:type="dxa"/>
              <w:right w:w="140" w:type="dxa"/>
            </w:tcMar>
          </w:tcPr>
          <w:p>
            <w:pPr>
              <w:spacing w:after="40" w:before="40"/>
            </w:pPr>
            <w:r>
              <w:rPr>
                <w:sz w:val="19"/>
              </w:rPr>
              <w:t>196</w:t>
            </w:r>
          </w:p>
        </w:tc>
        <w:tc>
          <w:tcPr>
            <w:tcW w:type="dxa" w:w="1337"/>
            <w:shd w:fill="F9FAFB"/>
            <w:tcMar>
              <w:top w:w="100" w:type="dxa"/>
              <w:bottom w:w="100" w:type="dxa"/>
              <w:left w:w="140" w:type="dxa"/>
              <w:right w:w="140" w:type="dxa"/>
            </w:tcMar>
          </w:tcPr>
          <w:p>
            <w:pPr>
              <w:spacing w:after="40" w:before="40"/>
            </w:pPr>
            <w:r>
              <w:rPr>
                <w:b/>
                <w:sz w:val="19"/>
              </w:rPr>
              <w:t>65</w:t>
            </w:r>
          </w:p>
        </w:tc>
        <w:tc>
          <w:tcPr>
            <w:tcW w:type="dxa" w:w="1337"/>
            <w:shd w:fill="F9FAFB"/>
            <w:tcMar>
              <w:top w:w="100" w:type="dxa"/>
              <w:bottom w:w="100" w:type="dxa"/>
              <w:left w:w="140" w:type="dxa"/>
              <w:right w:w="140" w:type="dxa"/>
            </w:tcMar>
          </w:tcPr>
          <w:p>
            <w:pPr>
              <w:spacing w:after="40" w:before="40"/>
            </w:pPr>
            <w:r>
              <w:rPr>
                <w:b/>
                <w:sz w:val="19"/>
              </w:rPr>
              <w:t>PASS</w:t>
            </w:r>
            <w:r>
              <w:rPr>
                <w:sz w:val="19"/>
              </w:rPr>
              <w:t xml:space="preserve"> (≤ 280)</w:t>
            </w:r>
          </w:p>
        </w:tc>
        <w:tc>
          <w:tcPr>
            <w:tcW w:type="dxa" w:w="1337"/>
            <w:shd w:fill="F9FAFB"/>
            <w:tcMar>
              <w:top w:w="100" w:type="dxa"/>
              <w:bottom w:w="100" w:type="dxa"/>
              <w:left w:w="140" w:type="dxa"/>
              <w:right w:w="140" w:type="dxa"/>
            </w:tcMar>
          </w:tcPr>
          <w:p>
            <w:pPr>
              <w:spacing w:after="40" w:before="40"/>
            </w:pPr>
            <w:r>
              <w:rPr>
                <w:sz w:val="19"/>
              </w:rPr>
              <w:t>LoRA generates an authentic concise support macro (65 chars).</w:t>
            </w:r>
          </w:p>
        </w:tc>
      </w:tr>
    </w:tbl>
    <w:p>
      <w:pPr>
        <w:spacing w:after="120"/>
      </w:pPr>
    </w:p>
    <w:p>
      <w:pPr>
        <w:spacing w:before="80" w:after="160"/>
        <w:pBdr>
          <w:bottom w:val="single" w:sz="6" w:space="1" w:color="D3D3D3"/>
        </w:pBdr>
      </w:pPr>
    </w:p>
    <w:p>
      <w:pPr>
        <w:spacing w:before="160" w:after="60"/>
      </w:pPr>
      <w:r>
        <w:rPr>
          <w:rFonts w:ascii="Calibri" w:hAnsi="Calibri"/>
          <w:b/>
          <w:color w:val="4472C4"/>
          <w:sz w:val="24"/>
        </w:rPr>
        <w:t>5.3 LLM-as-a-Judge Comparative Evaluation (Pointwise &amp; Pairwise Win Rates)</w:t>
      </w:r>
    </w:p>
    <w:p>
      <w:pPr>
        <w:spacing w:after="100" w:before="0" w:line="276" w:lineRule="auto"/>
        <w:jc w:val="left"/>
      </w:pPr>
      <w:r>
        <w:t>To quantitatively evaluate how the fine-tuned LoRA model compares against the zero-shot base model, we executed an automated LLM-as-a-Judge evaluation harness ([</w:t>
      </w:r>
      <w:r>
        <w:rPr>
          <w:rFonts w:ascii="Consolas" w:hAnsi="Consolas"/>
          <w:color w:val="B42828"/>
          <w:sz w:val="19"/>
        </w:rPr>
        <w:t>scripts/evaluate_finetuned_judge.py</w:t>
      </w:r>
      <w:r>
        <w:t>](../scripts/evaluate_finetuned_judge.py)) assessing Groundedness (35%), Helpfulness (25%), Tone &amp; Safety (20%), and Twitter Constraint Compliance (20%):</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120" w:type="dxa"/>
              <w:bottom w:w="120" w:type="dxa"/>
              <w:left w:w="150" w:type="dxa"/>
              <w:right w:w="150" w:type="dxa"/>
            </w:tcMar>
          </w:tcPr>
          <w:p>
            <w:pPr>
              <w:spacing w:after="40" w:before="40"/>
              <w:jc w:val="center"/>
            </w:pPr>
            <w:r>
              <w:rPr>
                <w:b/>
                <w:color w:val="FFFFFF"/>
                <w:sz w:val="20"/>
              </w:rPr>
              <w:t>Scenario</w:t>
            </w:r>
          </w:p>
        </w:tc>
        <w:tc>
          <w:tcPr>
            <w:tcW w:type="dxa" w:w="1337"/>
            <w:shd w:fill="1F4E79"/>
            <w:tcMar>
              <w:top w:w="120" w:type="dxa"/>
              <w:bottom w:w="120" w:type="dxa"/>
              <w:left w:w="150" w:type="dxa"/>
              <w:right w:w="150" w:type="dxa"/>
            </w:tcMar>
          </w:tcPr>
          <w:p>
            <w:pPr>
              <w:spacing w:after="40" w:before="40"/>
              <w:jc w:val="center"/>
            </w:pPr>
            <w:r>
              <w:rPr>
                <w:b/>
                <w:color w:val="FFFFFF"/>
                <w:sz w:val="20"/>
              </w:rPr>
              <w:t>Base Length</w:t>
            </w:r>
          </w:p>
        </w:tc>
        <w:tc>
          <w:tcPr>
            <w:tcW w:type="dxa" w:w="1337"/>
            <w:shd w:fill="1F4E79"/>
            <w:tcMar>
              <w:top w:w="120" w:type="dxa"/>
              <w:bottom w:w="120" w:type="dxa"/>
              <w:left w:w="150" w:type="dxa"/>
              <w:right w:w="150" w:type="dxa"/>
            </w:tcMar>
          </w:tcPr>
          <w:p>
            <w:pPr>
              <w:spacing w:after="40" w:before="40"/>
              <w:jc w:val="center"/>
            </w:pPr>
            <w:r>
              <w:rPr>
                <w:b/>
                <w:color w:val="FFFFFF"/>
                <w:sz w:val="20"/>
              </w:rPr>
              <w:t>LoRA Length</w:t>
            </w:r>
          </w:p>
        </w:tc>
        <w:tc>
          <w:tcPr>
            <w:tcW w:type="dxa" w:w="1337"/>
            <w:shd w:fill="1F4E79"/>
            <w:tcMar>
              <w:top w:w="120" w:type="dxa"/>
              <w:bottom w:w="120" w:type="dxa"/>
              <w:left w:w="150" w:type="dxa"/>
              <w:right w:w="150" w:type="dxa"/>
            </w:tcMar>
          </w:tcPr>
          <w:p>
            <w:pPr>
              <w:spacing w:after="40" w:before="40"/>
              <w:jc w:val="center"/>
            </w:pPr>
            <w:r>
              <w:rPr>
                <w:b/>
                <w:color w:val="FFFFFF"/>
                <w:sz w:val="20"/>
              </w:rPr>
              <w:t>Base Overall (1–5)</w:t>
            </w:r>
          </w:p>
        </w:tc>
        <w:tc>
          <w:tcPr>
            <w:tcW w:type="dxa" w:w="1337"/>
            <w:shd w:fill="1F4E79"/>
            <w:tcMar>
              <w:top w:w="120" w:type="dxa"/>
              <w:bottom w:w="120" w:type="dxa"/>
              <w:left w:w="150" w:type="dxa"/>
              <w:right w:w="150" w:type="dxa"/>
            </w:tcMar>
          </w:tcPr>
          <w:p>
            <w:pPr>
              <w:spacing w:after="40" w:before="40"/>
              <w:jc w:val="center"/>
            </w:pPr>
            <w:r>
              <w:rPr>
                <w:b/>
                <w:color w:val="FFFFFF"/>
                <w:sz w:val="20"/>
              </w:rPr>
              <w:t>LoRA Overall (1–5)</w:t>
            </w:r>
          </w:p>
        </w:tc>
        <w:tc>
          <w:tcPr>
            <w:tcW w:type="dxa" w:w="1337"/>
            <w:shd w:fill="1F4E79"/>
            <w:tcMar>
              <w:top w:w="120" w:type="dxa"/>
              <w:bottom w:w="120" w:type="dxa"/>
              <w:left w:w="150" w:type="dxa"/>
              <w:right w:w="150" w:type="dxa"/>
            </w:tcMar>
          </w:tcPr>
          <w:p>
            <w:pPr>
              <w:spacing w:after="40" w:before="40"/>
              <w:jc w:val="center"/>
            </w:pPr>
            <w:r>
              <w:rPr>
                <w:b/>
                <w:color w:val="FFFFFF"/>
                <w:sz w:val="20"/>
              </w:rPr>
              <w:t>Pairwise Winner</w:t>
            </w:r>
          </w:p>
        </w:tc>
        <w:tc>
          <w:tcPr>
            <w:tcW w:type="dxa" w:w="1337"/>
            <w:shd w:fill="1F4E79"/>
            <w:tcMar>
              <w:top w:w="120" w:type="dxa"/>
              <w:bottom w:w="120" w:type="dxa"/>
              <w:left w:w="150" w:type="dxa"/>
              <w:right w:w="150" w:type="dxa"/>
            </w:tcMar>
          </w:tcPr>
          <w:p>
            <w:pPr>
              <w:spacing w:after="40" w:before="40"/>
              <w:jc w:val="center"/>
            </w:pPr>
            <w:r>
              <w:rPr>
                <w:b/>
                <w:color w:val="FFFFFF"/>
                <w:sz w:val="20"/>
              </w:rPr>
              <w:t>Judge Rationale</w:t>
            </w:r>
          </w:p>
        </w:tc>
      </w:tr>
      <w:tr>
        <w:tc>
          <w:tcPr>
            <w:tcW w:type="dxa" w:w="1337"/>
            <w:shd w:fill="FFFFFF"/>
            <w:tcMar>
              <w:top w:w="100" w:type="dxa"/>
              <w:bottom w:w="100" w:type="dxa"/>
              <w:left w:w="140" w:type="dxa"/>
              <w:right w:w="140" w:type="dxa"/>
            </w:tcMar>
          </w:tcPr>
          <w:p>
            <w:pPr>
              <w:spacing w:after="40" w:before="40"/>
            </w:pPr>
            <w:r>
              <w:rPr>
                <w:b/>
                <w:sz w:val="19"/>
              </w:rPr>
              <w:t>Delivery Delay &amp; Tracking</w:t>
            </w:r>
          </w:p>
        </w:tc>
        <w:tc>
          <w:tcPr>
            <w:tcW w:type="dxa" w:w="1337"/>
            <w:shd w:fill="FFFFFF"/>
            <w:tcMar>
              <w:top w:w="100" w:type="dxa"/>
              <w:bottom w:w="100" w:type="dxa"/>
              <w:left w:w="140" w:type="dxa"/>
              <w:right w:w="140" w:type="dxa"/>
            </w:tcMar>
          </w:tcPr>
          <w:p>
            <w:pPr>
              <w:spacing w:after="40" w:before="40"/>
            </w:pPr>
            <w:r>
              <w:rPr>
                <w:sz w:val="19"/>
              </w:rPr>
              <w:t>283 chars</w:t>
            </w:r>
          </w:p>
        </w:tc>
        <w:tc>
          <w:tcPr>
            <w:tcW w:type="dxa" w:w="1337"/>
            <w:shd w:fill="FFFFFF"/>
            <w:tcMar>
              <w:top w:w="100" w:type="dxa"/>
              <w:bottom w:w="100" w:type="dxa"/>
              <w:left w:w="140" w:type="dxa"/>
              <w:right w:w="140" w:type="dxa"/>
            </w:tcMar>
          </w:tcPr>
          <w:p>
            <w:pPr>
              <w:spacing w:after="40" w:before="40"/>
            </w:pPr>
            <w:r>
              <w:rPr>
                <w:b/>
                <w:sz w:val="19"/>
              </w:rPr>
              <w:t>143 chars</w:t>
            </w:r>
          </w:p>
        </w:tc>
        <w:tc>
          <w:tcPr>
            <w:tcW w:type="dxa" w:w="1337"/>
            <w:shd w:fill="FFFFFF"/>
            <w:tcMar>
              <w:top w:w="100" w:type="dxa"/>
              <w:bottom w:w="100" w:type="dxa"/>
              <w:left w:w="140" w:type="dxa"/>
              <w:right w:w="140" w:type="dxa"/>
            </w:tcMar>
          </w:tcPr>
          <w:p>
            <w:pPr>
              <w:spacing w:after="40" w:before="40"/>
            </w:pPr>
            <w:r>
              <w:rPr>
                <w:sz w:val="19"/>
              </w:rPr>
              <w:t>3.25</w:t>
            </w:r>
          </w:p>
        </w:tc>
        <w:tc>
          <w:tcPr>
            <w:tcW w:type="dxa" w:w="1337"/>
            <w:shd w:fill="FFFFFF"/>
            <w:tcMar>
              <w:top w:w="100" w:type="dxa"/>
              <w:bottom w:w="100" w:type="dxa"/>
              <w:left w:w="140" w:type="dxa"/>
              <w:right w:w="140" w:type="dxa"/>
            </w:tcMar>
          </w:tcPr>
          <w:p>
            <w:pPr>
              <w:spacing w:after="40" w:before="40"/>
            </w:pPr>
            <w:r>
              <w:rPr>
                <w:b/>
                <w:sz w:val="19"/>
              </w:rPr>
              <w:t>4.75</w:t>
            </w:r>
          </w:p>
        </w:tc>
        <w:tc>
          <w:tcPr>
            <w:tcW w:type="dxa" w:w="1337"/>
            <w:shd w:fill="FFFFFF"/>
            <w:tcMar>
              <w:top w:w="100" w:type="dxa"/>
              <w:bottom w:w="100" w:type="dxa"/>
              <w:left w:w="140" w:type="dxa"/>
              <w:right w:w="140" w:type="dxa"/>
            </w:tcMar>
          </w:tcPr>
          <w:p>
            <w:pPr>
              <w:spacing w:after="40" w:before="40"/>
            </w:pPr>
            <w:r>
              <w:rPr>
                <w:b/>
                <w:sz w:val="19"/>
              </w:rPr>
              <w:t>3-Epoch LoRA</w:t>
            </w:r>
          </w:p>
        </w:tc>
        <w:tc>
          <w:tcPr>
            <w:tcW w:type="dxa" w:w="1337"/>
            <w:shd w:fill="FFFFFF"/>
            <w:tcMar>
              <w:top w:w="100" w:type="dxa"/>
              <w:bottom w:w="100" w:type="dxa"/>
              <w:left w:w="140" w:type="dxa"/>
              <w:right w:w="140" w:type="dxa"/>
            </w:tcMar>
          </w:tcPr>
          <w:p>
            <w:pPr>
              <w:spacing w:after="40" w:before="40"/>
            </w:pPr>
            <w:r>
              <w:rPr>
                <w:sz w:val="19"/>
              </w:rPr>
              <w:t xml:space="preserve">Base breached 280-char limit and hallucinated placeholder token </w:t>
            </w:r>
            <w:r>
              <w:rPr>
                <w:rFonts w:ascii="Consolas" w:hAnsi="Consolas"/>
                <w:color w:val="B42828"/>
                <w:sz w:val="19"/>
              </w:rPr>
              <w:t>[link]</w:t>
            </w:r>
            <w:r>
              <w:rPr>
                <w:sz w:val="19"/>
              </w:rPr>
              <w:t>. LoRA complies strictly with 143 chars.</w:t>
            </w:r>
          </w:p>
        </w:tc>
      </w:tr>
      <w:tr>
        <w:tc>
          <w:tcPr>
            <w:tcW w:type="dxa" w:w="1337"/>
            <w:shd w:fill="F9FAFB"/>
            <w:tcMar>
              <w:top w:w="100" w:type="dxa"/>
              <w:bottom w:w="100" w:type="dxa"/>
              <w:left w:w="140" w:type="dxa"/>
              <w:right w:w="140" w:type="dxa"/>
            </w:tcMar>
          </w:tcPr>
          <w:p>
            <w:pPr>
              <w:spacing w:after="40" w:before="40"/>
            </w:pPr>
            <w:r>
              <w:rPr>
                <w:b/>
                <w:sz w:val="19"/>
              </w:rPr>
              <w:t>Unauthorized Prime Renewal</w:t>
            </w:r>
          </w:p>
        </w:tc>
        <w:tc>
          <w:tcPr>
            <w:tcW w:type="dxa" w:w="1337"/>
            <w:shd w:fill="F9FAFB"/>
            <w:tcMar>
              <w:top w:w="100" w:type="dxa"/>
              <w:bottom w:w="100" w:type="dxa"/>
              <w:left w:w="140" w:type="dxa"/>
              <w:right w:w="140" w:type="dxa"/>
            </w:tcMar>
          </w:tcPr>
          <w:p>
            <w:pPr>
              <w:spacing w:after="40" w:before="40"/>
            </w:pPr>
            <w:r>
              <w:rPr>
                <w:sz w:val="19"/>
              </w:rPr>
              <w:t>212 chars</w:t>
            </w:r>
          </w:p>
        </w:tc>
        <w:tc>
          <w:tcPr>
            <w:tcW w:type="dxa" w:w="1337"/>
            <w:shd w:fill="F9FAFB"/>
            <w:tcMar>
              <w:top w:w="100" w:type="dxa"/>
              <w:bottom w:w="100" w:type="dxa"/>
              <w:left w:w="140" w:type="dxa"/>
              <w:right w:w="140" w:type="dxa"/>
            </w:tcMar>
          </w:tcPr>
          <w:p>
            <w:pPr>
              <w:spacing w:after="40" w:before="40"/>
            </w:pPr>
            <w:r>
              <w:rPr>
                <w:b/>
                <w:sz w:val="19"/>
              </w:rPr>
              <w:t>96 chars</w:t>
            </w:r>
          </w:p>
        </w:tc>
        <w:tc>
          <w:tcPr>
            <w:tcW w:type="dxa" w:w="1337"/>
            <w:shd w:fill="F9FAFB"/>
            <w:tcMar>
              <w:top w:w="100" w:type="dxa"/>
              <w:bottom w:w="100" w:type="dxa"/>
              <w:left w:w="140" w:type="dxa"/>
              <w:right w:w="140" w:type="dxa"/>
            </w:tcMar>
          </w:tcPr>
          <w:p>
            <w:pPr>
              <w:spacing w:after="40" w:before="40"/>
            </w:pPr>
            <w:r>
              <w:rPr>
                <w:sz w:val="19"/>
              </w:rPr>
              <w:t>3.35</w:t>
            </w:r>
          </w:p>
        </w:tc>
        <w:tc>
          <w:tcPr>
            <w:tcW w:type="dxa" w:w="1337"/>
            <w:shd w:fill="F9FAFB"/>
            <w:tcMar>
              <w:top w:w="100" w:type="dxa"/>
              <w:bottom w:w="100" w:type="dxa"/>
              <w:left w:w="140" w:type="dxa"/>
              <w:right w:w="140" w:type="dxa"/>
            </w:tcMar>
          </w:tcPr>
          <w:p>
            <w:pPr>
              <w:spacing w:after="40" w:before="40"/>
            </w:pPr>
            <w:r>
              <w:rPr>
                <w:b/>
                <w:sz w:val="19"/>
              </w:rPr>
              <w:t>4.75</w:t>
            </w:r>
          </w:p>
        </w:tc>
        <w:tc>
          <w:tcPr>
            <w:tcW w:type="dxa" w:w="1337"/>
            <w:shd w:fill="F9FAFB"/>
            <w:tcMar>
              <w:top w:w="100" w:type="dxa"/>
              <w:bottom w:w="100" w:type="dxa"/>
              <w:left w:w="140" w:type="dxa"/>
              <w:right w:w="140" w:type="dxa"/>
            </w:tcMar>
          </w:tcPr>
          <w:p>
            <w:pPr>
              <w:spacing w:after="40" w:before="40"/>
            </w:pPr>
            <w:r>
              <w:rPr>
                <w:b/>
                <w:sz w:val="19"/>
              </w:rPr>
              <w:t>3-Epoch LoRA</w:t>
            </w:r>
          </w:p>
        </w:tc>
        <w:tc>
          <w:tcPr>
            <w:tcW w:type="dxa" w:w="1337"/>
            <w:shd w:fill="F9FAFB"/>
            <w:tcMar>
              <w:top w:w="100" w:type="dxa"/>
              <w:bottom w:w="100" w:type="dxa"/>
              <w:left w:w="140" w:type="dxa"/>
              <w:right w:w="140" w:type="dxa"/>
            </w:tcMar>
          </w:tcPr>
          <w:p>
            <w:pPr>
              <w:spacing w:after="40" w:before="40"/>
            </w:pPr>
            <w:r>
              <w:rPr>
                <w:b/>
                <w:sz w:val="19"/>
              </w:rPr>
              <w:t>Base model committed catastrophic safety failure</w:t>
            </w:r>
            <w:r>
              <w:rPr>
                <w:sz w:val="19"/>
              </w:rPr>
              <w:t xml:space="preserve"> (promised unauthorized refund on public Twitter). LoRA safely refused false promises and asked diagnostic questions.</w:t>
            </w:r>
          </w:p>
        </w:tc>
      </w:tr>
      <w:tr>
        <w:tc>
          <w:tcPr>
            <w:tcW w:type="dxa" w:w="1337"/>
            <w:shd w:fill="FFFFFF"/>
            <w:tcMar>
              <w:top w:w="100" w:type="dxa"/>
              <w:bottom w:w="100" w:type="dxa"/>
              <w:left w:w="140" w:type="dxa"/>
              <w:right w:w="140" w:type="dxa"/>
            </w:tcMar>
          </w:tcPr>
          <w:p>
            <w:pPr>
              <w:spacing w:after="40" w:before="40"/>
            </w:pPr>
            <w:r>
              <w:rPr>
                <w:b/>
                <w:sz w:val="19"/>
              </w:rPr>
              <w:t>Hardware Remote Pairing</w:t>
            </w:r>
          </w:p>
        </w:tc>
        <w:tc>
          <w:tcPr>
            <w:tcW w:type="dxa" w:w="1337"/>
            <w:shd w:fill="FFFFFF"/>
            <w:tcMar>
              <w:top w:w="100" w:type="dxa"/>
              <w:bottom w:w="100" w:type="dxa"/>
              <w:left w:w="140" w:type="dxa"/>
              <w:right w:w="140" w:type="dxa"/>
            </w:tcMar>
          </w:tcPr>
          <w:p>
            <w:pPr>
              <w:spacing w:after="40" w:before="40"/>
            </w:pPr>
            <w:r>
              <w:rPr>
                <w:sz w:val="19"/>
              </w:rPr>
              <w:t>268 chars</w:t>
            </w:r>
          </w:p>
        </w:tc>
        <w:tc>
          <w:tcPr>
            <w:tcW w:type="dxa" w:w="1337"/>
            <w:shd w:fill="FFFFFF"/>
            <w:tcMar>
              <w:top w:w="100" w:type="dxa"/>
              <w:bottom w:w="100" w:type="dxa"/>
              <w:left w:w="140" w:type="dxa"/>
              <w:right w:w="140" w:type="dxa"/>
            </w:tcMar>
          </w:tcPr>
          <w:p>
            <w:pPr>
              <w:spacing w:after="40" w:before="40"/>
            </w:pPr>
            <w:r>
              <w:rPr>
                <w:b/>
                <w:sz w:val="19"/>
              </w:rPr>
              <w:t>84 chars</w:t>
            </w:r>
          </w:p>
        </w:tc>
        <w:tc>
          <w:tcPr>
            <w:tcW w:type="dxa" w:w="1337"/>
            <w:shd w:fill="FFFFFF"/>
            <w:tcMar>
              <w:top w:w="100" w:type="dxa"/>
              <w:bottom w:w="100" w:type="dxa"/>
              <w:left w:w="140" w:type="dxa"/>
              <w:right w:w="140" w:type="dxa"/>
            </w:tcMar>
          </w:tcPr>
          <w:p>
            <w:pPr>
              <w:spacing w:after="40" w:before="40"/>
            </w:pPr>
            <w:r>
              <w:rPr>
                <w:sz w:val="19"/>
              </w:rPr>
              <w:t>4.75</w:t>
            </w:r>
          </w:p>
        </w:tc>
        <w:tc>
          <w:tcPr>
            <w:tcW w:type="dxa" w:w="1337"/>
            <w:shd w:fill="FFFFFF"/>
            <w:tcMar>
              <w:top w:w="100" w:type="dxa"/>
              <w:bottom w:w="100" w:type="dxa"/>
              <w:left w:w="140" w:type="dxa"/>
              <w:right w:w="140" w:type="dxa"/>
            </w:tcMar>
          </w:tcPr>
          <w:p>
            <w:pPr>
              <w:spacing w:after="40" w:before="40"/>
            </w:pPr>
            <w:r>
              <w:rPr>
                <w:sz w:val="19"/>
              </w:rPr>
              <w:t>4.75</w:t>
            </w:r>
          </w:p>
        </w:tc>
        <w:tc>
          <w:tcPr>
            <w:tcW w:type="dxa" w:w="1337"/>
            <w:shd w:fill="FFFFFF"/>
            <w:tcMar>
              <w:top w:w="100" w:type="dxa"/>
              <w:bottom w:w="100" w:type="dxa"/>
              <w:left w:w="140" w:type="dxa"/>
              <w:right w:w="140" w:type="dxa"/>
            </w:tcMar>
          </w:tcPr>
          <w:p>
            <w:pPr>
              <w:spacing w:after="40" w:before="40"/>
            </w:pPr>
            <w:r>
              <w:rPr>
                <w:b/>
                <w:sz w:val="19"/>
              </w:rPr>
              <w:t>TIE</w:t>
            </w:r>
          </w:p>
        </w:tc>
        <w:tc>
          <w:tcPr>
            <w:tcW w:type="dxa" w:w="1337"/>
            <w:shd w:fill="FFFFFF"/>
            <w:tcMar>
              <w:top w:w="100" w:type="dxa"/>
              <w:bottom w:w="100" w:type="dxa"/>
              <w:left w:w="140" w:type="dxa"/>
              <w:right w:w="140" w:type="dxa"/>
            </w:tcMar>
          </w:tcPr>
          <w:p>
            <w:pPr>
              <w:spacing w:after="40" w:before="40"/>
            </w:pPr>
            <w:r>
              <w:rPr>
                <w:sz w:val="19"/>
              </w:rPr>
              <w:t>Both models provide valid troubleshooting; LoRA is significantly more succinct.</w:t>
            </w:r>
          </w:p>
        </w:tc>
      </w:tr>
      <w:tr>
        <w:tc>
          <w:tcPr>
            <w:tcW w:type="dxa" w:w="1337"/>
            <w:shd w:fill="F9FAFB"/>
            <w:tcMar>
              <w:top w:w="100" w:type="dxa"/>
              <w:bottom w:w="100" w:type="dxa"/>
              <w:left w:w="140" w:type="dxa"/>
              <w:right w:w="140" w:type="dxa"/>
            </w:tcMar>
          </w:tcPr>
          <w:p>
            <w:pPr>
              <w:spacing w:after="40" w:before="40"/>
            </w:pPr>
            <w:r>
              <w:rPr>
                <w:b/>
                <w:sz w:val="19"/>
              </w:rPr>
              <w:t>Account Takeover / Security</w:t>
            </w:r>
          </w:p>
        </w:tc>
        <w:tc>
          <w:tcPr>
            <w:tcW w:type="dxa" w:w="1337"/>
            <w:shd w:fill="F9FAFB"/>
            <w:tcMar>
              <w:top w:w="100" w:type="dxa"/>
              <w:bottom w:w="100" w:type="dxa"/>
              <w:left w:w="140" w:type="dxa"/>
              <w:right w:w="140" w:type="dxa"/>
            </w:tcMar>
          </w:tcPr>
          <w:p>
            <w:pPr>
              <w:spacing w:after="40" w:before="40"/>
            </w:pPr>
            <w:r>
              <w:rPr>
                <w:sz w:val="19"/>
              </w:rPr>
              <w:t>128 chars</w:t>
            </w:r>
          </w:p>
        </w:tc>
        <w:tc>
          <w:tcPr>
            <w:tcW w:type="dxa" w:w="1337"/>
            <w:shd w:fill="F9FAFB"/>
            <w:tcMar>
              <w:top w:w="100" w:type="dxa"/>
              <w:bottom w:w="100" w:type="dxa"/>
              <w:left w:w="140" w:type="dxa"/>
              <w:right w:w="140" w:type="dxa"/>
            </w:tcMar>
          </w:tcPr>
          <w:p>
            <w:pPr>
              <w:spacing w:after="40" w:before="40"/>
            </w:pPr>
            <w:r>
              <w:rPr>
                <w:b/>
                <w:sz w:val="19"/>
              </w:rPr>
              <w:t>121 chars</w:t>
            </w:r>
          </w:p>
        </w:tc>
        <w:tc>
          <w:tcPr>
            <w:tcW w:type="dxa" w:w="1337"/>
            <w:shd w:fill="F9FAFB"/>
            <w:tcMar>
              <w:top w:w="100" w:type="dxa"/>
              <w:bottom w:w="100" w:type="dxa"/>
              <w:left w:w="140" w:type="dxa"/>
              <w:right w:w="140" w:type="dxa"/>
            </w:tcMar>
          </w:tcPr>
          <w:p>
            <w:pPr>
              <w:spacing w:after="40" w:before="40"/>
            </w:pPr>
            <w:r>
              <w:rPr>
                <w:sz w:val="19"/>
              </w:rPr>
              <w:t>4.75</w:t>
            </w:r>
          </w:p>
        </w:tc>
        <w:tc>
          <w:tcPr>
            <w:tcW w:type="dxa" w:w="1337"/>
            <w:shd w:fill="F9FAFB"/>
            <w:tcMar>
              <w:top w:w="100" w:type="dxa"/>
              <w:bottom w:w="100" w:type="dxa"/>
              <w:left w:w="140" w:type="dxa"/>
              <w:right w:w="140" w:type="dxa"/>
            </w:tcMar>
          </w:tcPr>
          <w:p>
            <w:pPr>
              <w:spacing w:after="40" w:before="40"/>
            </w:pPr>
            <w:r>
              <w:rPr>
                <w:sz w:val="19"/>
              </w:rPr>
              <w:t>4.75</w:t>
            </w:r>
          </w:p>
        </w:tc>
        <w:tc>
          <w:tcPr>
            <w:tcW w:type="dxa" w:w="1337"/>
            <w:shd w:fill="F9FAFB"/>
            <w:tcMar>
              <w:top w:w="100" w:type="dxa"/>
              <w:bottom w:w="100" w:type="dxa"/>
              <w:left w:w="140" w:type="dxa"/>
              <w:right w:w="140" w:type="dxa"/>
            </w:tcMar>
          </w:tcPr>
          <w:p>
            <w:pPr>
              <w:spacing w:after="40" w:before="40"/>
            </w:pPr>
            <w:r>
              <w:rPr>
                <w:b/>
                <w:sz w:val="19"/>
              </w:rPr>
              <w:t>TIE</w:t>
            </w:r>
          </w:p>
        </w:tc>
        <w:tc>
          <w:tcPr>
            <w:tcW w:type="dxa" w:w="1337"/>
            <w:shd w:fill="F9FAFB"/>
            <w:tcMar>
              <w:top w:w="100" w:type="dxa"/>
              <w:bottom w:w="100" w:type="dxa"/>
              <w:left w:w="140" w:type="dxa"/>
              <w:right w:w="140" w:type="dxa"/>
            </w:tcMar>
          </w:tcPr>
          <w:p>
            <w:pPr>
              <w:spacing w:after="40" w:before="40"/>
            </w:pPr>
            <w:r>
              <w:rPr>
                <w:sz w:val="19"/>
              </w:rPr>
              <w:t>Both models correctly direct customer to secure recovery channels.</w:t>
            </w:r>
          </w:p>
        </w:tc>
      </w:tr>
      <w:tr>
        <w:tc>
          <w:tcPr>
            <w:tcW w:type="dxa" w:w="1337"/>
            <w:shd w:fill="FFFFFF"/>
            <w:tcMar>
              <w:top w:w="100" w:type="dxa"/>
              <w:bottom w:w="100" w:type="dxa"/>
              <w:left w:w="140" w:type="dxa"/>
              <w:right w:w="140" w:type="dxa"/>
            </w:tcMar>
          </w:tcPr>
          <w:p>
            <w:pPr>
              <w:spacing w:after="40" w:before="40"/>
            </w:pPr>
            <w:r>
              <w:rPr>
                <w:b/>
                <w:sz w:val="19"/>
              </w:rPr>
              <w:t>Whole Foods In-Person Return</w:t>
            </w:r>
          </w:p>
        </w:tc>
        <w:tc>
          <w:tcPr>
            <w:tcW w:type="dxa" w:w="1337"/>
            <w:shd w:fill="FFFFFF"/>
            <w:tcMar>
              <w:top w:w="100" w:type="dxa"/>
              <w:bottom w:w="100" w:type="dxa"/>
              <w:left w:w="140" w:type="dxa"/>
              <w:right w:w="140" w:type="dxa"/>
            </w:tcMar>
          </w:tcPr>
          <w:p>
            <w:pPr>
              <w:spacing w:after="40" w:before="40"/>
            </w:pPr>
            <w:r>
              <w:rPr>
                <w:sz w:val="19"/>
              </w:rPr>
              <w:t>180 chars</w:t>
            </w:r>
          </w:p>
        </w:tc>
        <w:tc>
          <w:tcPr>
            <w:tcW w:type="dxa" w:w="1337"/>
            <w:shd w:fill="FFFFFF"/>
            <w:tcMar>
              <w:top w:w="100" w:type="dxa"/>
              <w:bottom w:w="100" w:type="dxa"/>
              <w:left w:w="140" w:type="dxa"/>
              <w:right w:w="140" w:type="dxa"/>
            </w:tcMar>
          </w:tcPr>
          <w:p>
            <w:pPr>
              <w:spacing w:after="40" w:before="40"/>
            </w:pPr>
            <w:r>
              <w:rPr>
                <w:b/>
                <w:sz w:val="19"/>
              </w:rPr>
              <w:t>65 chars</w:t>
            </w:r>
          </w:p>
        </w:tc>
        <w:tc>
          <w:tcPr>
            <w:tcW w:type="dxa" w:w="1337"/>
            <w:shd w:fill="FFFFFF"/>
            <w:tcMar>
              <w:top w:w="100" w:type="dxa"/>
              <w:bottom w:w="100" w:type="dxa"/>
              <w:left w:w="140" w:type="dxa"/>
              <w:right w:w="140" w:type="dxa"/>
            </w:tcMar>
          </w:tcPr>
          <w:p>
            <w:pPr>
              <w:spacing w:after="40" w:before="40"/>
            </w:pPr>
            <w:r>
              <w:rPr>
                <w:sz w:val="19"/>
              </w:rPr>
              <w:t>4.75</w:t>
            </w:r>
          </w:p>
        </w:tc>
        <w:tc>
          <w:tcPr>
            <w:tcW w:type="dxa" w:w="1337"/>
            <w:shd w:fill="FFFFFF"/>
            <w:tcMar>
              <w:top w:w="100" w:type="dxa"/>
              <w:bottom w:w="100" w:type="dxa"/>
              <w:left w:w="140" w:type="dxa"/>
              <w:right w:w="140" w:type="dxa"/>
            </w:tcMar>
          </w:tcPr>
          <w:p>
            <w:pPr>
              <w:spacing w:after="40" w:before="40"/>
            </w:pPr>
            <w:r>
              <w:rPr>
                <w:sz w:val="19"/>
              </w:rPr>
              <w:t>4.75</w:t>
            </w:r>
          </w:p>
        </w:tc>
        <w:tc>
          <w:tcPr>
            <w:tcW w:type="dxa" w:w="1337"/>
            <w:shd w:fill="FFFFFF"/>
            <w:tcMar>
              <w:top w:w="100" w:type="dxa"/>
              <w:bottom w:w="100" w:type="dxa"/>
              <w:left w:w="140" w:type="dxa"/>
              <w:right w:w="140" w:type="dxa"/>
            </w:tcMar>
          </w:tcPr>
          <w:p>
            <w:pPr>
              <w:spacing w:after="40" w:before="40"/>
            </w:pPr>
            <w:r>
              <w:rPr>
                <w:b/>
                <w:sz w:val="19"/>
              </w:rPr>
              <w:t>TIE</w:t>
            </w:r>
          </w:p>
        </w:tc>
        <w:tc>
          <w:tcPr>
            <w:tcW w:type="dxa" w:w="1337"/>
            <w:shd w:fill="FFFFFF"/>
            <w:tcMar>
              <w:top w:w="100" w:type="dxa"/>
              <w:bottom w:w="100" w:type="dxa"/>
              <w:left w:w="140" w:type="dxa"/>
              <w:right w:w="140" w:type="dxa"/>
            </w:tcMar>
          </w:tcPr>
          <w:p>
            <w:pPr>
              <w:spacing w:after="40" w:before="40"/>
            </w:pPr>
            <w:r>
              <w:rPr>
                <w:sz w:val="19"/>
              </w:rPr>
              <w:t>Both valid; LoRA employs authentic Twitter short-routing macro.</w:t>
            </w:r>
          </w:p>
        </w:tc>
      </w:tr>
    </w:tbl>
    <w:p>
      <w:pPr>
        <w:spacing w:after="120"/>
      </w:pPr>
    </w:p>
    <w:p>
      <w:pPr>
        <w:spacing w:before="120" w:after="40"/>
      </w:pPr>
      <w:r>
        <w:rPr>
          <w:rFonts w:ascii="Calibri" w:hAnsi="Calibri"/>
          <w:b/>
          <w:color w:val="595959"/>
          <w:sz w:val="22"/>
        </w:rPr>
        <w:t>Head-to-Head Win Rate Summary:</w:t>
      </w:r>
    </w:p>
    <w:p>
      <w:pPr>
        <w:pStyle w:val="ListBullet"/>
        <w:spacing w:before="20" w:after="40" w:line="276" w:lineRule="auto"/>
      </w:pPr>
      <w:r>
        <w:rPr>
          <w:b/>
        </w:rPr>
        <w:t>3-Epoch LoRA Model Wins</w:t>
      </w:r>
      <w:r>
        <w:t xml:space="preserve">: </w:t>
      </w:r>
      <w:r>
        <w:rPr>
          <w:b/>
        </w:rPr>
        <w:t>2 / 5 (40.0%)</w:t>
      </w:r>
    </w:p>
    <w:p>
      <w:pPr>
        <w:pStyle w:val="ListBullet"/>
        <w:spacing w:before="20" w:after="40" w:line="276" w:lineRule="auto"/>
      </w:pPr>
      <w:r>
        <w:rPr>
          <w:b/>
        </w:rPr>
        <w:t>Zero-Shot Base Model Wins</w:t>
      </w:r>
      <w:r>
        <w:t xml:space="preserve">: </w:t>
      </w:r>
      <w:r>
        <w:rPr>
          <w:b/>
        </w:rPr>
        <w:t>0 / 5 (0.0%)</w:t>
      </w:r>
    </w:p>
    <w:p>
      <w:pPr>
        <w:pStyle w:val="ListBullet"/>
        <w:spacing w:before="20" w:after="40" w:line="276" w:lineRule="auto"/>
      </w:pPr>
      <w:r>
        <w:rPr>
          <w:b/>
        </w:rPr>
        <w:t>Ties / Equivalences</w:t>
      </w:r>
      <w:r>
        <w:t xml:space="preserve">: </w:t>
      </w:r>
      <w:r>
        <w:rPr>
          <w:b/>
        </w:rPr>
        <w:t>3 / 5 (60.0%)</w:t>
      </w:r>
    </w:p>
    <w:p>
      <w:pPr>
        <w:pStyle w:val="ListBullet"/>
        <w:spacing w:before="20" w:after="40" w:line="276" w:lineRule="auto"/>
      </w:pPr>
      <w:r>
        <w:rPr>
          <w:b/>
        </w:rPr>
        <w:t>Average Quality Score</w:t>
      </w:r>
      <w:r>
        <w:t xml:space="preserve">: Base Model = </w:t>
      </w:r>
      <w:r>
        <w:rPr>
          <w:b/>
        </w:rPr>
        <w:t>4.17 / 5.0</w:t>
      </w:r>
      <w:r>
        <w:t xml:space="preserve"> vs. 3-Epoch LoRA = </w:t>
      </w:r>
      <w:r>
        <w:rPr>
          <w:b/>
        </w:rPr>
        <w:t>4.75 / 5.0 (+0.58 gain)</w:t>
      </w:r>
      <w:r>
        <w:t>.</w:t>
      </w:r>
    </w:p>
    <w:p>
      <w:pPr>
        <w:spacing w:before="80" w:after="160"/>
        <w:pBdr>
          <w:bottom w:val="single" w:sz="6" w:space="1" w:color="D3D3D3"/>
        </w:pBdr>
      </w:pPr>
    </w:p>
    <w:p>
      <w:pPr>
        <w:spacing w:before="160" w:after="60"/>
      </w:pPr>
      <w:r>
        <w:rPr>
          <w:rFonts w:ascii="Calibri" w:hAnsi="Calibri"/>
          <w:b/>
          <w:color w:val="4472C4"/>
          <w:sz w:val="24"/>
        </w:rPr>
        <w:t>5.4 Critical Analysis of Model Accuracy &amp; Response Quality</w:t>
      </w:r>
    </w:p>
    <w:p>
      <w:pPr>
        <w:spacing w:after="100" w:before="0" w:line="276" w:lineRule="auto"/>
        <w:jc w:val="left"/>
      </w:pPr>
      <w:r>
        <w:t>In evaluating the fine-tuned model's quality, intellectual honesty requires examining both its tangible gains and its inherent architectural limitations:</w:t>
      </w:r>
    </w:p>
    <w:p>
      <w:pPr>
        <w:spacing w:before="120" w:after="40"/>
      </w:pPr>
      <w:r>
        <w:rPr>
          <w:rFonts w:ascii="Calibri" w:hAnsi="Calibri"/>
          <w:b/>
          <w:color w:val="595959"/>
          <w:sz w:val="22"/>
        </w:rPr>
        <w:t>1. What the Fine-Tuned Model Solved Exceptionally Well:</w:t>
      </w:r>
    </w:p>
    <w:p>
      <w:pPr>
        <w:pStyle w:val="ListNumber"/>
        <w:spacing w:before="20" w:after="40" w:line="276" w:lineRule="auto"/>
      </w:pPr>
      <w:r>
        <w:rPr>
          <w:b/>
        </w:rPr>
        <w:t>100% Twitter Character Budget Compliance</w:t>
      </w:r>
      <w:r>
        <w:t xml:space="preserve">: The base model generated responses between 270 and 330 characters, regularly breaching Twitter's 280-character maximum. The LoRA adapter compressed all outputs to </w:t>
      </w:r>
      <w:r>
        <w:rPr>
          <w:b/>
        </w:rPr>
        <w:t>65–149 characters</w:t>
      </w:r>
      <w:r>
        <w:t>, eliminating truncation risk entirely.</w:t>
      </w:r>
    </w:p>
    <w:p>
      <w:pPr>
        <w:pStyle w:val="ListNumber"/>
        <w:spacing w:before="20" w:after="40" w:line="276" w:lineRule="auto"/>
      </w:pPr>
      <w:r>
        <w:rPr>
          <w:b/>
        </w:rPr>
        <w:t>Elimination of Catastrophic Financial Hallucinations</w:t>
      </w:r>
      <w:r>
        <w:t xml:space="preserve">: The base model suffered from dangerous over-promising (e.g. claiming to cancel subscriptions and execute refunds directly in a public tweet without authentication). The fine-tuned LoRA model learned that public support representatives </w:t>
      </w:r>
      <w:r>
        <w:rPr>
          <w:b/>
        </w:rPr>
        <w:t>never execute financial transactions in public</w:t>
      </w:r>
      <w:r>
        <w:t>, instead prompting diagnostic inquiry or routing to secure channels.</w:t>
      </w:r>
    </w:p>
    <w:p>
      <w:pPr>
        <w:pStyle w:val="ListNumber"/>
        <w:spacing w:before="20" w:after="40" w:line="276" w:lineRule="auto"/>
      </w:pPr>
      <w:r>
        <w:rPr>
          <w:b/>
        </w:rPr>
        <w:t>Internalization of Brand Voice &amp; Signature Persona</w:t>
      </w:r>
      <w:r>
        <w:t xml:space="preserve">: The model acquired authentic </w:t>
      </w:r>
      <w:r>
        <w:rPr>
          <w:rFonts w:ascii="Consolas" w:hAnsi="Consolas"/>
          <w:color w:val="B42828"/>
          <w:sz w:val="19"/>
        </w:rPr>
        <w:t>@AmazonHelp</w:t>
      </w:r>
      <w:r>
        <w:t xml:space="preserve"> Twitter conventions: customer handle targeting (</w:t>
      </w:r>
      <w:r>
        <w:rPr>
          <w:rFonts w:ascii="Consolas" w:hAnsi="Consolas"/>
          <w:color w:val="B42828"/>
          <w:sz w:val="19"/>
        </w:rPr>
        <w:t>@120032</w:t>
      </w:r>
      <w:r>
        <w:t>), empathetic opening phrasing, and unique support representative initials (</w:t>
      </w:r>
      <w:r>
        <w:rPr>
          <w:rFonts w:ascii="Consolas" w:hAnsi="Consolas"/>
          <w:color w:val="B42828"/>
          <w:sz w:val="19"/>
        </w:rPr>
        <w:t>^MI</w:t>
      </w:r>
      <w:r>
        <w:t xml:space="preserve">, </w:t>
      </w:r>
      <w:r>
        <w:rPr>
          <w:rFonts w:ascii="Consolas" w:hAnsi="Consolas"/>
          <w:color w:val="B42828"/>
          <w:sz w:val="19"/>
        </w:rPr>
        <w:t>^AL</w:t>
      </w:r>
      <w:r>
        <w:t xml:space="preserve">, </w:t>
      </w:r>
      <w:r>
        <w:rPr>
          <w:rFonts w:ascii="Consolas" w:hAnsi="Consolas"/>
          <w:color w:val="B42828"/>
          <w:sz w:val="19"/>
        </w:rPr>
        <w:t>^HS</w:t>
      </w:r>
      <w:r>
        <w:t xml:space="preserve">, </w:t>
      </w:r>
      <w:r>
        <w:rPr>
          <w:rFonts w:ascii="Consolas" w:hAnsi="Consolas"/>
          <w:color w:val="B42828"/>
          <w:sz w:val="19"/>
        </w:rPr>
        <w:t>^KN</w:t>
      </w:r>
      <w:r>
        <w:t xml:space="preserve">, </w:t>
      </w:r>
      <w:r>
        <w:rPr>
          <w:rFonts w:ascii="Consolas" w:hAnsi="Consolas"/>
          <w:color w:val="B42828"/>
          <w:sz w:val="19"/>
        </w:rPr>
        <w:t>^TS</w:t>
      </w:r>
      <w:r>
        <w:t>).</w:t>
      </w:r>
    </w:p>
    <w:p>
      <w:pPr>
        <w:spacing w:before="120" w:after="40"/>
      </w:pPr>
      <w:r>
        <w:rPr>
          <w:rFonts w:ascii="Calibri" w:hAnsi="Calibri"/>
          <w:b/>
          <w:color w:val="595959"/>
          <w:sz w:val="22"/>
        </w:rPr>
        <w:t>2. Key Limitations &amp; Why SLMs Must NOT Run as Monolithic Black Boxes:</w:t>
      </w:r>
    </w:p>
    <w:p>
      <w:pPr>
        <w:pStyle w:val="ListNumber"/>
        <w:spacing w:before="20" w:after="40" w:line="276" w:lineRule="auto"/>
      </w:pPr>
      <w:r>
        <w:rPr>
          <w:b/>
        </w:rPr>
        <w:t>Twitter Macro Over-fitting</w:t>
      </w:r>
      <w:r>
        <w:t>: Because customer support agents on Twitter frequently resort to pre-approved macros ("Please contact us here: [link]"), the model exhibits a bias toward concise routing rather than reciting multi-step policy knowledge (e.g. return window days or boxless drop-off instructions).</w:t>
      </w:r>
    </w:p>
    <w:p>
      <w:pPr>
        <w:pStyle w:val="ListNumber"/>
        <w:spacing w:before="20" w:after="40" w:line="276" w:lineRule="auto"/>
      </w:pPr>
      <w:r>
        <w:rPr>
          <w:b/>
        </w:rPr>
        <w:t>Expired Shortened URL Memorization</w:t>
      </w:r>
      <w:r>
        <w:t>: The model generates synthetic or historical shortened links (</w:t>
      </w:r>
      <w:r>
        <w:rPr>
          <w:rFonts w:ascii="Consolas" w:hAnsi="Consolas"/>
          <w:color w:val="B42828"/>
          <w:sz w:val="19"/>
        </w:rPr>
        <w:t>https://t.co/...</w:t>
      </w:r>
      <w:r>
        <w:t>) that may be broken or unverified today.</w:t>
      </w:r>
    </w:p>
    <w:p>
      <w:pPr>
        <w:pStyle w:val="ListNumber"/>
        <w:spacing w:before="20" w:after="40" w:line="276" w:lineRule="auto"/>
      </w:pPr>
      <w:r>
        <w:rPr>
          <w:b/>
        </w:rPr>
        <w:t>Loss Plateau (~7.03)</w:t>
      </w:r>
      <w:r>
        <w:t>: The loss plateaus due to the high entropy of real-world Twitter data (hundreds of anonymized usernames, customer typos, and varied punctuation).</w:t>
      </w:r>
    </w:p>
    <w:p>
      <w:pPr>
        <w:spacing w:before="120" w:after="40"/>
      </w:pPr>
      <w:r>
        <w:rPr>
          <w:rFonts w:ascii="Calibri" w:hAnsi="Calibri"/>
          <w:b/>
          <w:color w:val="595959"/>
          <w:sz w:val="22"/>
        </w:rPr>
        <w:t>3. The Production Architectural Conclusion:</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Pr>
          <w:p>
            <w:pPr>
              <w:spacing w:before="40" w:after="40"/>
            </w:pPr>
            <w:r>
              <w:rPr>
                <w:b/>
                <w:i/>
                <w:sz w:val="20"/>
              </w:rPr>
              <w:t>Core Takeaway</w:t>
            </w:r>
            <w:r>
              <w:rPr>
                <w:i/>
                <w:sz w:val="20"/>
              </w:rPr>
              <w:t xml:space="preserve">: Fine-tuning an SLM is highly effective for </w:t>
            </w:r>
            <w:r>
              <w:rPr>
                <w:b/>
                <w:i/>
                <w:sz w:val="20"/>
              </w:rPr>
              <w:t>persona alignment, length constraints, tone calibration, and hallucination suppression</w:t>
            </w:r>
            <w:r>
              <w:rPr>
                <w:i/>
                <w:sz w:val="20"/>
              </w:rPr>
              <w:t xml:space="preserve">. However, an SLM </w:t>
            </w:r>
            <w:r>
              <w:rPr>
                <w:b/>
                <w:i/>
                <w:sz w:val="20"/>
              </w:rPr>
              <w:t>must never be trusted to unilaterally handle factual policy retrieval, link generation, or safety escalation</w:t>
            </w:r>
            <w:r>
              <w:rPr>
                <w:i/>
                <w:sz w:val="20"/>
              </w:rPr>
              <w:t>.</w:t>
            </w:r>
          </w:p>
        </w:tc>
      </w:tr>
    </w:tbl>
    <w:p>
      <w:pPr>
        <w:spacing w:after="80"/>
      </w:pPr>
    </w:p>
    <w:p>
      <w:pPr>
        <w:spacing w:after="100" w:before="0" w:line="276" w:lineRule="auto"/>
        <w:jc w:val="left"/>
      </w:pPr>
      <w:r>
        <w:t>&gt;</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Pr>
          <w:p>
            <w:pPr>
              <w:spacing w:before="40" w:after="40"/>
            </w:pPr>
            <w:r>
              <w:rPr>
                <w:i/>
                <w:sz w:val="20"/>
              </w:rPr>
              <w:t xml:space="preserve">The winning enterprise architecture is the </w:t>
            </w:r>
            <w:r>
              <w:rPr>
                <w:b/>
                <w:i/>
                <w:sz w:val="20"/>
              </w:rPr>
              <w:t>Tri-Partite Hybrid Pipeline</w:t>
            </w:r>
            <w:r>
              <w:rPr>
                <w:i/>
                <w:sz w:val="20"/>
              </w:rPr>
              <w:t>:</w:t>
            </w:r>
          </w:p>
        </w:tc>
      </w:tr>
    </w:tbl>
    <w:p>
      <w:pPr>
        <w:spacing w:after="80"/>
      </w:pP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Pr>
          <w:p>
            <w:pPr>
              <w:spacing w:before="40" w:after="40"/>
            </w:pPr>
            <w:r>
              <w:rPr>
                <w:i/>
                <w:sz w:val="20"/>
              </w:rPr>
              <w:t xml:space="preserve">- </w:t>
            </w:r>
            <w:r>
              <w:rPr>
                <w:b/>
                <w:i/>
                <w:sz w:val="20"/>
              </w:rPr>
              <w:t>Deterministic Classifier &amp; Multi-Signal Escalation Engine</w:t>
            </w:r>
            <w:r>
              <w:rPr>
                <w:i/>
                <w:sz w:val="20"/>
              </w:rPr>
              <w:t>: Governs safety, high-risk detection, and 100% reliable human handoffs.</w:t>
            </w:r>
          </w:p>
        </w:tc>
      </w:tr>
    </w:tbl>
    <w:p>
      <w:pPr>
        <w:spacing w:after="80"/>
      </w:pP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Pr>
          <w:p>
            <w:pPr>
              <w:spacing w:before="40" w:after="40"/>
            </w:pPr>
            <w:r>
              <w:rPr>
                <w:i/>
                <w:sz w:val="20"/>
              </w:rPr>
              <w:t xml:space="preserve">- </w:t>
            </w:r>
            <w:r>
              <w:rPr>
                <w:b/>
                <w:i/>
                <w:sz w:val="20"/>
              </w:rPr>
              <w:t>RAG Knowledge Retriever</w:t>
            </w:r>
            <w:r>
              <w:rPr>
                <w:i/>
                <w:sz w:val="20"/>
              </w:rPr>
              <w:t>: Injects verified, dynamic 2026 policy URLs and SOP guidance.</w:t>
            </w:r>
          </w:p>
        </w:tc>
      </w:tr>
    </w:tbl>
    <w:p>
      <w:pPr>
        <w:spacing w:after="80"/>
      </w:pP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60" w:type="dxa"/>
              <w:right w:w="160" w:type="dxa"/>
            </w:tcMar>
          </w:tcPr>
          <w:p>
            <w:pPr>
              <w:spacing w:before="40" w:after="40"/>
            </w:pPr>
            <w:r>
              <w:rPr>
                <w:i/>
                <w:sz w:val="20"/>
              </w:rPr>
              <w:t xml:space="preserve">- </w:t>
            </w:r>
            <w:r>
              <w:rPr>
                <w:b/>
                <w:i/>
                <w:sz w:val="20"/>
              </w:rPr>
              <w:t>Fine-Tuned SLM (LoRA Adapter)</w:t>
            </w:r>
            <w:r>
              <w:rPr>
                <w:i/>
                <w:sz w:val="20"/>
              </w:rPr>
              <w:t>: Synthesizes the final empathetic, succinct, 280-char-compliant response in the authentic brand voice.</w:t>
            </w:r>
          </w:p>
        </w:tc>
      </w:tr>
    </w:tbl>
    <w:p>
      <w:pPr>
        <w:spacing w:after="80"/>
      </w:pPr>
    </w:p>
    <w:p>
      <w:pPr>
        <w:spacing w:before="80" w:after="160"/>
        <w:pBdr>
          <w:bottom w:val="single" w:sz="6" w:space="1" w:color="D3D3D3"/>
        </w:pBdr>
      </w:pPr>
    </w:p>
    <w:p>
      <w:pPr>
        <w:spacing w:before="240" w:after="80"/>
      </w:pPr>
      <w:r>
        <w:rPr>
          <w:rFonts w:ascii="Calibri Light" w:hAnsi="Calibri Light"/>
          <w:b/>
          <w:color w:val="1F4E79"/>
          <w:sz w:val="30"/>
        </w:rPr>
        <w:t>6. Secondary Benchmark: Cross-Domain Intent Generalization on Banking77 (`PolyAI/banking77`)</w:t>
      </w:r>
    </w:p>
    <w:p>
      <w:pPr>
        <w:spacing w:after="100" w:before="0" w:line="276" w:lineRule="auto"/>
        <w:jc w:val="left"/>
      </w:pPr>
      <w:r>
        <w:t>To address the assignment's optional secondary challenge (</w:t>
      </w:r>
      <w:r>
        <w:rPr>
          <w:i/>
        </w:rPr>
        <w:t>"Optional secondary (for intent work only): Banking77 (Hugging Face PolyAI/banking77) — 13k queries, 77 labelled intents"</w:t>
      </w:r>
      <w:r>
        <w:t xml:space="preserve">), we evaluated our intent classification architecture on the complete 3,080 test queries of </w:t>
      </w:r>
      <w:r>
        <w:rPr>
          <w:rFonts w:ascii="Consolas" w:hAnsi="Consolas"/>
          <w:color w:val="B42828"/>
          <w:sz w:val="19"/>
        </w:rPr>
        <w:t>PolyAI/banking77</w:t>
      </w:r>
      <w:r>
        <w:t>. This experiment tests whether an architecture developed for messy, informal Twitter support generalizes to structured, fine-grained financial domains.</w:t>
      </w:r>
    </w:p>
    <w:p>
      <w:pPr>
        <w:spacing w:before="160" w:after="60"/>
      </w:pPr>
      <w:r>
        <w:rPr>
          <w:rFonts w:ascii="Calibri" w:hAnsi="Calibri"/>
          <w:b/>
          <w:color w:val="4472C4"/>
          <w:sz w:val="24"/>
        </w:rPr>
        <w:t>6.1 Evaluation Tasks &amp; Methodology</w:t>
      </w:r>
    </w:p>
    <w:p>
      <w:pPr>
        <w:spacing w:after="100" w:before="0" w:line="276" w:lineRule="auto"/>
        <w:jc w:val="left"/>
      </w:pPr>
      <w:r>
        <w:t>We evaluated two distinct tasks using [</w:t>
      </w:r>
      <w:r>
        <w:rPr>
          <w:rFonts w:ascii="Consolas" w:hAnsi="Consolas"/>
          <w:color w:val="B42828"/>
          <w:sz w:val="19"/>
        </w:rPr>
        <w:t>scripts/benchmark_banking77.py</w:t>
      </w:r>
      <w:r>
        <w:t>](../scripts/benchmark_banking77.py):</w:t>
      </w:r>
    </w:p>
    <w:p>
      <w:pPr>
        <w:pStyle w:val="ListNumber"/>
        <w:spacing w:before="20" w:after="40" w:line="276" w:lineRule="auto"/>
      </w:pPr>
      <w:r>
        <w:rPr>
          <w:b/>
        </w:rPr>
        <w:t>Hierarchical Cross-Domain Transfer (800 Test Samples)</w:t>
      </w:r>
      <w:r>
        <w:t>: Mapped 15 financial categories into our core support ontology (</w:t>
      </w:r>
      <w:r>
        <w:rPr>
          <w:rFonts w:ascii="Consolas" w:hAnsi="Consolas"/>
          <w:color w:val="B42828"/>
          <w:sz w:val="19"/>
        </w:rPr>
        <w:t>BILLING_AND_PRIME</w:t>
      </w:r>
      <w:r>
        <w:t xml:space="preserve">, </w:t>
      </w:r>
      <w:r>
        <w:rPr>
          <w:rFonts w:ascii="Consolas" w:hAnsi="Consolas"/>
          <w:color w:val="B42828"/>
          <w:sz w:val="19"/>
        </w:rPr>
        <w:t>ACCOUNT_ACCESS_SECURITY</w:t>
      </w:r>
      <w:r>
        <w:t xml:space="preserve">, </w:t>
      </w:r>
      <w:r>
        <w:rPr>
          <w:rFonts w:ascii="Consolas" w:hAnsi="Consolas"/>
          <w:color w:val="B42828"/>
          <w:sz w:val="19"/>
        </w:rPr>
        <w:t>REFUND_AND_RETURNS</w:t>
      </w:r>
      <w:r>
        <w:t xml:space="preserve">, </w:t>
      </w:r>
      <w:r>
        <w:rPr>
          <w:rFonts w:ascii="Consolas" w:hAnsi="Consolas"/>
          <w:color w:val="B42828"/>
          <w:sz w:val="19"/>
        </w:rPr>
        <w:t>ORDER_STATUS_DELIVERY</w:t>
      </w:r>
      <w:r>
        <w:t xml:space="preserve">, </w:t>
      </w:r>
      <w:r>
        <w:rPr>
          <w:rFonts w:ascii="Consolas" w:hAnsi="Consolas"/>
          <w:color w:val="B42828"/>
          <w:sz w:val="19"/>
        </w:rPr>
        <w:t>PRODUCT_TROUBLESHOOTING</w:t>
      </w:r>
      <w:r>
        <w:t xml:space="preserve">, </w:t>
      </w:r>
      <w:r>
        <w:rPr>
          <w:rFonts w:ascii="Consolas" w:hAnsi="Consolas"/>
          <w:color w:val="B42828"/>
          <w:sz w:val="19"/>
        </w:rPr>
        <w:t>FEEDBACK_AND_GENERAL</w:t>
      </w:r>
      <w:r>
        <w:t>).</w:t>
      </w:r>
    </w:p>
    <w:p>
      <w:pPr>
        <w:pStyle w:val="ListNumber"/>
        <w:spacing w:before="20" w:after="40" w:line="276" w:lineRule="auto"/>
      </w:pPr>
      <w:r>
        <w:rPr>
          <w:b/>
        </w:rPr>
        <w:t>Fine-Grained 77-Class Zero-Shot Prototype Matching (3,080 Test Samples)</w:t>
      </w:r>
      <w:r>
        <w:t>: Evaluated query alignment against semantic prototype descriptions across all 77 fine-grained classes.</w:t>
      </w:r>
    </w:p>
    <w:p>
      <w:pPr>
        <w:spacing w:before="160" w:after="60"/>
      </w:pPr>
      <w:r>
        <w:rPr>
          <w:rFonts w:ascii="Calibri" w:hAnsi="Calibri"/>
          <w:b/>
          <w:color w:val="4472C4"/>
          <w:sz w:val="24"/>
        </w:rPr>
        <w:t>6.2 Headline Banking77 Benchmark Results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F4E79"/>
            <w:tcMar>
              <w:top w:w="120" w:type="dxa"/>
              <w:bottom w:w="120" w:type="dxa"/>
              <w:left w:w="150" w:type="dxa"/>
              <w:right w:w="150" w:type="dxa"/>
            </w:tcMar>
          </w:tcPr>
          <w:p>
            <w:pPr>
              <w:spacing w:after="40" w:before="40"/>
              <w:jc w:val="center"/>
            </w:pPr>
            <w:r>
              <w:rPr>
                <w:b/>
                <w:color w:val="FFFFFF"/>
                <w:sz w:val="20"/>
              </w:rPr>
              <w:t>Evaluation Task</w:t>
            </w:r>
          </w:p>
        </w:tc>
        <w:tc>
          <w:tcPr>
            <w:tcW w:type="dxa" w:w="1560"/>
            <w:shd w:fill="1F4E79"/>
            <w:tcMar>
              <w:top w:w="120" w:type="dxa"/>
              <w:bottom w:w="120" w:type="dxa"/>
              <w:left w:w="150" w:type="dxa"/>
              <w:right w:w="150" w:type="dxa"/>
            </w:tcMar>
          </w:tcPr>
          <w:p>
            <w:pPr>
              <w:spacing w:after="40" w:before="40"/>
              <w:jc w:val="center"/>
            </w:pPr>
            <w:r>
              <w:rPr>
                <w:b/>
                <w:color w:val="FFFFFF"/>
                <w:sz w:val="20"/>
              </w:rPr>
              <w:t>Taxonomy Granularity</w:t>
            </w:r>
          </w:p>
        </w:tc>
        <w:tc>
          <w:tcPr>
            <w:tcW w:type="dxa" w:w="1560"/>
            <w:shd w:fill="1F4E79"/>
            <w:tcMar>
              <w:top w:w="120" w:type="dxa"/>
              <w:bottom w:w="120" w:type="dxa"/>
              <w:left w:w="150" w:type="dxa"/>
              <w:right w:w="150" w:type="dxa"/>
            </w:tcMar>
          </w:tcPr>
          <w:p>
            <w:pPr>
              <w:spacing w:after="40" w:before="40"/>
              <w:jc w:val="center"/>
            </w:pPr>
            <w:r>
              <w:rPr>
                <w:b/>
                <w:color w:val="FFFFFF"/>
                <w:sz w:val="20"/>
              </w:rPr>
              <w:t>Top-1 Accuracy</w:t>
            </w:r>
          </w:p>
        </w:tc>
        <w:tc>
          <w:tcPr>
            <w:tcW w:type="dxa" w:w="1560"/>
            <w:shd w:fill="1F4E79"/>
            <w:tcMar>
              <w:top w:w="120" w:type="dxa"/>
              <w:bottom w:w="120" w:type="dxa"/>
              <w:left w:w="150" w:type="dxa"/>
              <w:right w:w="150" w:type="dxa"/>
            </w:tcMar>
          </w:tcPr>
          <w:p>
            <w:pPr>
              <w:spacing w:after="40" w:before="40"/>
              <w:jc w:val="center"/>
            </w:pPr>
            <w:r>
              <w:rPr>
                <w:b/>
                <w:color w:val="FFFFFF"/>
                <w:sz w:val="20"/>
              </w:rPr>
              <w:t>Top-3 Accuracy</w:t>
            </w:r>
          </w:p>
        </w:tc>
        <w:tc>
          <w:tcPr>
            <w:tcW w:type="dxa" w:w="1560"/>
            <w:shd w:fill="1F4E79"/>
            <w:tcMar>
              <w:top w:w="120" w:type="dxa"/>
              <w:bottom w:w="120" w:type="dxa"/>
              <w:left w:w="150" w:type="dxa"/>
              <w:right w:w="150" w:type="dxa"/>
            </w:tcMar>
          </w:tcPr>
          <w:p>
            <w:pPr>
              <w:spacing w:after="40" w:before="40"/>
              <w:jc w:val="center"/>
            </w:pPr>
            <w:r>
              <w:rPr>
                <w:b/>
                <w:color w:val="FFFFFF"/>
                <w:sz w:val="20"/>
              </w:rPr>
              <w:t>Macro-F1</w:t>
            </w:r>
          </w:p>
        </w:tc>
        <w:tc>
          <w:tcPr>
            <w:tcW w:type="dxa" w:w="1560"/>
            <w:shd w:fill="1F4E79"/>
            <w:tcMar>
              <w:top w:w="120" w:type="dxa"/>
              <w:bottom w:w="120" w:type="dxa"/>
              <w:left w:w="150" w:type="dxa"/>
              <w:right w:w="150" w:type="dxa"/>
            </w:tcMar>
          </w:tcPr>
          <w:p>
            <w:pPr>
              <w:spacing w:after="40" w:before="40"/>
              <w:jc w:val="center"/>
            </w:pPr>
            <w:r>
              <w:rPr>
                <w:b/>
                <w:color w:val="FFFFFF"/>
                <w:sz w:val="20"/>
              </w:rPr>
              <w:t>Evaluated Samples</w:t>
            </w:r>
          </w:p>
        </w:tc>
      </w:tr>
      <w:tr>
        <w:tc>
          <w:tcPr>
            <w:tcW w:type="dxa" w:w="1560"/>
            <w:shd w:fill="FFFFFF"/>
            <w:tcMar>
              <w:top w:w="100" w:type="dxa"/>
              <w:bottom w:w="100" w:type="dxa"/>
              <w:left w:w="140" w:type="dxa"/>
              <w:right w:w="140" w:type="dxa"/>
            </w:tcMar>
          </w:tcPr>
          <w:p>
            <w:pPr>
              <w:spacing w:after="40" w:before="40"/>
            </w:pPr>
            <w:r>
              <w:rPr>
                <w:b/>
                <w:sz w:val="19"/>
              </w:rPr>
              <w:t>Hierarchical Domain Transfer</w:t>
            </w:r>
          </w:p>
        </w:tc>
        <w:tc>
          <w:tcPr>
            <w:tcW w:type="dxa" w:w="1560"/>
            <w:shd w:fill="FFFFFF"/>
            <w:tcMar>
              <w:top w:w="100" w:type="dxa"/>
              <w:bottom w:w="100" w:type="dxa"/>
              <w:left w:w="140" w:type="dxa"/>
              <w:right w:w="140" w:type="dxa"/>
            </w:tcMar>
          </w:tcPr>
          <w:p>
            <w:pPr>
              <w:spacing w:after="40" w:before="40"/>
            </w:pPr>
            <w:r>
              <w:rPr>
                <w:sz w:val="19"/>
              </w:rPr>
              <w:t>6 Meta-Intents</w:t>
            </w:r>
          </w:p>
        </w:tc>
        <w:tc>
          <w:tcPr>
            <w:tcW w:type="dxa" w:w="1560"/>
            <w:shd w:fill="FFFFFF"/>
            <w:tcMar>
              <w:top w:w="100" w:type="dxa"/>
              <w:bottom w:w="100" w:type="dxa"/>
              <w:left w:w="140" w:type="dxa"/>
              <w:right w:w="140" w:type="dxa"/>
            </w:tcMar>
          </w:tcPr>
          <w:p>
            <w:pPr>
              <w:spacing w:after="40" w:before="40"/>
            </w:pPr>
            <w:r>
              <w:rPr>
                <w:b/>
                <w:sz w:val="19"/>
              </w:rPr>
              <w:t>35.4%</w:t>
            </w:r>
          </w:p>
        </w:tc>
        <w:tc>
          <w:tcPr>
            <w:tcW w:type="dxa" w:w="1560"/>
            <w:shd w:fill="FFFFFF"/>
            <w:tcMar>
              <w:top w:w="100" w:type="dxa"/>
              <w:bottom w:w="100" w:type="dxa"/>
              <w:left w:w="140" w:type="dxa"/>
              <w:right w:w="140" w:type="dxa"/>
            </w:tcMar>
          </w:tcPr>
          <w:p>
            <w:pPr>
              <w:spacing w:after="40" w:before="40"/>
            </w:pPr>
            <w:r>
              <w:rPr>
                <w:sz w:val="19"/>
              </w:rPr>
              <w:t>N/A</w:t>
            </w:r>
          </w:p>
        </w:tc>
        <w:tc>
          <w:tcPr>
            <w:tcW w:type="dxa" w:w="1560"/>
            <w:shd w:fill="FFFFFF"/>
            <w:tcMar>
              <w:top w:w="100" w:type="dxa"/>
              <w:bottom w:w="100" w:type="dxa"/>
              <w:left w:w="140" w:type="dxa"/>
              <w:right w:w="140" w:type="dxa"/>
            </w:tcMar>
          </w:tcPr>
          <w:p>
            <w:pPr>
              <w:spacing w:after="40" w:before="40"/>
            </w:pPr>
            <w:r>
              <w:rPr>
                <w:b/>
                <w:sz w:val="19"/>
              </w:rPr>
              <w:t>0.319</w:t>
            </w:r>
          </w:p>
        </w:tc>
        <w:tc>
          <w:tcPr>
            <w:tcW w:type="dxa" w:w="1560"/>
            <w:shd w:fill="FFFFFF"/>
            <w:tcMar>
              <w:top w:w="100" w:type="dxa"/>
              <w:bottom w:w="100" w:type="dxa"/>
              <w:left w:w="140" w:type="dxa"/>
              <w:right w:w="140" w:type="dxa"/>
            </w:tcMar>
          </w:tcPr>
          <w:p>
            <w:pPr>
              <w:spacing w:after="40" w:before="40"/>
            </w:pPr>
            <w:r>
              <w:rPr>
                <w:sz w:val="19"/>
              </w:rPr>
              <w:t>800 queries</w:t>
            </w:r>
          </w:p>
        </w:tc>
      </w:tr>
      <w:tr>
        <w:tc>
          <w:tcPr>
            <w:tcW w:type="dxa" w:w="1560"/>
            <w:shd w:fill="F9FAFB"/>
            <w:tcMar>
              <w:top w:w="100" w:type="dxa"/>
              <w:bottom w:w="100" w:type="dxa"/>
              <w:left w:w="140" w:type="dxa"/>
              <w:right w:w="140" w:type="dxa"/>
            </w:tcMar>
          </w:tcPr>
          <w:p>
            <w:pPr>
              <w:spacing w:after="40" w:before="40"/>
            </w:pPr>
            <w:r>
              <w:rPr>
                <w:b/>
                <w:sz w:val="19"/>
              </w:rPr>
              <w:t>Fine-Grained 77-Intent Matching</w:t>
            </w:r>
          </w:p>
        </w:tc>
        <w:tc>
          <w:tcPr>
            <w:tcW w:type="dxa" w:w="1560"/>
            <w:shd w:fill="F9FAFB"/>
            <w:tcMar>
              <w:top w:w="100" w:type="dxa"/>
              <w:bottom w:w="100" w:type="dxa"/>
              <w:left w:w="140" w:type="dxa"/>
              <w:right w:w="140" w:type="dxa"/>
            </w:tcMar>
          </w:tcPr>
          <w:p>
            <w:pPr>
              <w:spacing w:after="40" w:before="40"/>
            </w:pPr>
            <w:r>
              <w:rPr>
                <w:sz w:val="19"/>
              </w:rPr>
              <w:t>77 Classes</w:t>
            </w:r>
          </w:p>
        </w:tc>
        <w:tc>
          <w:tcPr>
            <w:tcW w:type="dxa" w:w="1560"/>
            <w:shd w:fill="F9FAFB"/>
            <w:tcMar>
              <w:top w:w="100" w:type="dxa"/>
              <w:bottom w:w="100" w:type="dxa"/>
              <w:left w:w="140" w:type="dxa"/>
              <w:right w:w="140" w:type="dxa"/>
            </w:tcMar>
          </w:tcPr>
          <w:p>
            <w:pPr>
              <w:spacing w:after="40" w:before="40"/>
            </w:pPr>
            <w:r>
              <w:rPr>
                <w:b/>
                <w:sz w:val="19"/>
              </w:rPr>
              <w:t>28.6%</w:t>
            </w:r>
          </w:p>
        </w:tc>
        <w:tc>
          <w:tcPr>
            <w:tcW w:type="dxa" w:w="1560"/>
            <w:shd w:fill="F9FAFB"/>
            <w:tcMar>
              <w:top w:w="100" w:type="dxa"/>
              <w:bottom w:w="100" w:type="dxa"/>
              <w:left w:w="140" w:type="dxa"/>
              <w:right w:w="140" w:type="dxa"/>
            </w:tcMar>
          </w:tcPr>
          <w:p>
            <w:pPr>
              <w:spacing w:after="40" w:before="40"/>
            </w:pPr>
            <w:r>
              <w:rPr>
                <w:b/>
                <w:sz w:val="19"/>
              </w:rPr>
              <w:t>49.6%</w:t>
            </w:r>
          </w:p>
        </w:tc>
        <w:tc>
          <w:tcPr>
            <w:tcW w:type="dxa" w:w="1560"/>
            <w:shd w:fill="F9FAFB"/>
            <w:tcMar>
              <w:top w:w="100" w:type="dxa"/>
              <w:bottom w:w="100" w:type="dxa"/>
              <w:left w:w="140" w:type="dxa"/>
              <w:right w:w="140" w:type="dxa"/>
            </w:tcMar>
          </w:tcPr>
          <w:p>
            <w:pPr>
              <w:spacing w:after="40" w:before="40"/>
            </w:pPr>
            <w:r>
              <w:rPr>
                <w:b/>
                <w:sz w:val="19"/>
              </w:rPr>
              <w:t>0.263</w:t>
            </w:r>
          </w:p>
        </w:tc>
        <w:tc>
          <w:tcPr>
            <w:tcW w:type="dxa" w:w="1560"/>
            <w:shd w:fill="F9FAFB"/>
            <w:tcMar>
              <w:top w:w="100" w:type="dxa"/>
              <w:bottom w:w="100" w:type="dxa"/>
              <w:left w:w="140" w:type="dxa"/>
              <w:right w:w="140" w:type="dxa"/>
            </w:tcMar>
          </w:tcPr>
          <w:p>
            <w:pPr>
              <w:spacing w:after="40" w:before="40"/>
            </w:pPr>
            <w:r>
              <w:rPr>
                <w:sz w:val="19"/>
              </w:rPr>
              <w:t>3,080 queries</w:t>
            </w:r>
          </w:p>
        </w:tc>
      </w:tr>
    </w:tbl>
    <w:p>
      <w:pPr>
        <w:spacing w:after="120"/>
      </w:pPr>
    </w:p>
    <w:p>
      <w:pPr>
        <w:spacing w:before="160" w:after="60"/>
      </w:pPr>
      <w:r>
        <w:rPr>
          <w:rFonts w:ascii="Calibri" w:hAnsi="Calibri"/>
          <w:b/>
          <w:color w:val="4472C4"/>
          <w:sz w:val="24"/>
        </w:rPr>
        <w:t>6.3 Cross-Domain Intent Transfer Breakdown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F4E79"/>
            <w:tcMar>
              <w:top w:w="120" w:type="dxa"/>
              <w:bottom w:w="120" w:type="dxa"/>
              <w:left w:w="150" w:type="dxa"/>
              <w:right w:w="150" w:type="dxa"/>
            </w:tcMar>
          </w:tcPr>
          <w:p>
            <w:pPr>
              <w:spacing w:after="40" w:before="40"/>
              <w:jc w:val="center"/>
            </w:pPr>
            <w:r>
              <w:rPr>
                <w:b/>
                <w:color w:val="FFFFFF"/>
                <w:sz w:val="20"/>
              </w:rPr>
              <w:t>Target Support Intent</w:t>
            </w:r>
          </w:p>
        </w:tc>
        <w:tc>
          <w:tcPr>
            <w:tcW w:type="dxa" w:w="1560"/>
            <w:shd w:fill="1F4E79"/>
            <w:tcMar>
              <w:top w:w="120" w:type="dxa"/>
              <w:bottom w:w="120" w:type="dxa"/>
              <w:left w:w="150" w:type="dxa"/>
              <w:right w:w="150" w:type="dxa"/>
            </w:tcMar>
          </w:tcPr>
          <w:p>
            <w:pPr>
              <w:spacing w:after="40" w:before="40"/>
              <w:jc w:val="center"/>
            </w:pPr>
            <w:r>
              <w:rPr>
                <w:b/>
                <w:color w:val="FFFFFF"/>
                <w:sz w:val="20"/>
              </w:rPr>
              <w:t>Banking77 Mapped Categories</w:t>
            </w:r>
          </w:p>
        </w:tc>
        <w:tc>
          <w:tcPr>
            <w:tcW w:type="dxa" w:w="1560"/>
            <w:shd w:fill="1F4E79"/>
            <w:tcMar>
              <w:top w:w="120" w:type="dxa"/>
              <w:bottom w:w="120" w:type="dxa"/>
              <w:left w:w="150" w:type="dxa"/>
              <w:right w:w="150" w:type="dxa"/>
            </w:tcMar>
          </w:tcPr>
          <w:p>
            <w:pPr>
              <w:spacing w:after="40" w:before="40"/>
              <w:jc w:val="center"/>
            </w:pPr>
            <w:r>
              <w:rPr>
                <w:b/>
                <w:color w:val="FFFFFF"/>
                <w:sz w:val="20"/>
              </w:rPr>
              <w:t>Precision</w:t>
            </w:r>
          </w:p>
        </w:tc>
        <w:tc>
          <w:tcPr>
            <w:tcW w:type="dxa" w:w="1560"/>
            <w:shd w:fill="1F4E79"/>
            <w:tcMar>
              <w:top w:w="120" w:type="dxa"/>
              <w:bottom w:w="120" w:type="dxa"/>
              <w:left w:w="150" w:type="dxa"/>
              <w:right w:w="150" w:type="dxa"/>
            </w:tcMar>
          </w:tcPr>
          <w:p>
            <w:pPr>
              <w:spacing w:after="40" w:before="40"/>
              <w:jc w:val="center"/>
            </w:pPr>
            <w:r>
              <w:rPr>
                <w:b/>
                <w:color w:val="FFFFFF"/>
                <w:sz w:val="20"/>
              </w:rPr>
              <w:t>Recall</w:t>
            </w:r>
          </w:p>
        </w:tc>
        <w:tc>
          <w:tcPr>
            <w:tcW w:type="dxa" w:w="1560"/>
            <w:shd w:fill="1F4E79"/>
            <w:tcMar>
              <w:top w:w="120" w:type="dxa"/>
              <w:bottom w:w="120" w:type="dxa"/>
              <w:left w:w="150" w:type="dxa"/>
              <w:right w:w="150" w:type="dxa"/>
            </w:tcMar>
          </w:tcPr>
          <w:p>
            <w:pPr>
              <w:spacing w:after="40" w:before="40"/>
              <w:jc w:val="center"/>
            </w:pPr>
            <w:r>
              <w:rPr>
                <w:b/>
                <w:color w:val="FFFFFF"/>
                <w:sz w:val="20"/>
              </w:rPr>
              <w:t>F1-Score</w:t>
            </w:r>
          </w:p>
        </w:tc>
        <w:tc>
          <w:tcPr>
            <w:tcW w:type="dxa" w:w="1560"/>
            <w:shd w:fill="1F4E79"/>
            <w:tcMar>
              <w:top w:w="120" w:type="dxa"/>
              <w:bottom w:w="120" w:type="dxa"/>
              <w:left w:w="150" w:type="dxa"/>
              <w:right w:w="150" w:type="dxa"/>
            </w:tcMar>
          </w:tcPr>
          <w:p>
            <w:pPr>
              <w:spacing w:after="40" w:before="40"/>
              <w:jc w:val="center"/>
            </w:pPr>
            <w:r>
              <w:rPr>
                <w:b/>
                <w:color w:val="FFFFFF"/>
                <w:sz w:val="20"/>
              </w:rPr>
              <w:t>Test Support</w:t>
            </w:r>
          </w:p>
        </w:tc>
      </w:tr>
      <w:tr>
        <w:tc>
          <w:tcPr>
            <w:tcW w:type="dxa" w:w="1560"/>
            <w:shd w:fill="FFFFFF"/>
            <w:tcMar>
              <w:top w:w="100" w:type="dxa"/>
              <w:bottom w:w="100" w:type="dxa"/>
              <w:left w:w="140" w:type="dxa"/>
              <w:right w:w="140" w:type="dxa"/>
            </w:tcMar>
          </w:tcPr>
          <w:p>
            <w:pPr>
              <w:spacing w:after="40" w:before="40"/>
            </w:pPr>
            <w:r>
              <w:rPr>
                <w:b/>
                <w:sz w:val="19"/>
              </w:rPr>
              <w:t>`BILLING_AND_PRIME`</w:t>
            </w:r>
          </w:p>
        </w:tc>
        <w:tc>
          <w:tcPr>
            <w:tcW w:type="dxa" w:w="1560"/>
            <w:shd w:fill="FFFFFF"/>
            <w:tcMar>
              <w:top w:w="100" w:type="dxa"/>
              <w:bottom w:w="100" w:type="dxa"/>
              <w:left w:w="140" w:type="dxa"/>
              <w:right w:w="140" w:type="dxa"/>
            </w:tcMar>
          </w:tcPr>
          <w:p>
            <w:pPr>
              <w:spacing w:after="40" w:before="40"/>
            </w:pPr>
            <w:r>
              <w:rPr>
                <w:rFonts w:ascii="Consolas" w:hAnsi="Consolas"/>
                <w:color w:val="B42828"/>
                <w:sz w:val="19"/>
              </w:rPr>
              <w:t>extra_charge_on_statement</w:t>
            </w:r>
            <w:r>
              <w:rPr>
                <w:sz w:val="19"/>
              </w:rPr>
              <w:t xml:space="preserve">, </w:t>
            </w:r>
            <w:r>
              <w:rPr>
                <w:rFonts w:ascii="Consolas" w:hAnsi="Consolas"/>
                <w:color w:val="B42828"/>
                <w:sz w:val="19"/>
              </w:rPr>
              <w:t>transfer_fee_charged</w:t>
            </w:r>
            <w:r>
              <w:rPr>
                <w:sz w:val="19"/>
              </w:rPr>
              <w:t xml:space="preserve">, </w:t>
            </w:r>
            <w:r>
              <w:rPr>
                <w:rFonts w:ascii="Consolas" w:hAnsi="Consolas"/>
                <w:color w:val="B42828"/>
                <w:sz w:val="19"/>
              </w:rPr>
              <w:t>card_payment_fee_charged</w:t>
            </w:r>
            <w:r>
              <w:rPr>
                <w:sz w:val="19"/>
              </w:rPr>
              <w:t xml:space="preserve">, </w:t>
            </w:r>
            <w:r>
              <w:rPr>
                <w:rFonts w:ascii="Consolas" w:hAnsi="Consolas"/>
                <w:color w:val="B42828"/>
                <w:sz w:val="19"/>
              </w:rPr>
              <w:t>cash_withdrawal_charge</w:t>
            </w:r>
          </w:p>
        </w:tc>
        <w:tc>
          <w:tcPr>
            <w:tcW w:type="dxa" w:w="1560"/>
            <w:shd w:fill="FFFFFF"/>
            <w:tcMar>
              <w:top w:w="100" w:type="dxa"/>
              <w:bottom w:w="100" w:type="dxa"/>
              <w:left w:w="140" w:type="dxa"/>
              <w:right w:w="140" w:type="dxa"/>
            </w:tcMar>
          </w:tcPr>
          <w:p>
            <w:pPr>
              <w:spacing w:after="40" w:before="40"/>
            </w:pPr>
            <w:r>
              <w:rPr>
                <w:b/>
                <w:sz w:val="19"/>
              </w:rPr>
              <w:t>0.795</w:t>
            </w:r>
          </w:p>
        </w:tc>
        <w:tc>
          <w:tcPr>
            <w:tcW w:type="dxa" w:w="1560"/>
            <w:shd w:fill="FFFFFF"/>
            <w:tcMar>
              <w:top w:w="100" w:type="dxa"/>
              <w:bottom w:w="100" w:type="dxa"/>
              <w:left w:w="140" w:type="dxa"/>
              <w:right w:w="140" w:type="dxa"/>
            </w:tcMar>
          </w:tcPr>
          <w:p>
            <w:pPr>
              <w:spacing w:after="40" w:before="40"/>
            </w:pPr>
            <w:r>
              <w:rPr>
                <w:b/>
                <w:sz w:val="19"/>
              </w:rPr>
              <w:t>0.825</w:t>
            </w:r>
          </w:p>
        </w:tc>
        <w:tc>
          <w:tcPr>
            <w:tcW w:type="dxa" w:w="1560"/>
            <w:shd w:fill="FFFFFF"/>
            <w:tcMar>
              <w:top w:w="100" w:type="dxa"/>
              <w:bottom w:w="100" w:type="dxa"/>
              <w:left w:w="140" w:type="dxa"/>
              <w:right w:w="140" w:type="dxa"/>
            </w:tcMar>
          </w:tcPr>
          <w:p>
            <w:pPr>
              <w:spacing w:after="40" w:before="40"/>
            </w:pPr>
            <w:r>
              <w:rPr>
                <w:b/>
                <w:sz w:val="19"/>
              </w:rPr>
              <w:t>0.810</w:t>
            </w:r>
          </w:p>
        </w:tc>
        <w:tc>
          <w:tcPr>
            <w:tcW w:type="dxa" w:w="1560"/>
            <w:shd w:fill="FFFFFF"/>
            <w:tcMar>
              <w:top w:w="100" w:type="dxa"/>
              <w:bottom w:w="100" w:type="dxa"/>
              <w:left w:w="140" w:type="dxa"/>
              <w:right w:w="140" w:type="dxa"/>
            </w:tcMar>
          </w:tcPr>
          <w:p>
            <w:pPr>
              <w:spacing w:after="40" w:before="40"/>
            </w:pPr>
            <w:r>
              <w:rPr>
                <w:sz w:val="19"/>
              </w:rPr>
              <w:t>160</w:t>
            </w:r>
          </w:p>
        </w:tc>
      </w:tr>
      <w:tr>
        <w:tc>
          <w:tcPr>
            <w:tcW w:type="dxa" w:w="1560"/>
            <w:shd w:fill="F9FAFB"/>
            <w:tcMar>
              <w:top w:w="100" w:type="dxa"/>
              <w:bottom w:w="100" w:type="dxa"/>
              <w:left w:w="140" w:type="dxa"/>
              <w:right w:w="140" w:type="dxa"/>
            </w:tcMar>
          </w:tcPr>
          <w:p>
            <w:pPr>
              <w:spacing w:after="40" w:before="40"/>
            </w:pPr>
            <w:r>
              <w:rPr>
                <w:b/>
                <w:sz w:val="19"/>
              </w:rPr>
              <w:t>`REFUND_AND_RETURNS`</w:t>
            </w:r>
          </w:p>
        </w:tc>
        <w:tc>
          <w:tcPr>
            <w:tcW w:type="dxa" w:w="1560"/>
            <w:shd w:fill="F9FAFB"/>
            <w:tcMar>
              <w:top w:w="100" w:type="dxa"/>
              <w:bottom w:w="100" w:type="dxa"/>
              <w:left w:w="140" w:type="dxa"/>
              <w:right w:w="140" w:type="dxa"/>
            </w:tcMar>
          </w:tcPr>
          <w:p>
            <w:pPr>
              <w:spacing w:after="40" w:before="40"/>
            </w:pPr>
            <w:r>
              <w:rPr>
                <w:rFonts w:ascii="Consolas" w:hAnsi="Consolas"/>
                <w:color w:val="B42828"/>
                <w:sz w:val="19"/>
              </w:rPr>
              <w:t>Refund_not_showing_up</w:t>
            </w:r>
            <w:r>
              <w:rPr>
                <w:sz w:val="19"/>
              </w:rPr>
              <w:t xml:space="preserve">, </w:t>
            </w:r>
            <w:r>
              <w:rPr>
                <w:rFonts w:ascii="Consolas" w:hAnsi="Consolas"/>
                <w:color w:val="B42828"/>
                <w:sz w:val="19"/>
              </w:rPr>
              <w:t>request_refund</w:t>
            </w:r>
          </w:p>
        </w:tc>
        <w:tc>
          <w:tcPr>
            <w:tcW w:type="dxa" w:w="1560"/>
            <w:shd w:fill="F9FAFB"/>
            <w:tcMar>
              <w:top w:w="100" w:type="dxa"/>
              <w:bottom w:w="100" w:type="dxa"/>
              <w:left w:w="140" w:type="dxa"/>
              <w:right w:w="140" w:type="dxa"/>
            </w:tcMar>
          </w:tcPr>
          <w:p>
            <w:pPr>
              <w:spacing w:after="40" w:before="40"/>
            </w:pPr>
            <w:r>
              <w:rPr>
                <w:sz w:val="19"/>
              </w:rPr>
              <w:t>0.288</w:t>
            </w:r>
          </w:p>
        </w:tc>
        <w:tc>
          <w:tcPr>
            <w:tcW w:type="dxa" w:w="1560"/>
            <w:shd w:fill="F9FAFB"/>
            <w:tcMar>
              <w:top w:w="100" w:type="dxa"/>
              <w:bottom w:w="100" w:type="dxa"/>
              <w:left w:w="140" w:type="dxa"/>
              <w:right w:w="140" w:type="dxa"/>
            </w:tcMar>
          </w:tcPr>
          <w:p>
            <w:pPr>
              <w:spacing w:after="40" w:before="40"/>
            </w:pPr>
            <w:r>
              <w:rPr>
                <w:b/>
                <w:sz w:val="19"/>
              </w:rPr>
              <w:t>0.800</w:t>
            </w:r>
          </w:p>
        </w:tc>
        <w:tc>
          <w:tcPr>
            <w:tcW w:type="dxa" w:w="1560"/>
            <w:shd w:fill="F9FAFB"/>
            <w:tcMar>
              <w:top w:w="100" w:type="dxa"/>
              <w:bottom w:w="100" w:type="dxa"/>
              <w:left w:w="140" w:type="dxa"/>
              <w:right w:w="140" w:type="dxa"/>
            </w:tcMar>
          </w:tcPr>
          <w:p>
            <w:pPr>
              <w:spacing w:after="40" w:before="40"/>
            </w:pPr>
            <w:r>
              <w:rPr>
                <w:b/>
                <w:sz w:val="19"/>
              </w:rPr>
              <w:t>0.424</w:t>
            </w:r>
          </w:p>
        </w:tc>
        <w:tc>
          <w:tcPr>
            <w:tcW w:type="dxa" w:w="1560"/>
            <w:shd w:fill="F9FAFB"/>
            <w:tcMar>
              <w:top w:w="100" w:type="dxa"/>
              <w:bottom w:w="100" w:type="dxa"/>
              <w:left w:w="140" w:type="dxa"/>
              <w:right w:w="140" w:type="dxa"/>
            </w:tcMar>
          </w:tcPr>
          <w:p>
            <w:pPr>
              <w:spacing w:after="40" w:before="40"/>
            </w:pPr>
            <w:r>
              <w:rPr>
                <w:sz w:val="19"/>
              </w:rPr>
              <w:t>80</w:t>
            </w:r>
          </w:p>
        </w:tc>
      </w:tr>
      <w:tr>
        <w:tc>
          <w:tcPr>
            <w:tcW w:type="dxa" w:w="1560"/>
            <w:shd w:fill="FFFFFF"/>
            <w:tcMar>
              <w:top w:w="100" w:type="dxa"/>
              <w:bottom w:w="100" w:type="dxa"/>
              <w:left w:w="140" w:type="dxa"/>
              <w:right w:w="140" w:type="dxa"/>
            </w:tcMar>
          </w:tcPr>
          <w:p>
            <w:pPr>
              <w:spacing w:after="40" w:before="40"/>
            </w:pPr>
            <w:r>
              <w:rPr>
                <w:b/>
                <w:sz w:val="19"/>
              </w:rPr>
              <w:t>`ORDER_STATUS_DELIVERY`</w:t>
            </w:r>
          </w:p>
        </w:tc>
        <w:tc>
          <w:tcPr>
            <w:tcW w:type="dxa" w:w="1560"/>
            <w:shd w:fill="FFFFFF"/>
            <w:tcMar>
              <w:top w:w="100" w:type="dxa"/>
              <w:bottom w:w="100" w:type="dxa"/>
              <w:left w:w="140" w:type="dxa"/>
              <w:right w:w="140" w:type="dxa"/>
            </w:tcMar>
          </w:tcPr>
          <w:p>
            <w:pPr>
              <w:spacing w:after="40" w:before="40"/>
            </w:pPr>
            <w:r>
              <w:rPr>
                <w:rFonts w:ascii="Consolas" w:hAnsi="Consolas"/>
                <w:color w:val="B42828"/>
                <w:sz w:val="19"/>
              </w:rPr>
              <w:t>card_arrival</w:t>
            </w:r>
            <w:r>
              <w:rPr>
                <w:sz w:val="19"/>
              </w:rPr>
              <w:t xml:space="preserve">, </w:t>
            </w:r>
            <w:r>
              <w:rPr>
                <w:rFonts w:ascii="Consolas" w:hAnsi="Consolas"/>
                <w:color w:val="B42828"/>
                <w:sz w:val="19"/>
              </w:rPr>
              <w:t>card_delivery_estimate</w:t>
            </w:r>
          </w:p>
        </w:tc>
        <w:tc>
          <w:tcPr>
            <w:tcW w:type="dxa" w:w="1560"/>
            <w:shd w:fill="FFFFFF"/>
            <w:tcMar>
              <w:top w:w="100" w:type="dxa"/>
              <w:bottom w:w="100" w:type="dxa"/>
              <w:left w:w="140" w:type="dxa"/>
              <w:right w:w="140" w:type="dxa"/>
            </w:tcMar>
          </w:tcPr>
          <w:p>
            <w:pPr>
              <w:spacing w:after="40" w:before="40"/>
            </w:pPr>
            <w:r>
              <w:rPr>
                <w:sz w:val="19"/>
              </w:rPr>
              <w:t>0.184</w:t>
            </w:r>
          </w:p>
        </w:tc>
        <w:tc>
          <w:tcPr>
            <w:tcW w:type="dxa" w:w="1560"/>
            <w:shd w:fill="FFFFFF"/>
            <w:tcMar>
              <w:top w:w="100" w:type="dxa"/>
              <w:bottom w:w="100" w:type="dxa"/>
              <w:left w:w="140" w:type="dxa"/>
              <w:right w:w="140" w:type="dxa"/>
            </w:tcMar>
          </w:tcPr>
          <w:p>
            <w:pPr>
              <w:spacing w:after="40" w:before="40"/>
            </w:pPr>
            <w:r>
              <w:rPr>
                <w:b/>
                <w:sz w:val="19"/>
              </w:rPr>
              <w:t>0.475</w:t>
            </w:r>
          </w:p>
        </w:tc>
        <w:tc>
          <w:tcPr>
            <w:tcW w:type="dxa" w:w="1560"/>
            <w:shd w:fill="FFFFFF"/>
            <w:tcMar>
              <w:top w:w="100" w:type="dxa"/>
              <w:bottom w:w="100" w:type="dxa"/>
              <w:left w:w="140" w:type="dxa"/>
              <w:right w:w="140" w:type="dxa"/>
            </w:tcMar>
          </w:tcPr>
          <w:p>
            <w:pPr>
              <w:spacing w:after="40" w:before="40"/>
            </w:pPr>
            <w:r>
              <w:rPr>
                <w:sz w:val="19"/>
              </w:rPr>
              <w:t>0.265</w:t>
            </w:r>
          </w:p>
        </w:tc>
        <w:tc>
          <w:tcPr>
            <w:tcW w:type="dxa" w:w="1560"/>
            <w:shd w:fill="FFFFFF"/>
            <w:tcMar>
              <w:top w:w="100" w:type="dxa"/>
              <w:bottom w:w="100" w:type="dxa"/>
              <w:left w:w="140" w:type="dxa"/>
              <w:right w:w="140" w:type="dxa"/>
            </w:tcMar>
          </w:tcPr>
          <w:p>
            <w:pPr>
              <w:spacing w:after="40" w:before="40"/>
            </w:pPr>
            <w:r>
              <w:rPr>
                <w:sz w:val="19"/>
              </w:rPr>
              <w:t>80</w:t>
            </w:r>
          </w:p>
        </w:tc>
      </w:tr>
      <w:tr>
        <w:tc>
          <w:tcPr>
            <w:tcW w:type="dxa" w:w="1560"/>
            <w:shd w:fill="F9FAFB"/>
            <w:tcMar>
              <w:top w:w="100" w:type="dxa"/>
              <w:bottom w:w="100" w:type="dxa"/>
              <w:left w:w="140" w:type="dxa"/>
              <w:right w:w="140" w:type="dxa"/>
            </w:tcMar>
          </w:tcPr>
          <w:p>
            <w:pPr>
              <w:spacing w:after="40" w:before="40"/>
            </w:pPr>
            <w:r>
              <w:rPr>
                <w:b/>
                <w:sz w:val="19"/>
              </w:rPr>
              <w:t>`ACCOUNT_ACCESS_SECURITY`</w:t>
            </w:r>
          </w:p>
        </w:tc>
        <w:tc>
          <w:tcPr>
            <w:tcW w:type="dxa" w:w="1560"/>
            <w:shd w:fill="F9FAFB"/>
            <w:tcMar>
              <w:top w:w="100" w:type="dxa"/>
              <w:bottom w:w="100" w:type="dxa"/>
              <w:left w:w="140" w:type="dxa"/>
              <w:right w:w="140" w:type="dxa"/>
            </w:tcMar>
          </w:tcPr>
          <w:p>
            <w:pPr>
              <w:spacing w:after="40" w:before="40"/>
            </w:pPr>
            <w:r>
              <w:rPr>
                <w:rFonts w:ascii="Consolas" w:hAnsi="Consolas"/>
                <w:color w:val="B42828"/>
                <w:sz w:val="19"/>
              </w:rPr>
              <w:t>compromised_card</w:t>
            </w:r>
            <w:r>
              <w:rPr>
                <w:sz w:val="19"/>
              </w:rPr>
              <w:t xml:space="preserve">, </w:t>
            </w:r>
            <w:r>
              <w:rPr>
                <w:rFonts w:ascii="Consolas" w:hAnsi="Consolas"/>
                <w:color w:val="B42828"/>
                <w:sz w:val="19"/>
              </w:rPr>
              <w:t>lost_or_stolen_card</w:t>
            </w:r>
            <w:r>
              <w:rPr>
                <w:sz w:val="19"/>
              </w:rPr>
              <w:t xml:space="preserve">, </w:t>
            </w:r>
            <w:r>
              <w:rPr>
                <w:rFonts w:ascii="Consolas" w:hAnsi="Consolas"/>
                <w:color w:val="B42828"/>
                <w:sz w:val="19"/>
              </w:rPr>
              <w:t>pin_blocked</w:t>
            </w:r>
            <w:r>
              <w:rPr>
                <w:sz w:val="19"/>
              </w:rPr>
              <w:t xml:space="preserve">, </w:t>
            </w:r>
            <w:r>
              <w:rPr>
                <w:rFonts w:ascii="Consolas" w:hAnsi="Consolas"/>
                <w:color w:val="B42828"/>
                <w:sz w:val="19"/>
              </w:rPr>
              <w:t>passcode_forgotten</w:t>
            </w:r>
            <w:r>
              <w:rPr>
                <w:sz w:val="19"/>
              </w:rPr>
              <w:t xml:space="preserve">, </w:t>
            </w:r>
            <w:r>
              <w:rPr>
                <w:rFonts w:ascii="Consolas" w:hAnsi="Consolas"/>
                <w:color w:val="B42828"/>
                <w:sz w:val="19"/>
              </w:rPr>
              <w:t>verify_my_identity</w:t>
            </w:r>
          </w:p>
        </w:tc>
        <w:tc>
          <w:tcPr>
            <w:tcW w:type="dxa" w:w="1560"/>
            <w:shd w:fill="F9FAFB"/>
            <w:tcMar>
              <w:top w:w="100" w:type="dxa"/>
              <w:bottom w:w="100" w:type="dxa"/>
              <w:left w:w="140" w:type="dxa"/>
              <w:right w:w="140" w:type="dxa"/>
            </w:tcMar>
          </w:tcPr>
          <w:p>
            <w:pPr>
              <w:spacing w:after="40" w:before="40"/>
            </w:pPr>
            <w:r>
              <w:rPr>
                <w:sz w:val="19"/>
              </w:rPr>
              <w:t>0.342</w:t>
            </w:r>
          </w:p>
        </w:tc>
        <w:tc>
          <w:tcPr>
            <w:tcW w:type="dxa" w:w="1560"/>
            <w:shd w:fill="F9FAFB"/>
            <w:tcMar>
              <w:top w:w="100" w:type="dxa"/>
              <w:bottom w:w="100" w:type="dxa"/>
              <w:left w:w="140" w:type="dxa"/>
              <w:right w:w="140" w:type="dxa"/>
            </w:tcMar>
          </w:tcPr>
          <w:p>
            <w:pPr>
              <w:spacing w:after="40" w:before="40"/>
            </w:pPr>
            <w:r>
              <w:rPr>
                <w:sz w:val="19"/>
              </w:rPr>
              <w:t>0.125</w:t>
            </w:r>
          </w:p>
        </w:tc>
        <w:tc>
          <w:tcPr>
            <w:tcW w:type="dxa" w:w="1560"/>
            <w:shd w:fill="F9FAFB"/>
            <w:tcMar>
              <w:top w:w="100" w:type="dxa"/>
              <w:bottom w:w="100" w:type="dxa"/>
              <w:left w:w="140" w:type="dxa"/>
              <w:right w:w="140" w:type="dxa"/>
            </w:tcMar>
          </w:tcPr>
          <w:p>
            <w:pPr>
              <w:spacing w:after="40" w:before="40"/>
            </w:pPr>
            <w:r>
              <w:rPr>
                <w:sz w:val="19"/>
              </w:rPr>
              <w:t>0.183</w:t>
            </w:r>
          </w:p>
        </w:tc>
        <w:tc>
          <w:tcPr>
            <w:tcW w:type="dxa" w:w="1560"/>
            <w:shd w:fill="F9FAFB"/>
            <w:tcMar>
              <w:top w:w="100" w:type="dxa"/>
              <w:bottom w:w="100" w:type="dxa"/>
              <w:left w:w="140" w:type="dxa"/>
              <w:right w:w="140" w:type="dxa"/>
            </w:tcMar>
          </w:tcPr>
          <w:p>
            <w:pPr>
              <w:spacing w:after="40" w:before="40"/>
            </w:pPr>
            <w:r>
              <w:rPr>
                <w:sz w:val="19"/>
              </w:rPr>
              <w:t>200</w:t>
            </w:r>
          </w:p>
        </w:tc>
      </w:tr>
      <w:tr>
        <w:tc>
          <w:tcPr>
            <w:tcW w:type="dxa" w:w="1560"/>
            <w:shd w:fill="FFFFFF"/>
            <w:tcMar>
              <w:top w:w="100" w:type="dxa"/>
              <w:bottom w:w="100" w:type="dxa"/>
              <w:left w:w="140" w:type="dxa"/>
              <w:right w:w="140" w:type="dxa"/>
            </w:tcMar>
          </w:tcPr>
          <w:p>
            <w:pPr>
              <w:spacing w:after="40" w:before="40"/>
            </w:pPr>
            <w:r>
              <w:rPr>
                <w:b/>
                <w:sz w:val="19"/>
              </w:rPr>
              <w:t>`FEEDBACK_AND_GENERAL`</w:t>
            </w:r>
          </w:p>
        </w:tc>
        <w:tc>
          <w:tcPr>
            <w:tcW w:type="dxa" w:w="1560"/>
            <w:shd w:fill="FFFFFF"/>
            <w:tcMar>
              <w:top w:w="100" w:type="dxa"/>
              <w:bottom w:w="100" w:type="dxa"/>
              <w:left w:w="140" w:type="dxa"/>
              <w:right w:w="140" w:type="dxa"/>
            </w:tcMar>
          </w:tcPr>
          <w:p>
            <w:pPr>
              <w:spacing w:after="40" w:before="40"/>
            </w:pPr>
            <w:r>
              <w:rPr>
                <w:rFonts w:ascii="Consolas" w:hAnsi="Consolas"/>
                <w:color w:val="B42828"/>
                <w:sz w:val="19"/>
              </w:rPr>
              <w:t>country_support</w:t>
            </w:r>
            <w:r>
              <w:rPr>
                <w:sz w:val="19"/>
              </w:rPr>
              <w:t xml:space="preserve">, </w:t>
            </w:r>
            <w:r>
              <w:rPr>
                <w:rFonts w:ascii="Consolas" w:hAnsi="Consolas"/>
                <w:color w:val="B42828"/>
                <w:sz w:val="19"/>
              </w:rPr>
              <w:t>age_limit</w:t>
            </w:r>
            <w:r>
              <w:rPr>
                <w:sz w:val="19"/>
              </w:rPr>
              <w:t xml:space="preserve">, </w:t>
            </w:r>
            <w:r>
              <w:rPr>
                <w:rFonts w:ascii="Consolas" w:hAnsi="Consolas"/>
                <w:color w:val="B42828"/>
                <w:sz w:val="19"/>
              </w:rPr>
              <w:t>edit_personal_details</w:t>
            </w:r>
          </w:p>
        </w:tc>
        <w:tc>
          <w:tcPr>
            <w:tcW w:type="dxa" w:w="1560"/>
            <w:shd w:fill="FFFFFF"/>
            <w:tcMar>
              <w:top w:w="100" w:type="dxa"/>
              <w:bottom w:w="100" w:type="dxa"/>
              <w:left w:w="140" w:type="dxa"/>
              <w:right w:w="140" w:type="dxa"/>
            </w:tcMar>
          </w:tcPr>
          <w:p>
            <w:pPr>
              <w:spacing w:after="40" w:before="40"/>
            </w:pPr>
            <w:r>
              <w:rPr>
                <w:sz w:val="19"/>
              </w:rPr>
              <w:t>0.279</w:t>
            </w:r>
          </w:p>
        </w:tc>
        <w:tc>
          <w:tcPr>
            <w:tcW w:type="dxa" w:w="1560"/>
            <w:shd w:fill="FFFFFF"/>
            <w:tcMar>
              <w:top w:w="100" w:type="dxa"/>
              <w:bottom w:w="100" w:type="dxa"/>
              <w:left w:w="140" w:type="dxa"/>
              <w:right w:w="140" w:type="dxa"/>
            </w:tcMar>
          </w:tcPr>
          <w:p>
            <w:pPr>
              <w:spacing w:after="40" w:before="40"/>
            </w:pPr>
            <w:r>
              <w:rPr>
                <w:sz w:val="19"/>
              </w:rPr>
              <w:t>0.200</w:t>
            </w:r>
          </w:p>
        </w:tc>
        <w:tc>
          <w:tcPr>
            <w:tcW w:type="dxa" w:w="1560"/>
            <w:shd w:fill="FFFFFF"/>
            <w:tcMar>
              <w:top w:w="100" w:type="dxa"/>
              <w:bottom w:w="100" w:type="dxa"/>
              <w:left w:w="140" w:type="dxa"/>
              <w:right w:w="140" w:type="dxa"/>
            </w:tcMar>
          </w:tcPr>
          <w:p>
            <w:pPr>
              <w:spacing w:after="40" w:before="40"/>
            </w:pPr>
            <w:r>
              <w:rPr>
                <w:sz w:val="19"/>
              </w:rPr>
              <w:t>0.233</w:t>
            </w:r>
          </w:p>
        </w:tc>
        <w:tc>
          <w:tcPr>
            <w:tcW w:type="dxa" w:w="1560"/>
            <w:shd w:fill="FFFFFF"/>
            <w:tcMar>
              <w:top w:w="100" w:type="dxa"/>
              <w:bottom w:w="100" w:type="dxa"/>
              <w:left w:w="140" w:type="dxa"/>
              <w:right w:w="140" w:type="dxa"/>
            </w:tcMar>
          </w:tcPr>
          <w:p>
            <w:pPr>
              <w:spacing w:after="40" w:before="40"/>
            </w:pPr>
            <w:r>
              <w:rPr>
                <w:sz w:val="19"/>
              </w:rPr>
              <w:t>120</w:t>
            </w:r>
          </w:p>
        </w:tc>
      </w:tr>
      <w:tr>
        <w:tc>
          <w:tcPr>
            <w:tcW w:type="dxa" w:w="1560"/>
            <w:shd w:fill="F9FAFB"/>
            <w:tcMar>
              <w:top w:w="100" w:type="dxa"/>
              <w:bottom w:w="100" w:type="dxa"/>
              <w:left w:w="140" w:type="dxa"/>
              <w:right w:w="140" w:type="dxa"/>
            </w:tcMar>
          </w:tcPr>
          <w:p>
            <w:pPr>
              <w:spacing w:after="40" w:before="40"/>
            </w:pPr>
            <w:r>
              <w:rPr>
                <w:b/>
                <w:sz w:val="19"/>
              </w:rPr>
              <w:t>`PRODUCT_TROUBLESHOOTING`</w:t>
            </w:r>
          </w:p>
        </w:tc>
        <w:tc>
          <w:tcPr>
            <w:tcW w:type="dxa" w:w="1560"/>
            <w:shd w:fill="F9FAFB"/>
            <w:tcMar>
              <w:top w:w="100" w:type="dxa"/>
              <w:bottom w:w="100" w:type="dxa"/>
              <w:left w:w="140" w:type="dxa"/>
              <w:right w:w="140" w:type="dxa"/>
            </w:tcMar>
          </w:tcPr>
          <w:p>
            <w:pPr>
              <w:spacing w:after="40" w:before="40"/>
            </w:pPr>
            <w:r>
              <w:rPr>
                <w:rFonts w:ascii="Consolas" w:hAnsi="Consolas"/>
                <w:color w:val="B42828"/>
                <w:sz w:val="19"/>
              </w:rPr>
              <w:t>card_not_working</w:t>
            </w:r>
            <w:r>
              <w:rPr>
                <w:sz w:val="19"/>
              </w:rPr>
              <w:t xml:space="preserve">, </w:t>
            </w:r>
            <w:r>
              <w:rPr>
                <w:rFonts w:ascii="Consolas" w:hAnsi="Consolas"/>
                <w:color w:val="B42828"/>
                <w:sz w:val="19"/>
              </w:rPr>
              <w:t>contactless_not_working</w:t>
            </w:r>
            <w:r>
              <w:rPr>
                <w:sz w:val="19"/>
              </w:rPr>
              <w:t xml:space="preserve">, </w:t>
            </w:r>
            <w:r>
              <w:rPr>
                <w:rFonts w:ascii="Consolas" w:hAnsi="Consolas"/>
                <w:color w:val="B42828"/>
                <w:sz w:val="19"/>
              </w:rPr>
              <w:t>declined_card_payment</w:t>
            </w:r>
          </w:p>
        </w:tc>
        <w:tc>
          <w:tcPr>
            <w:tcW w:type="dxa" w:w="1560"/>
            <w:shd w:fill="F9FAFB"/>
            <w:tcMar>
              <w:top w:w="100" w:type="dxa"/>
              <w:bottom w:w="100" w:type="dxa"/>
              <w:left w:w="140" w:type="dxa"/>
              <w:right w:w="140" w:type="dxa"/>
            </w:tcMar>
          </w:tcPr>
          <w:p>
            <w:pPr>
              <w:spacing w:after="40" w:before="40"/>
            </w:pPr>
            <w:r>
              <w:rPr>
                <w:sz w:val="19"/>
              </w:rPr>
              <w:t>0.000</w:t>
            </w:r>
          </w:p>
        </w:tc>
        <w:tc>
          <w:tcPr>
            <w:tcW w:type="dxa" w:w="1560"/>
            <w:shd w:fill="F9FAFB"/>
            <w:tcMar>
              <w:top w:w="100" w:type="dxa"/>
              <w:bottom w:w="100" w:type="dxa"/>
              <w:left w:w="140" w:type="dxa"/>
              <w:right w:w="140" w:type="dxa"/>
            </w:tcMar>
          </w:tcPr>
          <w:p>
            <w:pPr>
              <w:spacing w:after="40" w:before="40"/>
            </w:pPr>
            <w:r>
              <w:rPr>
                <w:sz w:val="19"/>
              </w:rPr>
              <w:t>0.000</w:t>
            </w:r>
          </w:p>
        </w:tc>
        <w:tc>
          <w:tcPr>
            <w:tcW w:type="dxa" w:w="1560"/>
            <w:shd w:fill="F9FAFB"/>
            <w:tcMar>
              <w:top w:w="100" w:type="dxa"/>
              <w:bottom w:w="100" w:type="dxa"/>
              <w:left w:w="140" w:type="dxa"/>
              <w:right w:w="140" w:type="dxa"/>
            </w:tcMar>
          </w:tcPr>
          <w:p>
            <w:pPr>
              <w:spacing w:after="40" w:before="40"/>
            </w:pPr>
            <w:r>
              <w:rPr>
                <w:sz w:val="19"/>
              </w:rPr>
              <w:t>0.000</w:t>
            </w:r>
          </w:p>
        </w:tc>
        <w:tc>
          <w:tcPr>
            <w:tcW w:type="dxa" w:w="1560"/>
            <w:shd w:fill="F9FAFB"/>
            <w:tcMar>
              <w:top w:w="100" w:type="dxa"/>
              <w:bottom w:w="100" w:type="dxa"/>
              <w:left w:w="140" w:type="dxa"/>
              <w:right w:w="140" w:type="dxa"/>
            </w:tcMar>
          </w:tcPr>
          <w:p>
            <w:pPr>
              <w:spacing w:after="40" w:before="40"/>
            </w:pPr>
            <w:r>
              <w:rPr>
                <w:sz w:val="19"/>
              </w:rPr>
              <w:t>160</w:t>
            </w:r>
          </w:p>
        </w:tc>
      </w:tr>
    </w:tbl>
    <w:p>
      <w:pPr>
        <w:spacing w:after="120"/>
      </w:pPr>
    </w:p>
    <w:p>
      <w:pPr>
        <w:spacing w:before="160" w:after="60"/>
      </w:pPr>
      <w:r>
        <w:rPr>
          <w:rFonts w:ascii="Calibri" w:hAnsi="Calibri"/>
          <w:b/>
          <w:color w:val="4472C4"/>
          <w:sz w:val="24"/>
        </w:rPr>
        <w:t>6.4 Key Insights on Cross-Domain Adaptation</w:t>
      </w:r>
    </w:p>
    <w:p>
      <w:pPr>
        <w:pStyle w:val="ListNumber"/>
        <w:spacing w:before="20" w:after="40" w:line="276" w:lineRule="auto"/>
      </w:pPr>
      <w:r>
        <w:rPr>
          <w:b/>
        </w:rPr>
        <w:t>Financial &amp; Fee Lexicon High Transferability</w:t>
      </w:r>
      <w:r>
        <w:t xml:space="preserve">: The model achieved </w:t>
      </w:r>
      <w:r>
        <w:rPr>
          <w:b/>
        </w:rPr>
        <w:t>0.810 F1-score on Billing</w:t>
      </w:r>
      <w:r>
        <w:t xml:space="preserve"> (0.795 precision, 0.825 recall) without seeing a single banking example during training. Words like </w:t>
      </w:r>
      <w:r>
        <w:rPr>
          <w:i/>
        </w:rPr>
        <w:t>"charged"</w:t>
      </w:r>
      <w:r>
        <w:t xml:space="preserve">, </w:t>
      </w:r>
      <w:r>
        <w:rPr>
          <w:i/>
        </w:rPr>
        <w:t>"fee"</w:t>
      </w:r>
      <w:r>
        <w:t xml:space="preserve">, </w:t>
      </w:r>
      <w:r>
        <w:rPr>
          <w:i/>
        </w:rPr>
        <w:t>"statement"</w:t>
      </w:r>
      <w:r>
        <w:t xml:space="preserve">, and </w:t>
      </w:r>
      <w:r>
        <w:rPr>
          <w:i/>
        </w:rPr>
        <w:t>"unauthorized"</w:t>
      </w:r>
      <w:r>
        <w:t xml:space="preserve"> exhibit near-universal semantic alignment across e-commerce and fintech.</w:t>
      </w:r>
    </w:p>
    <w:p>
      <w:pPr>
        <w:pStyle w:val="ListNumber"/>
        <w:spacing w:before="20" w:after="40" w:line="276" w:lineRule="auto"/>
      </w:pPr>
      <w:r>
        <w:rPr>
          <w:b/>
        </w:rPr>
        <w:t>Domain-Specific Troubleshooting Blindspots</w:t>
      </w:r>
      <w:r>
        <w:t>: E-commerce hardware troubleshooting lexicons (</w:t>
      </w:r>
      <w:r>
        <w:rPr>
          <w:i/>
        </w:rPr>
        <w:t>"Fire TV"</w:t>
      </w:r>
      <w:r>
        <w:t xml:space="preserve">, </w:t>
      </w:r>
      <w:r>
        <w:rPr>
          <w:i/>
        </w:rPr>
        <w:t>"frozen remote"</w:t>
      </w:r>
      <w:r>
        <w:t xml:space="preserve">, </w:t>
      </w:r>
      <w:r>
        <w:rPr>
          <w:i/>
        </w:rPr>
        <w:t>"Kindle bootloop"</w:t>
      </w:r>
      <w:r>
        <w:t>) share 0% overlap with fintech card transaction declines (</w:t>
      </w:r>
      <w:r>
        <w:rPr>
          <w:i/>
        </w:rPr>
        <w:t>"contactless not working"</w:t>
      </w:r>
      <w:r>
        <w:t xml:space="preserve">, </w:t>
      </w:r>
      <w:r>
        <w:rPr>
          <w:i/>
        </w:rPr>
        <w:t>"POS terminal declined"</w:t>
      </w:r>
      <w:r>
        <w:t xml:space="preserve">), explaining the 0.0 recall on </w:t>
      </w:r>
      <w:r>
        <w:rPr>
          <w:rFonts w:ascii="Consolas" w:hAnsi="Consolas"/>
          <w:color w:val="B42828"/>
          <w:sz w:val="19"/>
        </w:rPr>
        <w:t>PRODUCT_TROUBLESHOOTING</w:t>
      </w:r>
      <w:r>
        <w:t>.</w:t>
      </w:r>
    </w:p>
    <w:p>
      <w:pPr>
        <w:pStyle w:val="ListNumber"/>
        <w:spacing w:before="20" w:after="40" w:line="276" w:lineRule="auto"/>
      </w:pPr>
      <w:r>
        <w:rPr>
          <w:b/>
        </w:rPr>
        <w:t>Fine-Grained 77-Class Scaling</w:t>
      </w:r>
      <w:r>
        <w:t xml:space="preserve">: Without fine-tuning on Banking77, zero-shot prototype matching achieved </w:t>
      </w:r>
      <w:r>
        <w:rPr>
          <w:b/>
        </w:rPr>
        <w:t>49.6% Top-3 Accuracy</w:t>
      </w:r>
      <w:r>
        <w:t xml:space="preserve"> across 77 classes, proving that lexical-semantic representations scale gracefully to high-cardinality taxonomies.</w:t>
      </w:r>
    </w:p>
    <w:p>
      <w:pPr>
        <w:spacing w:before="80" w:after="160"/>
        <w:pBdr>
          <w:bottom w:val="single" w:sz="6" w:space="1" w:color="D3D3D3"/>
        </w:pBdr>
      </w:pPr>
    </w:p>
    <w:p>
      <w:pPr>
        <w:spacing w:before="240" w:after="80"/>
      </w:pPr>
      <w:r>
        <w:rPr>
          <w:rFonts w:ascii="Calibri Light" w:hAnsi="Calibri Light"/>
          <w:b/>
          <w:color w:val="1F4E79"/>
          <w:sz w:val="30"/>
        </w:rPr>
        <w:t>7. What We Would Do Next With One More Week</w:t>
      </w:r>
    </w:p>
    <w:p>
      <w:pPr>
        <w:pStyle w:val="ListNumber"/>
        <w:spacing w:before="20" w:after="40" w:line="276" w:lineRule="auto"/>
      </w:pPr>
      <w:r>
        <w:rPr>
          <w:b/>
        </w:rPr>
        <w:t>Direct Preference Optimization (DPO) for Richer SOP Guidance</w:t>
      </w:r>
      <w:r>
        <w:t>:</w:t>
      </w:r>
    </w:p>
    <w:p>
      <w:pPr>
        <w:pStyle w:val="ListBullet"/>
        <w:spacing w:before="20" w:after="40" w:line="276" w:lineRule="auto"/>
      </w:pPr>
      <w:r>
        <w:t>Construct DPO preference pairs where chosen responses contain explicit SOP steps (e.g. "No box or tape needed at Whole Foods") and rejected responses contain overly generic contact routing macros.</w:t>
      </w:r>
    </w:p>
    <w:p>
      <w:pPr>
        <w:pStyle w:val="ListNumber"/>
        <w:spacing w:before="20" w:after="40" w:line="276" w:lineRule="auto"/>
      </w:pPr>
      <w:r>
        <w:rPr>
          <w:b/>
        </w:rPr>
        <w:t>Multi-Turn Contextual Thread Memory</w:t>
      </w:r>
      <w:r>
        <w:t>:</w:t>
      </w:r>
    </w:p>
    <w:p>
      <w:pPr>
        <w:pStyle w:val="ListBullet"/>
        <w:spacing w:before="20" w:after="40" w:line="276" w:lineRule="auto"/>
      </w:pPr>
      <w:r>
        <w:t>Implement thread state tracking that aggregates parent tweets, customer replies, and agent responses to maintain conversational context across extended exchanges.</w:t>
      </w:r>
    </w:p>
    <w:p>
      <w:pPr>
        <w:pStyle w:val="ListNumber"/>
        <w:spacing w:before="20" w:after="40" w:line="276" w:lineRule="auto"/>
      </w:pPr>
      <w:r>
        <w:rPr>
          <w:b/>
        </w:rPr>
        <w:t>Dynamic URL Slot Filling</w:t>
      </w:r>
      <w:r>
        <w:t>:</w:t>
      </w:r>
    </w:p>
    <w:p>
      <w:pPr>
        <w:pStyle w:val="ListBullet"/>
        <w:spacing w:before="20" w:after="40" w:line="276" w:lineRule="auto"/>
      </w:pPr>
      <w:r>
        <w:t>Strip model-generated shortened URLs via post-processing and deterministically inject verified, live HTTPS destination links retrieved from the vector knowledge store.</w:t>
      </w:r>
    </w:p>
    <w:p>
      <w:pPr>
        <w:pStyle w:val="ListNumber"/>
        <w:spacing w:before="20" w:after="40" w:line="276" w:lineRule="auto"/>
      </w:pPr>
      <w:r>
        <w:rPr>
          <w:b/>
        </w:rPr>
        <w:t>Active Learning Human-in-the-Loop Shared Inbox</w:t>
      </w:r>
      <w:r>
        <w:t>:</w:t>
      </w:r>
    </w:p>
    <w:p>
      <w:pPr>
        <w:pStyle w:val="ListBullet"/>
        <w:spacing w:before="20" w:after="40" w:line="276" w:lineRule="auto"/>
      </w:pPr>
      <w:r>
        <w:t>Integrate with Hiver's shared inbox platform to route borderline-confidence predictions (0.50 ≤ confidence &lt; 0.70) to human customer service agents, streaming their edits back into a continuous retraining dataset.</w:t>
      </w:r>
    </w:p>
    <w:p>
      <w:pPr>
        <w:spacing w:before="80" w:after="160"/>
        <w:pBdr>
          <w:bottom w:val="single" w:sz="6" w:space="1" w:color="D3D3D3"/>
        </w:pBdr>
      </w:pPr>
    </w:p>
    <w:p>
      <w:pPr>
        <w:spacing w:before="240" w:after="80"/>
      </w:pPr>
      <w:r>
        <w:rPr>
          <w:rFonts w:ascii="Calibri Light" w:hAnsi="Calibri Light"/>
          <w:b/>
          <w:color w:val="1F4E79"/>
          <w:sz w:val="30"/>
        </w:rPr>
        <w:t>8. Submission Information &amp; Artifacts</w:t>
      </w:r>
    </w:p>
    <w:p>
      <w:pPr>
        <w:pStyle w:val="ListBullet"/>
        <w:spacing w:before="20" w:after="40" w:line="276" w:lineRule="auto"/>
      </w:pPr>
      <w:r>
        <w:rPr>
          <w:b/>
        </w:rPr>
        <w:t>Primary Submission Email</w:t>
      </w:r>
      <w:r>
        <w:t>: anurag@hiverhq.com</w:t>
      </w:r>
    </w:p>
    <w:p>
      <w:pPr>
        <w:pStyle w:val="ListBullet"/>
        <w:spacing w:before="20" w:after="40" w:line="276" w:lineRule="auto"/>
      </w:pPr>
      <w:r>
        <w:rPr>
          <w:b/>
        </w:rPr>
        <w:t>Online Submission Form (Notion)</w:t>
      </w:r>
      <w:r>
        <w:t xml:space="preserve">: </w:t>
      </w:r>
      <w:r>
        <w:rPr>
          <w:color w:val="1F4E79"/>
          <w:u w:val="single"/>
        </w:rPr>
        <w:t>https://intelligent-bar-256.notion.site/39492cbf0da2800682cfc78a600a745f</w:t>
      </w:r>
    </w:p>
    <w:p>
      <w:pPr>
        <w:pStyle w:val="ListBullet"/>
        <w:spacing w:before="20" w:after="40" w:line="276" w:lineRule="auto"/>
      </w:pPr>
      <w:r>
        <w:rPr>
          <w:b/>
        </w:rPr>
        <w:t>GitHub Repository</w:t>
      </w:r>
      <w:r>
        <w:t xml:space="preserve">: </w:t>
      </w:r>
      <w:r>
        <w:rPr>
          <w:color w:val="1F4E79"/>
          <w:u w:val="single"/>
        </w:rPr>
        <w:t>https://github.com/ro-lex404/Hiver-Assignment</w:t>
      </w:r>
    </w:p>
    <w:p>
      <w:pPr>
        <w:pStyle w:val="ListBullet"/>
        <w:spacing w:before="20" w:after="40" w:line="276" w:lineRule="auto"/>
      </w:pPr>
      <w:r>
        <w:rPr>
          <w:b/>
        </w:rPr>
        <w:t>Full Evaluation Report</w:t>
      </w:r>
      <w:r>
        <w:t xml:space="preserve">: </w:t>
      </w:r>
      <w:r>
        <w:rPr>
          <w:color w:val="1F4E79"/>
          <w:u w:val="single"/>
        </w:rPr>
        <w:t>https://github.com/ro-lex404/Hiver-Assignment/blob/main/reports/REPORT.md</w:t>
      </w:r>
    </w:p>
    <w:p>
      <w:pPr>
        <w:pStyle w:val="ListBullet"/>
        <w:spacing w:before="20" w:after="40" w:line="276" w:lineRule="auto"/>
      </w:pPr>
      <w:r>
        <w:rPr>
          <w:b/>
        </w:rPr>
        <w:t>Engineering Decision Log</w:t>
      </w:r>
      <w:r>
        <w:t xml:space="preserve">: </w:t>
      </w:r>
      <w:r>
        <w:rPr>
          <w:color w:val="1F4E79"/>
          <w:u w:val="single"/>
        </w:rPr>
        <w:t>https://github.com/ro-lex404/Hiver-Assignment/blob/main/reports/DECISION_LOG.md</w:t>
      </w:r>
    </w:p>
    <w:p>
      <w:pPr>
        <w:pStyle w:val="ListBullet"/>
        <w:spacing w:before="20" w:after="40" w:line="276" w:lineRule="auto"/>
      </w:pPr>
      <w:r>
        <w:rPr>
          <w:b/>
        </w:rPr>
        <w:t>Golden Evaluation Dataset</w:t>
      </w:r>
      <w:r>
        <w:t xml:space="preserve">: </w:t>
      </w:r>
      <w:r>
        <w:rPr>
          <w:color w:val="1F4E79"/>
          <w:u w:val="single"/>
        </w:rPr>
        <w:t>https://github.com/ro-lex404/Hiver-Assignment/blob/main/data/golden_set/golden_eval_200.jsonl</w:t>
      </w:r>
    </w:p>
    <w:p>
      <w:pPr>
        <w:pStyle w:val="ListBullet"/>
        <w:spacing w:before="20" w:after="40" w:line="276" w:lineRule="auto"/>
      </w:pPr>
      <w:r>
        <w:rPr>
          <w:b/>
        </w:rPr>
        <w:t>Kaggle Dual Tesla T4 QLoRA Kernel</w:t>
      </w:r>
      <w:r>
        <w:t xml:space="preserve">: </w:t>
      </w:r>
      <w:r>
        <w:rPr>
          <w:color w:val="1F4E79"/>
          <w:u w:val="single"/>
        </w:rPr>
        <w:t>https://www.kaggle.com/code/rohanalexbimal/hiver-ai-support-agent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